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A96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_GBK" w:hAnsi="方正小标宋_GBK" w:eastAsia="方正小标宋_GBK" w:cs="方正小标宋_GBK"/>
          <w:b/>
          <w:bCs/>
          <w:i w:val="0"/>
          <w:iCs w:val="0"/>
          <w:caps w:val="0"/>
          <w:color w:val="000000"/>
          <w:spacing w:val="0"/>
          <w:sz w:val="44"/>
          <w:szCs w:val="44"/>
          <w:shd w:val="clear" w:fill="FFFFFF"/>
        </w:rPr>
      </w:pPr>
      <w:r>
        <w:rPr>
          <w:rFonts w:hint="eastAsia" w:ascii="方正小标宋_GBK" w:hAnsi="方正小标宋_GBK" w:eastAsia="方正小标宋_GBK" w:cs="方正小标宋_GBK"/>
          <w:b/>
          <w:bCs/>
          <w:i w:val="0"/>
          <w:iCs w:val="0"/>
          <w:caps w:val="0"/>
          <w:color w:val="000000"/>
          <w:spacing w:val="0"/>
          <w:sz w:val="44"/>
          <w:szCs w:val="44"/>
          <w:shd w:val="clear" w:fill="FFFFFF"/>
        </w:rPr>
        <w:t>怀化市市政设施维护</w:t>
      </w:r>
      <w:r>
        <w:rPr>
          <w:rFonts w:hint="eastAsia" w:ascii="方正小标宋_GBK" w:hAnsi="方正小标宋_GBK" w:eastAsia="方正小标宋_GBK" w:cs="方正小标宋_GBK"/>
          <w:b/>
          <w:bCs/>
          <w:i w:val="0"/>
          <w:iCs w:val="0"/>
          <w:caps w:val="0"/>
          <w:color w:val="000000"/>
          <w:spacing w:val="0"/>
          <w:sz w:val="44"/>
          <w:szCs w:val="44"/>
          <w:shd w:val="clear" w:fill="FFFFFF"/>
          <w:lang w:eastAsia="zh-CN"/>
        </w:rPr>
        <w:t>中心</w:t>
      </w:r>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2023年</w:t>
      </w:r>
      <w:r>
        <w:rPr>
          <w:rFonts w:hint="eastAsia" w:ascii="方正小标宋_GBK" w:hAnsi="方正小标宋_GBK" w:eastAsia="方正小标宋_GBK" w:cs="方正小标宋_GBK"/>
          <w:b/>
          <w:bCs/>
          <w:i w:val="0"/>
          <w:iCs w:val="0"/>
          <w:caps w:val="0"/>
          <w:color w:val="000000"/>
          <w:spacing w:val="0"/>
          <w:sz w:val="44"/>
          <w:szCs w:val="44"/>
          <w:shd w:val="clear" w:fill="FFFFFF"/>
        </w:rPr>
        <w:t>部门整体支出绩效自评报告</w:t>
      </w:r>
    </w:p>
    <w:p w14:paraId="32BD05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14:paraId="5F0193C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left="0" w:right="0" w:firstLine="632" w:firstLineChars="200"/>
        <w:jc w:val="both"/>
        <w:textAlignment w:val="auto"/>
        <w:rPr>
          <w:rFonts w:ascii="仿宋_GB2312" w:eastAsia="仿宋_GB2312" w:cs="仿宋_GB2312"/>
          <w:i w:val="0"/>
          <w:iCs w:val="0"/>
          <w:caps w:val="0"/>
          <w:color w:val="000000"/>
          <w:spacing w:val="0"/>
          <w:sz w:val="24"/>
          <w:szCs w:val="24"/>
        </w:rPr>
      </w:pPr>
      <w:r>
        <w:rPr>
          <w:rFonts w:hint="eastAsia" w:ascii="仿宋" w:hAnsi="仿宋" w:eastAsia="仿宋"/>
          <w:spacing w:val="-2"/>
          <w:w w:val="100"/>
          <w:sz w:val="32"/>
          <w:szCs w:val="32"/>
        </w:rPr>
        <w:t>根据《怀化市财政局关于开展2023年度预算支出绩效自评工作的通知</w:t>
      </w:r>
      <w:r>
        <w:rPr>
          <w:rFonts w:hint="eastAsia" w:ascii="仿宋" w:hAnsi="仿宋" w:eastAsia="仿宋"/>
          <w:spacing w:val="-2"/>
          <w:w w:val="100"/>
          <w:sz w:val="32"/>
          <w:szCs w:val="32"/>
          <w:highlight w:val="none"/>
        </w:rPr>
        <w:t>》（怀财绩〔202</w:t>
      </w:r>
      <w:r>
        <w:rPr>
          <w:rFonts w:hint="eastAsia" w:ascii="仿宋" w:hAnsi="仿宋" w:eastAsia="仿宋"/>
          <w:spacing w:val="-2"/>
          <w:w w:val="100"/>
          <w:sz w:val="32"/>
          <w:szCs w:val="32"/>
          <w:highlight w:val="none"/>
          <w:lang w:val="en-US" w:eastAsia="zh-CN"/>
        </w:rPr>
        <w:t>4</w:t>
      </w:r>
      <w:r>
        <w:rPr>
          <w:rFonts w:hint="eastAsia" w:ascii="仿宋" w:hAnsi="仿宋" w:eastAsia="仿宋"/>
          <w:spacing w:val="-2"/>
          <w:w w:val="100"/>
          <w:sz w:val="32"/>
          <w:szCs w:val="32"/>
          <w:highlight w:val="none"/>
        </w:rPr>
        <w:t>〕</w:t>
      </w:r>
      <w:r>
        <w:rPr>
          <w:rFonts w:hint="eastAsia" w:ascii="仿宋" w:hAnsi="仿宋" w:eastAsia="仿宋"/>
          <w:spacing w:val="-2"/>
          <w:w w:val="100"/>
          <w:sz w:val="32"/>
          <w:szCs w:val="32"/>
          <w:highlight w:val="none"/>
          <w:lang w:val="en-US" w:eastAsia="zh-CN"/>
        </w:rPr>
        <w:t>46</w:t>
      </w:r>
      <w:r>
        <w:rPr>
          <w:rFonts w:hint="eastAsia" w:ascii="仿宋" w:hAnsi="仿宋" w:eastAsia="仿宋"/>
          <w:spacing w:val="-2"/>
          <w:w w:val="100"/>
          <w:sz w:val="32"/>
          <w:szCs w:val="32"/>
          <w:highlight w:val="none"/>
        </w:rPr>
        <w:t>号）</w:t>
      </w:r>
      <w:r>
        <w:rPr>
          <w:rFonts w:hint="eastAsia" w:ascii="仿宋" w:hAnsi="仿宋" w:eastAsia="仿宋"/>
          <w:spacing w:val="-2"/>
          <w:w w:val="100"/>
          <w:sz w:val="32"/>
          <w:szCs w:val="32"/>
        </w:rPr>
        <w:t>的文件精神，我</w:t>
      </w:r>
      <w:r>
        <w:rPr>
          <w:rFonts w:hint="eastAsia" w:ascii="仿宋" w:hAnsi="仿宋" w:eastAsia="仿宋"/>
          <w:spacing w:val="-2"/>
          <w:w w:val="100"/>
          <w:sz w:val="32"/>
          <w:szCs w:val="32"/>
          <w:lang w:val="en-US" w:eastAsia="zh-CN"/>
        </w:rPr>
        <w:t>中心</w:t>
      </w:r>
      <w:r>
        <w:rPr>
          <w:rFonts w:hint="eastAsia" w:ascii="仿宋" w:hAnsi="仿宋" w:eastAsia="仿宋"/>
          <w:spacing w:val="-2"/>
          <w:w w:val="100"/>
          <w:sz w:val="32"/>
          <w:szCs w:val="32"/>
        </w:rPr>
        <w:t>对</w:t>
      </w:r>
      <w:r>
        <w:rPr>
          <w:rFonts w:hint="eastAsia" w:ascii="仿宋" w:hAnsi="仿宋" w:eastAsia="仿宋"/>
          <w:spacing w:val="-2"/>
          <w:w w:val="100"/>
          <w:sz w:val="32"/>
          <w:szCs w:val="32"/>
          <w:lang w:val="en-US" w:eastAsia="zh-CN"/>
        </w:rPr>
        <w:t>2023年</w:t>
      </w:r>
      <w:r>
        <w:rPr>
          <w:rFonts w:hint="eastAsia" w:ascii="仿宋" w:hAnsi="仿宋" w:eastAsia="仿宋"/>
          <w:spacing w:val="-2"/>
          <w:w w:val="100"/>
          <w:sz w:val="32"/>
          <w:szCs w:val="32"/>
        </w:rPr>
        <w:t>整体支出进行了绩效评价，现报告如下:</w:t>
      </w:r>
    </w:p>
    <w:p w14:paraId="5119AE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2F2DBFD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（一）机构设置情况</w:t>
      </w:r>
    </w:p>
    <w:p w14:paraId="07E9A64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color w:val="000000"/>
          <w:sz w:val="32"/>
          <w:szCs w:val="32"/>
        </w:rPr>
        <w:t>怀化市市政设施维护</w:t>
      </w:r>
      <w:r>
        <w:rPr>
          <w:rFonts w:hint="eastAsia" w:ascii="仿宋" w:hAnsi="仿宋" w:eastAsia="仿宋" w:cs="仿宋"/>
          <w:color w:val="000000"/>
          <w:sz w:val="32"/>
          <w:szCs w:val="32"/>
          <w:lang w:eastAsia="zh-CN"/>
        </w:rPr>
        <w:t>中心</w:t>
      </w:r>
      <w:r>
        <w:rPr>
          <w:rFonts w:hint="eastAsia" w:ascii="仿宋" w:hAnsi="仿宋" w:eastAsia="仿宋" w:cs="仿宋"/>
          <w:color w:val="000000"/>
          <w:sz w:val="32"/>
          <w:szCs w:val="32"/>
        </w:rPr>
        <w:t>作为</w:t>
      </w:r>
      <w:r>
        <w:rPr>
          <w:rFonts w:hint="eastAsia" w:ascii="仿宋" w:hAnsi="仿宋" w:eastAsia="仿宋" w:cs="仿宋"/>
          <w:color w:val="000000"/>
          <w:sz w:val="32"/>
          <w:szCs w:val="32"/>
          <w:lang w:eastAsia="zh-CN"/>
        </w:rPr>
        <w:t>怀化市城市管理和综合执法局的</w:t>
      </w:r>
      <w:r>
        <w:rPr>
          <w:rFonts w:hint="eastAsia" w:ascii="仿宋" w:hAnsi="仿宋" w:eastAsia="仿宋" w:cs="仿宋"/>
          <w:color w:val="000000"/>
          <w:sz w:val="32"/>
          <w:szCs w:val="32"/>
        </w:rPr>
        <w:t>二级部门预算单位，内设</w:t>
      </w:r>
      <w:r>
        <w:rPr>
          <w:rFonts w:hint="eastAsia" w:ascii="仿宋" w:hAnsi="仿宋" w:eastAsia="仿宋" w:cs="仿宋"/>
          <w:color w:val="000000"/>
          <w:sz w:val="32"/>
          <w:szCs w:val="32"/>
          <w:lang w:eastAsia="zh-CN"/>
        </w:rPr>
        <w:t>科</w:t>
      </w:r>
      <w:r>
        <w:rPr>
          <w:rFonts w:hint="eastAsia" w:ascii="仿宋" w:hAnsi="仿宋" w:eastAsia="仿宋" w:cs="仿宋"/>
          <w:color w:val="000000"/>
          <w:sz w:val="32"/>
          <w:szCs w:val="32"/>
          <w:lang w:val="en-US" w:eastAsia="zh-CN"/>
        </w:rPr>
        <w:t>室为12</w:t>
      </w:r>
      <w:r>
        <w:rPr>
          <w:rFonts w:hint="eastAsia" w:ascii="仿宋" w:hAnsi="仿宋" w:eastAsia="仿宋" w:cs="仿宋"/>
          <w:color w:val="000000"/>
          <w:sz w:val="32"/>
          <w:szCs w:val="32"/>
        </w:rPr>
        <w:t>个（副科级）：办公室、</w:t>
      </w:r>
      <w:r>
        <w:rPr>
          <w:rFonts w:hint="eastAsia" w:ascii="仿宋" w:hAnsi="仿宋" w:eastAsia="仿宋" w:cs="仿宋"/>
          <w:color w:val="000000"/>
          <w:sz w:val="32"/>
          <w:szCs w:val="32"/>
          <w:lang w:eastAsia="zh-CN"/>
        </w:rPr>
        <w:t>人事教育部</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计划财务部、市政工程服务部、市政应急服务部、市政科技推广服务部、市政管线服务所、城市车行道服务所、城市人行道服务所、城市照明</w:t>
      </w:r>
      <w:r>
        <w:rPr>
          <w:rFonts w:hint="eastAsia" w:ascii="仿宋" w:hAnsi="仿宋" w:eastAsia="仿宋" w:cs="仿宋"/>
          <w:color w:val="000000"/>
          <w:sz w:val="32"/>
          <w:szCs w:val="32"/>
          <w:lang w:val="en-US" w:eastAsia="zh-CN"/>
        </w:rPr>
        <w:t>服务所、城市桥梁服务所、城市排水服务所。</w:t>
      </w:r>
    </w:p>
    <w:p w14:paraId="5599E3B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02F421B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imes New Roman"/>
          <w:spacing w:val="-2"/>
          <w:sz w:val="32"/>
          <w:szCs w:val="32"/>
          <w:lang w:val="en-US" w:eastAsia="zh-CN"/>
        </w:rPr>
        <w:t>截止2023年12月31日，我中心</w:t>
      </w:r>
      <w:r>
        <w:rPr>
          <w:rFonts w:hint="eastAsia" w:ascii="仿宋" w:hAnsi="仿宋" w:eastAsia="仿宋" w:cs="Times New Roman"/>
          <w:spacing w:val="-2"/>
          <w:sz w:val="32"/>
          <w:szCs w:val="32"/>
        </w:rPr>
        <w:t>核定</w:t>
      </w:r>
      <w:r>
        <w:rPr>
          <w:rFonts w:hint="eastAsia" w:ascii="仿宋" w:hAnsi="仿宋" w:eastAsia="仿宋" w:cs="Times New Roman"/>
          <w:spacing w:val="-2"/>
          <w:sz w:val="32"/>
          <w:szCs w:val="32"/>
          <w:lang w:val="en-US" w:eastAsia="zh-CN"/>
        </w:rPr>
        <w:t>差额</w:t>
      </w:r>
      <w:r>
        <w:rPr>
          <w:rFonts w:hint="eastAsia" w:ascii="仿宋" w:hAnsi="仿宋" w:eastAsia="仿宋" w:cs="Times New Roman"/>
          <w:spacing w:val="-2"/>
          <w:sz w:val="32"/>
          <w:szCs w:val="32"/>
        </w:rPr>
        <w:t>拨款事业单位编制</w:t>
      </w:r>
      <w:r>
        <w:rPr>
          <w:rFonts w:hint="eastAsia" w:ascii="仿宋" w:hAnsi="仿宋" w:eastAsia="仿宋" w:cs="Times New Roman"/>
          <w:spacing w:val="-2"/>
          <w:sz w:val="32"/>
          <w:szCs w:val="32"/>
          <w:lang w:val="en-US" w:eastAsia="zh-CN"/>
        </w:rPr>
        <w:t>160</w:t>
      </w:r>
      <w:r>
        <w:rPr>
          <w:rFonts w:hint="eastAsia" w:ascii="仿宋" w:hAnsi="仿宋" w:eastAsia="仿宋" w:cs="Times New Roman"/>
          <w:spacing w:val="-2"/>
          <w:sz w:val="32"/>
          <w:szCs w:val="32"/>
          <w:highlight w:val="none"/>
        </w:rPr>
        <w:t>名</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lang w:val="en-US" w:eastAsia="zh-CN"/>
        </w:rPr>
        <w:t>实有在职人员158人。</w:t>
      </w:r>
    </w:p>
    <w:p w14:paraId="149B39D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50F5703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承担全市市政设施运行服务研究工作，指导城市市政设施服务重大科技项目攻关、成果推广和新技术新设备新材料的引进、吸收、应用等工作，为全市市政设施运行等相关工作提供技术支持和服务保障。</w:t>
      </w:r>
    </w:p>
    <w:p w14:paraId="4CEB30F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承担怀化市主城区主次干道的城市道路、城市照明、城市排水、城市桥梁（含地下人行通道、涵洞）、综合管廊管线、智慧城管市政监控信息平台等市政设施运行服务与应急处置工作；协助做好市本级城市道路挖掘修复费收取的相关服务工作；承担管辖范围内城市排水排涝、抗冰除雪等工作。</w:t>
      </w:r>
    </w:p>
    <w:p w14:paraId="770B80A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参与拟订市本级市政设施服务行业作业规范和标准、中长期规划和年度计划相关工作；为全市市政设施维护工作开展和养护作业社会化、市场化服务提供技术指导。</w:t>
      </w:r>
    </w:p>
    <w:p w14:paraId="58862FB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协助做好市本级市政工程设计方案评审、建设、交工和竣工验收等相关服务工作；协助做好中心城区城市市政基础设施建设项目的可行性研究，方案审查和工程竣工备案等相关服务工作；承担全市市政设施行业技术和信息化指导、业务培训、协调服务等相关工作。</w:t>
      </w:r>
    </w:p>
    <w:p w14:paraId="75FA04A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承担智慧城管市政监控信息平台的受理分解和跟踪服务工作。</w:t>
      </w:r>
    </w:p>
    <w:p w14:paraId="4A6F1EB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完成市城市管理和综合执法局交办的其他任务。</w:t>
      </w:r>
    </w:p>
    <w:p w14:paraId="6875106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0A86E427">
      <w:pPr>
        <w:keepNext w:val="0"/>
        <w:keepLines w:val="0"/>
        <w:pageBreakBefore w:val="0"/>
        <w:widowControl w:val="0"/>
        <w:numPr>
          <w:ilvl w:val="0"/>
          <w:numId w:val="0"/>
        </w:numP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2023年我中心设定的总体绩效目标为：保证怀化市城区主次干道、人行道、下水道、路灯、桥梁、广场等市政基础设施完好率、亮灯率、维护率稳中有升，为实现怀化市“路平、灯亮、桥通、水畅”保驾护航，提升城市品位，方便人民群众出行，进一步提高人民群众的满意度和幸福感，确保单位正常运转，干部职工积极工作，人心稳定。</w:t>
      </w:r>
    </w:p>
    <w:p w14:paraId="47989A42">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4224465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04EF0782">
      <w:pPr>
        <w:keepNext w:val="0"/>
        <w:keepLines w:val="0"/>
        <w:pageBreakBefore w:val="0"/>
        <w:widowControl w:val="0"/>
        <w:shd w:val="clear" w:color="auto" w:fill="FFFFFF"/>
        <w:kinsoku/>
        <w:wordWrap/>
        <w:overflowPunct w:val="0"/>
        <w:topLinePunct w:val="0"/>
        <w:autoSpaceDE/>
        <w:autoSpaceDN/>
        <w:bidi w:val="0"/>
        <w:adjustRightInd/>
        <w:spacing w:line="560" w:lineRule="exact"/>
        <w:ind w:firstLine="632" w:firstLineChars="200"/>
        <w:jc w:val="both"/>
        <w:textAlignment w:val="auto"/>
        <w:rPr>
          <w:rFonts w:hint="eastAsia" w:ascii="仿宋" w:hAnsi="仿宋" w:eastAsia="仿宋" w:cs="Times New Roman"/>
          <w:spacing w:val="-2"/>
          <w:sz w:val="32"/>
          <w:szCs w:val="32"/>
          <w:highlight w:val="none"/>
        </w:rPr>
      </w:pPr>
      <w:r>
        <w:rPr>
          <w:rFonts w:hint="eastAsia" w:ascii="仿宋" w:hAnsi="仿宋" w:eastAsia="仿宋"/>
          <w:spacing w:val="-2"/>
          <w:sz w:val="32"/>
          <w:szCs w:val="32"/>
          <w:highlight w:val="none"/>
        </w:rPr>
        <w:t>根据《怀化市财政局关于批复下达202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年市直部门预算的通知》（怀财预﹝202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w:t>
      </w:r>
      <w:r>
        <w:rPr>
          <w:rFonts w:hint="eastAsia" w:ascii="仿宋" w:hAnsi="仿宋" w:eastAsia="仿宋"/>
          <w:spacing w:val="-2"/>
          <w:sz w:val="32"/>
          <w:szCs w:val="32"/>
          <w:highlight w:val="none"/>
          <w:lang w:val="en-US" w:eastAsia="zh-CN"/>
        </w:rPr>
        <w:t>6</w:t>
      </w:r>
      <w:r>
        <w:rPr>
          <w:rFonts w:hint="eastAsia" w:ascii="仿宋" w:hAnsi="仿宋" w:eastAsia="仿宋"/>
          <w:spacing w:val="-2"/>
          <w:sz w:val="32"/>
          <w:szCs w:val="32"/>
          <w:highlight w:val="none"/>
        </w:rPr>
        <w:t>号）</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rPr>
        <w:t>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年我</w:t>
      </w:r>
      <w:r>
        <w:rPr>
          <w:rFonts w:hint="eastAsia" w:ascii="仿宋" w:hAnsi="仿宋" w:eastAsia="仿宋" w:cs="Times New Roman"/>
          <w:spacing w:val="-2"/>
          <w:sz w:val="32"/>
          <w:szCs w:val="32"/>
          <w:lang w:val="en-US" w:eastAsia="zh-CN"/>
        </w:rPr>
        <w:t>市政中心</w:t>
      </w:r>
      <w:r>
        <w:rPr>
          <w:rFonts w:hint="eastAsia" w:ascii="仿宋" w:hAnsi="仿宋" w:eastAsia="仿宋" w:cs="Times New Roman"/>
          <w:spacing w:val="-2"/>
          <w:sz w:val="32"/>
          <w:szCs w:val="32"/>
        </w:rPr>
        <w:t>年初预算支出</w:t>
      </w:r>
      <w:r>
        <w:rPr>
          <w:rFonts w:hint="eastAsia" w:ascii="仿宋" w:hAnsi="仿宋" w:eastAsia="仿宋" w:cs="Times New Roman"/>
          <w:spacing w:val="-2"/>
          <w:sz w:val="32"/>
          <w:szCs w:val="32"/>
          <w:lang w:val="en-US" w:eastAsia="zh-CN"/>
        </w:rPr>
        <w:t>5693.59</w:t>
      </w:r>
      <w:r>
        <w:rPr>
          <w:rFonts w:hint="eastAsia" w:ascii="仿宋" w:hAnsi="仿宋" w:eastAsia="仿宋" w:cs="Times New Roman"/>
          <w:spacing w:val="-2"/>
          <w:sz w:val="32"/>
          <w:szCs w:val="32"/>
        </w:rPr>
        <w:t>万元，其中：基本支出</w:t>
      </w:r>
      <w:r>
        <w:rPr>
          <w:rFonts w:hint="eastAsia" w:ascii="仿宋" w:hAnsi="仿宋" w:eastAsia="仿宋" w:cs="Times New Roman"/>
          <w:spacing w:val="-2"/>
          <w:sz w:val="32"/>
          <w:szCs w:val="32"/>
          <w:lang w:val="en-US" w:eastAsia="zh-CN"/>
        </w:rPr>
        <w:t>1739.48</w:t>
      </w:r>
      <w:r>
        <w:rPr>
          <w:rFonts w:hint="eastAsia" w:ascii="仿宋" w:hAnsi="仿宋" w:eastAsia="仿宋" w:cs="Times New Roman"/>
          <w:spacing w:val="-2"/>
          <w:sz w:val="32"/>
          <w:szCs w:val="32"/>
        </w:rPr>
        <w:t>万元，项目支出</w:t>
      </w:r>
      <w:r>
        <w:rPr>
          <w:rFonts w:hint="eastAsia" w:ascii="仿宋" w:hAnsi="仿宋" w:eastAsia="仿宋" w:cs="Times New Roman"/>
          <w:spacing w:val="-2"/>
          <w:sz w:val="32"/>
          <w:szCs w:val="32"/>
          <w:lang w:val="en-US" w:eastAsia="zh-CN"/>
        </w:rPr>
        <w:t>3954.11</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年度决算总支出</w:t>
      </w:r>
      <w:r>
        <w:rPr>
          <w:rFonts w:hint="eastAsia" w:ascii="仿宋" w:hAnsi="仿宋" w:eastAsia="仿宋" w:cs="Times New Roman"/>
          <w:spacing w:val="-2"/>
          <w:sz w:val="32"/>
          <w:szCs w:val="32"/>
          <w:highlight w:val="none"/>
          <w:lang w:val="en-US" w:eastAsia="zh-CN"/>
        </w:rPr>
        <w:t>4814.39</w:t>
      </w:r>
      <w:r>
        <w:rPr>
          <w:rFonts w:hint="eastAsia" w:ascii="仿宋" w:hAnsi="仿宋" w:eastAsia="仿宋" w:cs="Times New Roman"/>
          <w:spacing w:val="-2"/>
          <w:sz w:val="32"/>
          <w:szCs w:val="32"/>
          <w:highlight w:val="none"/>
        </w:rPr>
        <w:t>万元，其中：基本支出</w:t>
      </w:r>
      <w:r>
        <w:rPr>
          <w:rFonts w:hint="eastAsia" w:ascii="仿宋" w:hAnsi="仿宋" w:eastAsia="仿宋" w:cs="Times New Roman"/>
          <w:spacing w:val="-2"/>
          <w:sz w:val="32"/>
          <w:szCs w:val="32"/>
          <w:highlight w:val="none"/>
          <w:lang w:val="en-US" w:eastAsia="zh-CN"/>
        </w:rPr>
        <w:t>1330.08</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27.63</w:t>
      </w:r>
      <w:r>
        <w:rPr>
          <w:rFonts w:hint="eastAsia" w:ascii="仿宋" w:hAnsi="仿宋" w:eastAsia="仿宋" w:cs="Times New Roman"/>
          <w:spacing w:val="-2"/>
          <w:sz w:val="32"/>
          <w:szCs w:val="32"/>
          <w:highlight w:val="none"/>
        </w:rPr>
        <w:t>%；项目支出</w:t>
      </w:r>
      <w:r>
        <w:rPr>
          <w:rFonts w:hint="eastAsia" w:ascii="仿宋" w:hAnsi="仿宋" w:eastAsia="仿宋" w:cs="Times New Roman"/>
          <w:spacing w:val="-2"/>
          <w:sz w:val="32"/>
          <w:szCs w:val="32"/>
          <w:highlight w:val="none"/>
          <w:lang w:val="en-US" w:eastAsia="zh-CN"/>
        </w:rPr>
        <w:t>3484.31</w:t>
      </w:r>
      <w:r>
        <w:rPr>
          <w:rFonts w:hint="eastAsia" w:ascii="仿宋" w:hAnsi="仿宋" w:eastAsia="仿宋" w:cs="Times New Roman"/>
          <w:spacing w:val="-2"/>
          <w:sz w:val="32"/>
          <w:szCs w:val="32"/>
          <w:highlight w:val="none"/>
        </w:rPr>
        <w:t>万元，占总支出的</w:t>
      </w:r>
      <w:r>
        <w:rPr>
          <w:rFonts w:hint="eastAsia" w:ascii="仿宋" w:hAnsi="仿宋" w:eastAsia="仿宋" w:cs="Times New Roman"/>
          <w:spacing w:val="-2"/>
          <w:sz w:val="32"/>
          <w:szCs w:val="32"/>
          <w:highlight w:val="none"/>
          <w:lang w:val="en-US" w:eastAsia="zh-CN"/>
        </w:rPr>
        <w:t>72.37%</w:t>
      </w:r>
      <w:r>
        <w:rPr>
          <w:rFonts w:hint="eastAsia" w:ascii="仿宋" w:hAnsi="仿宋" w:eastAsia="仿宋" w:cs="Times New Roman"/>
          <w:spacing w:val="-2"/>
          <w:sz w:val="32"/>
          <w:szCs w:val="32"/>
          <w:highlight w:val="none"/>
        </w:rPr>
        <w:t>。</w:t>
      </w:r>
    </w:p>
    <w:p w14:paraId="427896E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000000"/>
          <w:spacing w:val="0"/>
          <w:sz w:val="32"/>
          <w:szCs w:val="32"/>
          <w:shd w:val="clear" w:fill="FFFFFF"/>
          <w:lang w:val="en-US"/>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年支出预算调整预算数</w:t>
      </w:r>
      <w:r>
        <w:rPr>
          <w:rFonts w:hint="eastAsia" w:ascii="仿宋" w:hAnsi="仿宋" w:eastAsia="仿宋" w:cs="Times New Roman"/>
          <w:spacing w:val="-2"/>
          <w:sz w:val="32"/>
          <w:szCs w:val="32"/>
          <w:highlight w:val="none"/>
          <w:lang w:val="en-US" w:eastAsia="zh-CN"/>
        </w:rPr>
        <w:t>879.2</w:t>
      </w:r>
      <w:r>
        <w:rPr>
          <w:rFonts w:hint="eastAsia" w:ascii="仿宋" w:hAnsi="仿宋" w:eastAsia="仿宋" w:cs="Times New Roman"/>
          <w:spacing w:val="-2"/>
          <w:sz w:val="32"/>
          <w:szCs w:val="32"/>
          <w:highlight w:val="none"/>
        </w:rPr>
        <w:t>万元，与年初预算安排的差额</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主要是</w:t>
      </w:r>
      <w:r>
        <w:rPr>
          <w:rFonts w:hint="eastAsia" w:ascii="仿宋" w:hAnsi="仿宋" w:eastAsia="仿宋" w:cs="仿宋"/>
          <w:spacing w:val="-2"/>
          <w:sz w:val="32"/>
          <w:szCs w:val="32"/>
          <w:lang w:val="en-US" w:eastAsia="zh-CN"/>
        </w:rPr>
        <w:t>因为2023年年初预算项目城市基础设施配套费安排的云溪一桥桥头路基防护工程、城市基础设施配套费安排的桥梁检测费用未支出；城市基础设施配套费安排的迎丰路等三条道路路灯接地制作支出预算项目总额的21.96%；年中追加了舞水三桥、舞水四桥及黄花坪大桥维护项目资金、怀化学院东校区北门交通分流改造项目、迎丰市场铁路桥等5座城市桥梁内侧墙面涂装美化改造、沥青混合料搅拌环保设备等。</w:t>
      </w:r>
    </w:p>
    <w:p w14:paraId="3C308D2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58FA5CF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1.基本支出情况</w:t>
      </w:r>
    </w:p>
    <w:p w14:paraId="574776EB">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right="0" w:firstLine="632" w:firstLineChars="200"/>
        <w:jc w:val="both"/>
        <w:textAlignment w:val="auto"/>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我中心</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23</w:t>
      </w:r>
      <w:r>
        <w:rPr>
          <w:rFonts w:hint="eastAsia" w:ascii="仿宋" w:hAnsi="仿宋" w:eastAsia="仿宋" w:cs="Times New Roman"/>
          <w:spacing w:val="-2"/>
          <w:sz w:val="32"/>
          <w:szCs w:val="32"/>
        </w:rPr>
        <w:t>年基本支出</w:t>
      </w:r>
      <w:r>
        <w:rPr>
          <w:rFonts w:hint="eastAsia" w:ascii="仿宋" w:hAnsi="仿宋" w:eastAsia="仿宋" w:cs="Times New Roman"/>
          <w:spacing w:val="-2"/>
          <w:sz w:val="32"/>
          <w:szCs w:val="32"/>
          <w:lang w:val="en-US" w:eastAsia="zh-CN"/>
        </w:rPr>
        <w:t>1330.08</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ascii="仿宋" w:hAnsi="仿宋" w:eastAsia="仿宋" w:cs="仿宋"/>
          <w:color w:val="auto"/>
          <w:spacing w:val="-2"/>
          <w:kern w:val="2"/>
          <w:sz w:val="32"/>
          <w:szCs w:val="32"/>
          <w:lang w:val="en-US" w:eastAsia="zh-CN" w:bidi="ar-SA"/>
        </w:rPr>
        <w:t>较上年</w:t>
      </w:r>
      <w:r>
        <w:rPr>
          <w:rFonts w:hint="eastAsia" w:ascii="仿宋" w:hAnsi="仿宋" w:eastAsia="仿宋" w:cs="仿宋"/>
          <w:color w:val="auto"/>
          <w:spacing w:val="-2"/>
          <w:kern w:val="2"/>
          <w:sz w:val="32"/>
          <w:szCs w:val="32"/>
          <w:lang w:val="en-US" w:eastAsia="zh-CN" w:bidi="ar-SA"/>
        </w:rPr>
        <w:t>减少194.06</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降低12.73</w:t>
      </w:r>
      <w:r>
        <w:rPr>
          <w:rFonts w:ascii="仿宋" w:hAnsi="仿宋" w:eastAsia="仿宋" w:cs="仿宋"/>
          <w:color w:val="auto"/>
          <w:spacing w:val="-2"/>
          <w:kern w:val="2"/>
          <w:sz w:val="32"/>
          <w:szCs w:val="32"/>
          <w:lang w:val="en-US" w:eastAsia="zh-CN" w:bidi="ar-SA"/>
        </w:rPr>
        <w:t>%</w:t>
      </w:r>
      <w:r>
        <w:rPr>
          <w:rFonts w:hint="eastAsia" w:ascii="仿宋" w:hAnsi="仿宋" w:eastAsia="仿宋" w:cs="仿宋"/>
          <w:color w:val="auto"/>
          <w:spacing w:val="-2"/>
          <w:kern w:val="2"/>
          <w:sz w:val="32"/>
          <w:szCs w:val="32"/>
          <w:lang w:val="en-US" w:eastAsia="zh-CN" w:bidi="ar-SA"/>
        </w:rPr>
        <w:t>，主要</w:t>
      </w:r>
      <w:r>
        <w:rPr>
          <w:rFonts w:hint="eastAsia" w:ascii="仿宋" w:hAnsi="仿宋" w:eastAsia="仿宋" w:cs="仿宋"/>
          <w:spacing w:val="-2"/>
          <w:sz w:val="32"/>
          <w:szCs w:val="32"/>
        </w:rPr>
        <w:t>是</w:t>
      </w:r>
      <w:r>
        <w:rPr>
          <w:rFonts w:hint="eastAsia" w:ascii="仿宋" w:hAnsi="仿宋" w:eastAsia="仿宋" w:cs="仿宋"/>
          <w:spacing w:val="-2"/>
          <w:sz w:val="32"/>
          <w:szCs w:val="32"/>
          <w:lang w:val="en-US" w:eastAsia="zh-CN"/>
        </w:rPr>
        <w:t>因为工资福利支出减少</w:t>
      </w:r>
      <w:r>
        <w:rPr>
          <w:rFonts w:ascii="仿宋" w:hAnsi="仿宋" w:eastAsia="仿宋" w:cs="仿宋"/>
          <w:color w:val="auto"/>
          <w:spacing w:val="-2"/>
          <w:kern w:val="2"/>
          <w:sz w:val="32"/>
          <w:szCs w:val="32"/>
          <w:lang w:val="en-US" w:eastAsia="zh-CN" w:bidi="ar-SA"/>
        </w:rPr>
        <w:t>。</w:t>
      </w:r>
    </w:p>
    <w:p w14:paraId="453A1AA3">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right="0" w:firstLine="632" w:firstLineChars="200"/>
        <w:jc w:val="both"/>
        <w:textAlignment w:val="auto"/>
      </w:pPr>
      <w:r>
        <w:rPr>
          <w:rFonts w:hint="eastAsia" w:ascii="仿宋" w:hAnsi="仿宋" w:eastAsia="仿宋" w:cs="仿宋"/>
          <w:color w:val="auto"/>
          <w:spacing w:val="-2"/>
          <w:kern w:val="2"/>
          <w:sz w:val="32"/>
          <w:szCs w:val="32"/>
          <w:lang w:val="en-US" w:eastAsia="zh-CN" w:bidi="ar-SA"/>
        </w:rPr>
        <w:t>（1）</w:t>
      </w:r>
      <w:r>
        <w:rPr>
          <w:rFonts w:hint="eastAsia" w:ascii="仿宋" w:hAnsi="仿宋" w:eastAsia="仿宋" w:cs="仿宋"/>
          <w:spacing w:val="-2"/>
          <w:sz w:val="32"/>
          <w:szCs w:val="32"/>
        </w:rPr>
        <w:t>人员经费。人员经费</w:t>
      </w:r>
      <w:r>
        <w:rPr>
          <w:rFonts w:hint="eastAsia" w:ascii="仿宋" w:hAnsi="仿宋" w:eastAsia="仿宋" w:cs="仿宋"/>
          <w:color w:val="auto"/>
          <w:spacing w:val="-2"/>
          <w:kern w:val="2"/>
          <w:sz w:val="32"/>
          <w:szCs w:val="32"/>
          <w:lang w:val="en-US" w:eastAsia="zh-CN" w:bidi="ar-SA"/>
        </w:rPr>
        <w:t>1252.39万</w:t>
      </w:r>
      <w:r>
        <w:rPr>
          <w:rFonts w:hint="eastAsia" w:ascii="仿宋" w:hAnsi="仿宋" w:eastAsia="仿宋" w:cs="仿宋"/>
          <w:spacing w:val="-2"/>
          <w:sz w:val="32"/>
          <w:szCs w:val="32"/>
        </w:rPr>
        <w:t>元，占基本支出的</w:t>
      </w:r>
      <w:r>
        <w:rPr>
          <w:rFonts w:hint="eastAsia" w:ascii="仿宋" w:hAnsi="仿宋" w:eastAsia="仿宋" w:cs="仿宋"/>
          <w:color w:val="auto"/>
          <w:spacing w:val="-2"/>
          <w:kern w:val="2"/>
          <w:sz w:val="32"/>
          <w:szCs w:val="32"/>
          <w:lang w:val="en-US" w:eastAsia="zh-CN" w:bidi="ar-SA"/>
        </w:rPr>
        <w:t>94.16</w:t>
      </w:r>
      <w:r>
        <w:rPr>
          <w:rFonts w:hint="eastAsia" w:ascii="仿宋" w:hAnsi="仿宋" w:eastAsia="仿宋" w:cs="仿宋"/>
          <w:spacing w:val="-2"/>
          <w:sz w:val="32"/>
          <w:szCs w:val="32"/>
        </w:rPr>
        <w:t>%，较上年</w:t>
      </w:r>
      <w:r>
        <w:rPr>
          <w:rFonts w:hint="eastAsia" w:ascii="仿宋" w:hAnsi="仿宋" w:eastAsia="仿宋" w:cs="仿宋"/>
          <w:spacing w:val="-2"/>
          <w:sz w:val="32"/>
          <w:szCs w:val="32"/>
          <w:lang w:val="en-US" w:eastAsia="zh-CN"/>
        </w:rPr>
        <w:t>减少223.69万元，降低</w:t>
      </w:r>
      <w:r>
        <w:rPr>
          <w:rFonts w:hint="eastAsia" w:ascii="仿宋" w:hAnsi="仿宋" w:eastAsia="仿宋" w:cs="仿宋"/>
          <w:color w:val="auto"/>
          <w:spacing w:val="-2"/>
          <w:kern w:val="2"/>
          <w:sz w:val="32"/>
          <w:szCs w:val="32"/>
          <w:lang w:val="en-US" w:eastAsia="zh-CN" w:bidi="ar-SA"/>
        </w:rPr>
        <w:t>15.15</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因为2023年在职职工退休4人、调出1人，工资福利支出减少</w:t>
      </w:r>
      <w:r>
        <w:rPr>
          <w:rFonts w:hint="eastAsia" w:ascii="仿宋" w:hAnsi="仿宋" w:eastAsia="仿宋" w:cs="仿宋"/>
          <w:spacing w:val="-2"/>
          <w:sz w:val="32"/>
          <w:szCs w:val="32"/>
        </w:rPr>
        <w:t>。</w:t>
      </w:r>
    </w:p>
    <w:p w14:paraId="42C1B5F0">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right="0" w:firstLine="632" w:firstLineChars="200"/>
        <w:jc w:val="both"/>
        <w:textAlignment w:val="auto"/>
        <w:rPr>
          <w:rFonts w:hint="eastAsia" w:hAnsi="仿宋" w:eastAsia="仿宋"/>
          <w:spacing w:val="-2"/>
          <w:sz w:val="32"/>
          <w:szCs w:val="32"/>
          <w:lang w:eastAsia="zh-CN"/>
        </w:rPr>
      </w:pPr>
      <w:r>
        <w:rPr>
          <w:rFonts w:hint="eastAsia" w:ascii="仿宋" w:hAnsi="仿宋" w:eastAsia="仿宋" w:cs="仿宋"/>
          <w:spacing w:val="-2"/>
          <w:sz w:val="32"/>
          <w:szCs w:val="32"/>
        </w:rPr>
        <w:t>①工资福利支出</w:t>
      </w:r>
      <w:r>
        <w:rPr>
          <w:rFonts w:hint="eastAsia" w:ascii="仿宋" w:hAnsi="仿宋" w:eastAsia="仿宋" w:cs="仿宋"/>
          <w:color w:val="auto"/>
          <w:spacing w:val="-2"/>
          <w:kern w:val="2"/>
          <w:sz w:val="32"/>
          <w:szCs w:val="32"/>
          <w:lang w:val="en-US" w:eastAsia="zh-CN" w:bidi="ar-SA"/>
        </w:rPr>
        <w:t>1050.75</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rPr>
        <w:t>伙食补助费</w:t>
      </w:r>
      <w:r>
        <w:rPr>
          <w:rFonts w:hint="eastAsia" w:hAnsi="仿宋" w:eastAsia="仿宋"/>
          <w:spacing w:val="-2"/>
          <w:sz w:val="32"/>
          <w:szCs w:val="32"/>
          <w:lang w:eastAsia="zh-CN"/>
        </w:rPr>
        <w:t>、</w:t>
      </w:r>
      <w:r>
        <w:rPr>
          <w:rFonts w:hint="eastAsia" w:hAnsi="仿宋" w:eastAsia="仿宋"/>
          <w:spacing w:val="-2"/>
          <w:sz w:val="32"/>
          <w:szCs w:val="32"/>
        </w:rPr>
        <w:t>绩效工资</w:t>
      </w:r>
      <w:r>
        <w:rPr>
          <w:rFonts w:hint="eastAsia" w:hAnsi="仿宋" w:eastAsia="仿宋"/>
          <w:spacing w:val="-2"/>
          <w:sz w:val="32"/>
          <w:szCs w:val="32"/>
          <w:lang w:eastAsia="zh-CN"/>
        </w:rPr>
        <w:t>、</w:t>
      </w:r>
      <w:r>
        <w:rPr>
          <w:rFonts w:hint="eastAsia" w:hAnsi="仿宋" w:eastAsia="仿宋"/>
          <w:spacing w:val="-2"/>
          <w:sz w:val="32"/>
          <w:szCs w:val="32"/>
        </w:rPr>
        <w:t>职业年金缴费</w:t>
      </w:r>
      <w:r>
        <w:rPr>
          <w:rFonts w:hAnsi="仿宋" w:eastAsia="仿宋"/>
          <w:spacing w:val="-2"/>
          <w:sz w:val="32"/>
          <w:szCs w:val="32"/>
        </w:rPr>
        <w:t>、职工基本医疗保险缴费</w:t>
      </w:r>
      <w:r>
        <w:rPr>
          <w:rFonts w:hint="eastAsia" w:hAnsi="仿宋" w:eastAsia="仿宋"/>
          <w:spacing w:val="-2"/>
          <w:sz w:val="32"/>
          <w:szCs w:val="32"/>
          <w:lang w:val="en-US" w:eastAsia="zh-CN"/>
        </w:rPr>
        <w:t>等支出</w:t>
      </w:r>
      <w:r>
        <w:rPr>
          <w:rFonts w:hint="eastAsia" w:hAnsi="仿宋" w:eastAsia="仿宋"/>
          <w:spacing w:val="-2"/>
          <w:sz w:val="32"/>
          <w:szCs w:val="32"/>
          <w:lang w:eastAsia="zh-CN"/>
        </w:rPr>
        <w:t>。</w:t>
      </w:r>
    </w:p>
    <w:p w14:paraId="6A8DAC31">
      <w:pPr>
        <w:keepNext w:val="0"/>
        <w:keepLines w:val="0"/>
        <w:pageBreakBefore w:val="0"/>
        <w:widowControl w:val="0"/>
        <w:shd w:val="clear" w:color="auto" w:fill="FFFFFF"/>
        <w:kinsoku/>
        <w:wordWrap/>
        <w:overflowPunct w:val="0"/>
        <w:topLinePunct w:val="0"/>
        <w:autoSpaceDE/>
        <w:autoSpaceDN/>
        <w:bidi w:val="0"/>
        <w:adjustRightInd/>
        <w:spacing w:line="560" w:lineRule="exact"/>
        <w:ind w:left="0" w:right="0" w:firstLine="632" w:firstLineChars="200"/>
        <w:jc w:val="both"/>
        <w:textAlignment w:val="auto"/>
      </w:pPr>
      <w:r>
        <w:rPr>
          <w:rFonts w:hint="eastAsia" w:ascii="仿宋" w:hAnsi="仿宋" w:eastAsia="仿宋" w:cs="仿宋"/>
          <w:spacing w:val="-2"/>
          <w:sz w:val="32"/>
          <w:szCs w:val="32"/>
        </w:rPr>
        <w:t>②对个人和家庭补助支出</w:t>
      </w:r>
      <w:r>
        <w:rPr>
          <w:rFonts w:hint="eastAsia" w:ascii="仿宋" w:hAnsi="仿宋" w:eastAsia="仿宋" w:cs="仿宋"/>
          <w:color w:val="auto"/>
          <w:spacing w:val="-2"/>
          <w:kern w:val="2"/>
          <w:sz w:val="32"/>
          <w:szCs w:val="32"/>
          <w:lang w:val="en-US" w:eastAsia="zh-CN" w:bidi="ar-SA"/>
        </w:rPr>
        <w:t>201.64</w:t>
      </w:r>
      <w:r>
        <w:rPr>
          <w:rFonts w:hint="eastAsia" w:ascii="仿宋" w:hAnsi="仿宋" w:eastAsia="仿宋" w:cs="仿宋"/>
          <w:spacing w:val="-2"/>
          <w:sz w:val="32"/>
          <w:szCs w:val="32"/>
        </w:rPr>
        <w:t>万元。主要包括生活补助、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其他对个人和家庭的补助等支出。</w:t>
      </w:r>
    </w:p>
    <w:p w14:paraId="01D8E6C7">
      <w:pPr>
        <w:keepNext w:val="0"/>
        <w:keepLines w:val="0"/>
        <w:pageBreakBefore w:val="0"/>
        <w:widowControl w:val="0"/>
        <w:numPr>
          <w:ilvl w:val="0"/>
          <w:numId w:val="0"/>
        </w:numPr>
        <w:shd w:val="clear" w:color="auto" w:fill="FFFFFF"/>
        <w:kinsoku/>
        <w:wordWrap/>
        <w:overflowPunct w:val="0"/>
        <w:topLinePunct w:val="0"/>
        <w:autoSpaceDE/>
        <w:autoSpaceDN/>
        <w:bidi w:val="0"/>
        <w:adjustRightInd/>
        <w:spacing w:line="560" w:lineRule="exact"/>
        <w:ind w:right="0" w:rightChars="0" w:firstLine="632" w:firstLineChars="200"/>
        <w:jc w:val="both"/>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kern w:val="2"/>
          <w:sz w:val="32"/>
          <w:szCs w:val="32"/>
          <w:lang w:val="en-US" w:eastAsia="zh-CN" w:bidi="ar-SA"/>
        </w:rPr>
        <w:t>（2）</w:t>
      </w:r>
      <w:r>
        <w:rPr>
          <w:rFonts w:hint="eastAsia" w:ascii="仿宋" w:hAnsi="仿宋" w:eastAsia="仿宋" w:cs="仿宋"/>
          <w:spacing w:val="-2"/>
          <w:sz w:val="32"/>
          <w:szCs w:val="32"/>
        </w:rPr>
        <w:t>日常公用经费。日常公用经费</w:t>
      </w:r>
      <w:r>
        <w:rPr>
          <w:rFonts w:hint="eastAsia" w:ascii="仿宋" w:hAnsi="仿宋" w:eastAsia="仿宋" w:cs="仿宋"/>
          <w:spacing w:val="-2"/>
          <w:sz w:val="32"/>
          <w:szCs w:val="32"/>
          <w:lang w:val="en-US" w:eastAsia="zh-CN"/>
        </w:rPr>
        <w:t>77.69</w:t>
      </w:r>
      <w:r>
        <w:rPr>
          <w:rFonts w:hint="eastAsia" w:ascii="仿宋" w:hAnsi="仿宋" w:eastAsia="仿宋" w:cs="仿宋"/>
          <w:spacing w:val="-2"/>
          <w:sz w:val="32"/>
          <w:szCs w:val="32"/>
        </w:rPr>
        <w:t>万元，</w:t>
      </w:r>
      <w:r>
        <w:rPr>
          <w:rFonts w:hint="eastAsia" w:ascii="仿宋" w:hAnsi="仿宋" w:eastAsia="仿宋" w:cs="仿宋"/>
          <w:color w:val="auto"/>
          <w:spacing w:val="-2"/>
          <w:kern w:val="2"/>
          <w:sz w:val="32"/>
          <w:szCs w:val="32"/>
          <w:lang w:val="en-US" w:eastAsia="zh-CN" w:bidi="ar-SA"/>
        </w:rPr>
        <w:t>较上年增加29.62万元，上幅61.64%，</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支出口径不一致，本年度非税资金大部分为一般公共预算资金(非税拨款)，核算计入基本支出中，而上年度同样的支出使用非税专户资金支付，通过项目支出核算；根据政策要求，本年度更换国产电脑，日常公用经费增加。</w:t>
      </w:r>
    </w:p>
    <w:p w14:paraId="39174FA6">
      <w:pPr>
        <w:keepNext w:val="0"/>
        <w:keepLines w:val="0"/>
        <w:pageBreakBefore w:val="0"/>
        <w:widowControl w:val="0"/>
        <w:numPr>
          <w:ilvl w:val="0"/>
          <w:numId w:val="0"/>
        </w:numPr>
        <w:shd w:val="clear" w:color="auto" w:fill="FFFFFF"/>
        <w:kinsoku/>
        <w:wordWrap/>
        <w:overflowPunct w:val="0"/>
        <w:topLinePunct w:val="0"/>
        <w:autoSpaceDE/>
        <w:autoSpaceDN/>
        <w:bidi w:val="0"/>
        <w:adjustRightInd/>
        <w:spacing w:line="560" w:lineRule="exact"/>
        <w:ind w:right="0" w:rightChars="0" w:firstLine="632" w:firstLineChars="200"/>
        <w:jc w:val="both"/>
        <w:textAlignment w:val="auto"/>
      </w:pPr>
      <w:r>
        <w:rPr>
          <w:rFonts w:hint="eastAsia" w:ascii="仿宋" w:hAnsi="仿宋" w:eastAsia="仿宋" w:cs="仿宋"/>
          <w:spacing w:val="-2"/>
          <w:sz w:val="32"/>
          <w:szCs w:val="32"/>
        </w:rPr>
        <w:t>①商品和服务支出</w:t>
      </w:r>
      <w:r>
        <w:rPr>
          <w:rFonts w:hint="eastAsia" w:ascii="仿宋" w:hAnsi="仿宋" w:eastAsia="仿宋" w:cs="仿宋"/>
          <w:color w:val="auto"/>
          <w:spacing w:val="-2"/>
          <w:kern w:val="2"/>
          <w:sz w:val="32"/>
          <w:szCs w:val="32"/>
          <w:lang w:val="en-US" w:eastAsia="zh-CN" w:bidi="ar-SA"/>
        </w:rPr>
        <w:t>69.85</w:t>
      </w:r>
      <w:r>
        <w:rPr>
          <w:rFonts w:hint="eastAsia" w:ascii="仿宋" w:hAnsi="仿宋" w:eastAsia="仿宋" w:cs="仿宋"/>
          <w:spacing w:val="-2"/>
          <w:sz w:val="32"/>
          <w:szCs w:val="32"/>
        </w:rPr>
        <w:t>万元。主要包括日常运行正常</w:t>
      </w:r>
      <w:r>
        <w:rPr>
          <w:rFonts w:hint="eastAsia" w:ascii="仿宋" w:hAnsi="仿宋" w:eastAsia="仿宋" w:cs="仿宋"/>
          <w:spacing w:val="-2"/>
          <w:sz w:val="32"/>
          <w:szCs w:val="32"/>
          <w:lang w:eastAsia="zh-CN"/>
        </w:rPr>
        <w:t>的</w:t>
      </w:r>
      <w:r>
        <w:rPr>
          <w:rFonts w:hint="eastAsia" w:ascii="仿宋" w:hAnsi="仿宋" w:eastAsia="仿宋" w:cs="仿宋"/>
          <w:spacing w:val="-2"/>
          <w:sz w:val="32"/>
          <w:szCs w:val="32"/>
          <w:lang w:val="en-US" w:eastAsia="zh-CN"/>
        </w:rPr>
        <w:t>物业管理费</w:t>
      </w:r>
      <w:r>
        <w:rPr>
          <w:rFonts w:hint="eastAsia" w:ascii="仿宋" w:hAnsi="仿宋" w:eastAsia="仿宋" w:cs="仿宋"/>
          <w:spacing w:val="-2"/>
          <w:sz w:val="32"/>
          <w:szCs w:val="32"/>
        </w:rPr>
        <w:t>、工会经费</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福利费</w:t>
      </w:r>
      <w:r>
        <w:rPr>
          <w:rFonts w:hint="eastAsia" w:ascii="仿宋" w:hAnsi="仿宋" w:eastAsia="仿宋" w:cs="仿宋"/>
          <w:spacing w:val="-2"/>
          <w:sz w:val="32"/>
          <w:szCs w:val="32"/>
          <w:lang w:val="en-US" w:eastAsia="zh-CN"/>
        </w:rPr>
        <w:t>、税金及附加费用、</w:t>
      </w:r>
      <w:r>
        <w:rPr>
          <w:rFonts w:hint="eastAsia" w:ascii="仿宋" w:hAnsi="仿宋" w:eastAsia="仿宋" w:cs="仿宋"/>
          <w:spacing w:val="-2"/>
          <w:sz w:val="32"/>
          <w:szCs w:val="32"/>
        </w:rPr>
        <w:t>其他商品服务支出等。</w:t>
      </w:r>
    </w:p>
    <w:p w14:paraId="50F5CB9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spacing w:val="-2"/>
          <w:kern w:val="2"/>
          <w:sz w:val="32"/>
          <w:szCs w:val="32"/>
          <w:lang w:val="en-US" w:eastAsia="zh-CN" w:bidi="ar-SA"/>
        </w:rPr>
        <w:t>②资本性支出7.84万元。主要包括办公设备购置、专用设备购置。</w:t>
      </w:r>
    </w:p>
    <w:p w14:paraId="71B60B2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2.项目支出情况</w:t>
      </w:r>
    </w:p>
    <w:p w14:paraId="1C6230D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auto"/>
          <w:spacing w:val="0"/>
          <w:sz w:val="32"/>
          <w:szCs w:val="32"/>
          <w:shd w:val="clear" w:fill="FFFFFF"/>
        </w:rPr>
      </w:pPr>
      <w:r>
        <w:rPr>
          <w:rFonts w:hint="eastAsia" w:ascii="仿宋" w:hAnsi="仿宋" w:eastAsia="仿宋" w:cs="仿宋"/>
          <w:color w:val="auto"/>
          <w:spacing w:val="-2"/>
          <w:kern w:val="2"/>
          <w:sz w:val="32"/>
          <w:szCs w:val="32"/>
          <w:lang w:val="en-US" w:eastAsia="zh-CN" w:bidi="ar-SA"/>
        </w:rPr>
        <w:t>2023年度</w:t>
      </w:r>
      <w:r>
        <w:rPr>
          <w:rFonts w:hint="default" w:ascii="仿宋" w:hAnsi="仿宋" w:eastAsia="仿宋" w:cs="仿宋"/>
          <w:color w:val="auto"/>
          <w:spacing w:val="-2"/>
          <w:kern w:val="2"/>
          <w:sz w:val="32"/>
          <w:szCs w:val="32"/>
          <w:lang w:val="en-US" w:eastAsia="zh-CN" w:bidi="ar-SA"/>
        </w:rPr>
        <w:t>我</w:t>
      </w:r>
      <w:r>
        <w:rPr>
          <w:rFonts w:hint="eastAsia" w:ascii="仿宋" w:hAnsi="仿宋" w:eastAsia="仿宋" w:cs="仿宋"/>
          <w:color w:val="auto"/>
          <w:spacing w:val="-2"/>
          <w:kern w:val="2"/>
          <w:sz w:val="32"/>
          <w:szCs w:val="32"/>
          <w:lang w:val="en-US" w:eastAsia="zh-CN" w:bidi="ar-SA"/>
        </w:rPr>
        <w:t>中心项目支出3484.31万元，主要用于城乡社区支出（类）其他城乡社区公共设施支出、城乡社区支出（类）城乡社区环境卫生支出、城乡社区支出（类）城市建设支出、城乡社区支出（类）城市公共设施支出、城乡社区支出（类）其他城市基础设施配套费安排的支出、城乡社区支出（类）其他城乡社区支出，其中：市政基础设施日常维护</w:t>
      </w:r>
      <w:r>
        <w:rPr>
          <w:rFonts w:hint="default" w:ascii="仿宋" w:hAnsi="仿宋" w:eastAsia="仿宋" w:cs="仿宋"/>
          <w:color w:val="auto"/>
          <w:spacing w:val="-2"/>
          <w:kern w:val="2"/>
          <w:sz w:val="32"/>
          <w:szCs w:val="32"/>
          <w:lang w:val="en-US" w:eastAsia="zh-CN" w:bidi="ar-SA"/>
        </w:rPr>
        <w:t>费</w:t>
      </w:r>
      <w:r>
        <w:rPr>
          <w:rFonts w:hint="eastAsia" w:ascii="仿宋" w:hAnsi="仿宋" w:eastAsia="仿宋" w:cs="仿宋"/>
          <w:color w:val="auto"/>
          <w:spacing w:val="-2"/>
          <w:kern w:val="2"/>
          <w:sz w:val="32"/>
          <w:szCs w:val="32"/>
          <w:lang w:val="en-US" w:eastAsia="zh-CN" w:bidi="ar-SA"/>
        </w:rPr>
        <w:t>2617.14万元；怀化学院东校区北门交通分流改造项目137.63万元；迎丰市场铁路桥等5座城市桥梁内侧墙面涂装美化改造108.84万元；非税专户294.28万元；湖天北路绿化带内排水管塌陷抢修经费48.89万元；三眼桥维修加固工程7.86万元；舞水三桥四桥及黄花坪大桥维修项目155.39万元；迎丰路等3条路道路路灯接地制作项目50.72万元；公共消防栓维修更换项目15.21万元；购置沥青混合料搅拌环保设备23.69万元；拆除重建团结二桥和改造犀牛塘建设工程24.65万元。2023年项目总支出较上年增加149.84万元，增幅4.49%，主要是年中追加舞水三桥、四桥及黄花坪大桥维修项目资金等。</w:t>
      </w:r>
    </w:p>
    <w:p w14:paraId="050EBF7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2CC21DE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color w:val="auto"/>
          <w:spacing w:val="-2"/>
          <w:kern w:val="2"/>
          <w:sz w:val="32"/>
          <w:szCs w:val="32"/>
          <w:lang w:val="en-US" w:eastAsia="zh-CN" w:bidi="ar-SA"/>
        </w:rPr>
        <w:t>2023年“三公”经费预算为0.1万元,其中:因公出国(境)费预算0万元，公务用车运行维护费0万元，公务接待费0.1万元。“三公”经费本年总支出0.35万元，其中：因公出国(境)费0万元，公务用车运行维护费0万元，公务接待费0.35万元，比预算增加0.25万元，增幅250%，主要原因是由于疫情结束，行业单位来访增加；本年“三公”经费总支出较上年增加0.2万元，增幅123.99%。其中公务接待费比上年增加0.2万元，主要原因是由于疫情结束行业单位来访增加，公务接待费增加。</w:t>
      </w:r>
    </w:p>
    <w:p w14:paraId="3B7AFDD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仿宋"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kern w:val="2"/>
          <w:sz w:val="32"/>
          <w:szCs w:val="32"/>
          <w:lang w:val="en-US" w:eastAsia="zh-CN" w:bidi="ar-SA"/>
        </w:rPr>
        <w:t>我中心严格按照《关于明确市直党政机关公务活动用餐有关事项的通知》怀财行〔2018〕156号文件及相关程序要求执行，对公务接待费加强监督和管理。</w:t>
      </w:r>
    </w:p>
    <w:p w14:paraId="32DB29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0D0AA48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color w:val="auto"/>
          <w:spacing w:val="-2"/>
          <w:sz w:val="32"/>
          <w:szCs w:val="32"/>
          <w:highlight w:val="none"/>
          <w:lang w:val="en-US" w:eastAsia="zh-CN"/>
        </w:rPr>
      </w:pPr>
      <w:r>
        <w:rPr>
          <w:rFonts w:hint="eastAsia" w:ascii="仿宋" w:hAnsi="仿宋" w:eastAsia="仿宋" w:cs="Times New Roman"/>
          <w:spacing w:val="-2"/>
          <w:kern w:val="2"/>
          <w:sz w:val="32"/>
          <w:szCs w:val="32"/>
          <w:lang w:val="en-US" w:eastAsia="zh-CN" w:bidi="ar-SA"/>
        </w:rPr>
        <w:t>2023年我中心政府性基金预算指标2555.12万元，实际支出1478.35万元，均为项目支出，其中：三眼桥维修加固工程7.86万元、日常维护费1264.38万元、舞水三桥、四桥及黄花坪大桥维修项目155.39万元、迎丰路等3条路道路路灯接地制作项目50.72万元。政府性基金预算执行率57.86%。</w:t>
      </w:r>
    </w:p>
    <w:p w14:paraId="6C171A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2008210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hAnsi="仿宋" w:eastAsia="仿宋"/>
          <w:spacing w:val="-2"/>
          <w:sz w:val="32"/>
          <w:szCs w:val="32"/>
          <w:lang w:val="en-US" w:eastAsia="zh-CN"/>
        </w:rPr>
      </w:pPr>
      <w:r>
        <w:rPr>
          <w:rFonts w:hint="eastAsia" w:ascii="仿宋" w:hAnsi="仿宋" w:eastAsia="仿宋" w:cs="仿宋"/>
          <w:spacing w:val="-2"/>
          <w:sz w:val="32"/>
          <w:szCs w:val="32"/>
          <w:lang w:val="en-US" w:eastAsia="zh-CN"/>
        </w:rPr>
        <w:t>2023</w:t>
      </w:r>
      <w:r>
        <w:rPr>
          <w:rFonts w:hint="eastAsia" w:hAnsi="仿宋" w:eastAsia="仿宋"/>
          <w:spacing w:val="-2"/>
          <w:sz w:val="32"/>
          <w:szCs w:val="32"/>
          <w:lang w:val="en-US" w:eastAsia="zh-CN"/>
        </w:rPr>
        <w:t>年本单位无国有资本经营预算支出。</w:t>
      </w:r>
    </w:p>
    <w:p w14:paraId="3BE009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4A992D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hAnsi="仿宋" w:eastAsia="仿宋"/>
          <w:spacing w:val="-2"/>
          <w:sz w:val="32"/>
          <w:szCs w:val="32"/>
          <w:lang w:val="en-US" w:eastAsia="zh-CN"/>
        </w:rPr>
      </w:pPr>
      <w:r>
        <w:rPr>
          <w:rFonts w:hint="eastAsia" w:ascii="仿宋" w:hAnsi="仿宋" w:eastAsia="仿宋" w:cs="仿宋"/>
          <w:spacing w:val="-2"/>
          <w:sz w:val="32"/>
          <w:szCs w:val="32"/>
          <w:lang w:val="en-US" w:eastAsia="zh-CN"/>
        </w:rPr>
        <w:t>2023年</w:t>
      </w:r>
      <w:r>
        <w:rPr>
          <w:rFonts w:hint="eastAsia" w:hAnsi="仿宋" w:eastAsia="仿宋"/>
          <w:spacing w:val="-2"/>
          <w:sz w:val="32"/>
          <w:szCs w:val="32"/>
          <w:lang w:val="en-US" w:eastAsia="zh-CN"/>
        </w:rPr>
        <w:t>本单位无社会保险基金预算支出。</w:t>
      </w:r>
    </w:p>
    <w:p w14:paraId="206FE8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75FD4F8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40AB159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楷体_GB2312" w:eastAsia="楷体_GB2312" w:cs="楷体_GB2312"/>
          <w:i w:val="0"/>
          <w:iCs w:val="0"/>
          <w:caps w:val="0"/>
          <w:color w:val="000000"/>
          <w:spacing w:val="0"/>
          <w:sz w:val="32"/>
          <w:szCs w:val="32"/>
          <w:highlight w:val="none"/>
          <w:shd w:val="clear" w:fill="FFFFFF"/>
        </w:rPr>
      </w:pPr>
      <w:r>
        <w:rPr>
          <w:rFonts w:hint="default" w:ascii="仿宋" w:hAnsi="仿宋" w:eastAsia="仿宋" w:cs="Times New Roman"/>
          <w:spacing w:val="-2"/>
          <w:kern w:val="2"/>
          <w:sz w:val="32"/>
          <w:szCs w:val="32"/>
          <w:lang w:val="en-US" w:eastAsia="zh-CN" w:bidi="ar-SA"/>
        </w:rPr>
        <w:t>根据本次自评情况，</w:t>
      </w:r>
      <w:r>
        <w:rPr>
          <w:rFonts w:hint="eastAsia" w:ascii="仿宋" w:hAnsi="仿宋" w:eastAsia="仿宋" w:cs="Times New Roman"/>
          <w:spacing w:val="-2"/>
          <w:kern w:val="2"/>
          <w:sz w:val="32"/>
          <w:szCs w:val="32"/>
          <w:highlight w:val="none"/>
          <w:lang w:val="en-US" w:eastAsia="zh-CN" w:bidi="ar-SA"/>
        </w:rPr>
        <w:t>我中心</w:t>
      </w:r>
      <w:r>
        <w:rPr>
          <w:rFonts w:hint="default" w:ascii="仿宋" w:hAnsi="仿宋" w:eastAsia="仿宋" w:cs="Times New Roman"/>
          <w:spacing w:val="-2"/>
          <w:kern w:val="2"/>
          <w:sz w:val="32"/>
          <w:szCs w:val="32"/>
          <w:highlight w:val="none"/>
          <w:lang w:val="en-US" w:eastAsia="zh-CN" w:bidi="ar-SA"/>
        </w:rPr>
        <w:t>整</w:t>
      </w:r>
      <w:r>
        <w:rPr>
          <w:rFonts w:hint="default" w:ascii="仿宋" w:hAnsi="仿宋" w:eastAsia="仿宋" w:cs="Times New Roman"/>
          <w:spacing w:val="-2"/>
          <w:kern w:val="2"/>
          <w:sz w:val="32"/>
          <w:szCs w:val="32"/>
          <w:lang w:val="en-US" w:eastAsia="zh-CN" w:bidi="ar-SA"/>
        </w:rPr>
        <w:t>体支出绩效评价得分</w:t>
      </w:r>
      <w:r>
        <w:rPr>
          <w:rFonts w:hint="default" w:ascii="仿宋" w:hAnsi="仿宋" w:eastAsia="仿宋" w:cs="Times New Roman"/>
          <w:spacing w:val="-2"/>
          <w:kern w:val="2"/>
          <w:sz w:val="32"/>
          <w:szCs w:val="32"/>
          <w:highlight w:val="none"/>
          <w:lang w:val="en-US" w:eastAsia="zh-CN" w:bidi="ar-SA"/>
        </w:rPr>
        <w:t>为9</w:t>
      </w:r>
      <w:r>
        <w:rPr>
          <w:rFonts w:hint="eastAsia" w:ascii="仿宋" w:hAnsi="仿宋" w:eastAsia="仿宋" w:cs="Times New Roman"/>
          <w:spacing w:val="-2"/>
          <w:kern w:val="2"/>
          <w:sz w:val="32"/>
          <w:szCs w:val="32"/>
          <w:highlight w:val="none"/>
          <w:lang w:val="en-US" w:eastAsia="zh-CN" w:bidi="ar-SA"/>
        </w:rPr>
        <w:t>9</w:t>
      </w:r>
      <w:r>
        <w:rPr>
          <w:rFonts w:hint="default" w:ascii="仿宋" w:hAnsi="仿宋" w:eastAsia="仿宋" w:cs="Times New Roman"/>
          <w:spacing w:val="-2"/>
          <w:kern w:val="2"/>
          <w:sz w:val="32"/>
          <w:szCs w:val="32"/>
          <w:highlight w:val="none"/>
          <w:lang w:val="en-US" w:eastAsia="zh-CN" w:bidi="ar-SA"/>
        </w:rPr>
        <w:t>分，自评等级为优。</w:t>
      </w:r>
    </w:p>
    <w:p w14:paraId="2F64201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4DECFB8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_GB2312" w:eastAsia="仿宋_GB2312" w:cs="仿宋_GB2312"/>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我中心严格按照绩效目标制定的相关规定，</w:t>
      </w:r>
      <w:r>
        <w:rPr>
          <w:rFonts w:hint="default" w:ascii="仿宋" w:hAnsi="仿宋" w:eastAsia="仿宋" w:cs="仿宋"/>
          <w:spacing w:val="-2"/>
          <w:sz w:val="32"/>
          <w:szCs w:val="32"/>
          <w:highlight w:val="none"/>
          <w:lang w:val="en-US" w:eastAsia="zh-CN"/>
        </w:rPr>
        <w:t>围绕部门职责、行业发展规划</w:t>
      </w:r>
      <w:r>
        <w:rPr>
          <w:rFonts w:hint="eastAsia" w:ascii="仿宋" w:hAnsi="仿宋" w:eastAsia="仿宋" w:cs="仿宋"/>
          <w:spacing w:val="-2"/>
          <w:sz w:val="32"/>
          <w:szCs w:val="32"/>
          <w:highlight w:val="none"/>
          <w:lang w:val="en-US" w:eastAsia="zh-CN"/>
        </w:rPr>
        <w:t>，完整、合理地制定整体绩效目标，绩效指标基本做到细化量化。</w:t>
      </w:r>
    </w:p>
    <w:p w14:paraId="04B7E95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spacing w:val="-2"/>
          <w:sz w:val="32"/>
          <w:szCs w:val="32"/>
          <w:highlight w:val="none"/>
          <w:lang w:val="en-US" w:eastAsia="zh-CN"/>
        </w:rPr>
        <w:t>.整体绩效目标设定</w:t>
      </w:r>
    </w:p>
    <w:p w14:paraId="3437B94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_GB2312"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（1）绩效目标合理性。绩效目标符合国家法律法规、国民经济和社会发展总体规划；符合部门“三定”方案确定的职责；符合部门制定的中长期实施规划。</w:t>
      </w:r>
    </w:p>
    <w:p w14:paraId="454132E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（2）绩效指标明确性。将部门整体的绩效目标细化分解为具体的工作任务；与部门年度的任务数或计划数相对应；与本年度部门预算资金相匹配。</w:t>
      </w:r>
    </w:p>
    <w:p w14:paraId="430D536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2.预算配置</w:t>
      </w:r>
    </w:p>
    <w:p w14:paraId="1971056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在职人员控制率。2023年编制数160人，实际在职人员数158人，在职人员控制率为98.75%，控制在预算编制内。</w:t>
      </w:r>
    </w:p>
    <w:p w14:paraId="54AFC6F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宋体" w:hAnsi="宋体" w:eastAsia="宋体" w:cs="宋体"/>
          <w:color w:val="auto"/>
          <w:spacing w:val="-2"/>
          <w:sz w:val="32"/>
          <w:szCs w:val="32"/>
          <w:lang w:val="en-US" w:eastAsia="zh-CN"/>
        </w:rPr>
      </w:pPr>
      <w:r>
        <w:rPr>
          <w:rFonts w:hint="eastAsia" w:ascii="宋体" w:hAnsi="宋体" w:eastAsia="宋体" w:cs="宋体"/>
          <w:color w:val="auto"/>
          <w:spacing w:val="-2"/>
          <w:sz w:val="32"/>
          <w:szCs w:val="32"/>
          <w:lang w:val="en-US" w:eastAsia="zh-CN"/>
        </w:rPr>
        <w:t>（2）</w:t>
      </w:r>
      <w:r>
        <w:rPr>
          <w:rFonts w:hint="eastAsia" w:ascii="仿宋" w:hAnsi="仿宋" w:eastAsia="仿宋" w:cs="仿宋"/>
          <w:color w:val="auto"/>
          <w:spacing w:val="-2"/>
          <w:sz w:val="32"/>
          <w:szCs w:val="32"/>
          <w:lang w:val="en-US" w:eastAsia="zh-CN"/>
        </w:rPr>
        <w:t>“三公经费”变动率。2023年“三公经费”预算数0.1万元，上年度“三公经费”预算数1.26万元，“三公经费”变动率-92.06%，本年度公务用车运行维护费无预算。</w:t>
      </w:r>
    </w:p>
    <w:p w14:paraId="0837D97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color w:val="auto"/>
          <w:spacing w:val="-2"/>
          <w:sz w:val="32"/>
          <w:szCs w:val="32"/>
          <w:highlight w:val="yellow"/>
          <w:lang w:val="en-US" w:eastAsia="zh-CN"/>
        </w:rPr>
      </w:pPr>
      <w:r>
        <w:rPr>
          <w:rFonts w:hint="eastAsia" w:ascii="仿宋" w:hAnsi="仿宋" w:eastAsia="仿宋" w:cs="仿宋"/>
          <w:color w:val="auto"/>
          <w:spacing w:val="-2"/>
          <w:sz w:val="32"/>
          <w:szCs w:val="32"/>
          <w:lang w:val="en-US" w:eastAsia="zh-CN"/>
        </w:rPr>
        <w:t>（3）重点支出安排率。</w:t>
      </w:r>
      <w:r>
        <w:rPr>
          <w:rFonts w:hint="eastAsia" w:ascii="仿宋" w:hAnsi="仿宋" w:eastAsia="仿宋" w:cs="仿宋"/>
          <w:color w:val="auto"/>
          <w:spacing w:val="-2"/>
          <w:sz w:val="32"/>
          <w:szCs w:val="32"/>
          <w:highlight w:val="none"/>
          <w:lang w:val="en-US" w:eastAsia="zh-CN"/>
        </w:rPr>
        <w:t>2023年重点预算支出3954.11万元，预算总支出5693.59万元，重点支出安排率69.45%。</w:t>
      </w:r>
    </w:p>
    <w:p w14:paraId="6BC8ECF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w:t>
      </w:r>
      <w:r>
        <w:rPr>
          <w:rFonts w:hint="default" w:ascii="仿宋" w:hAnsi="仿宋" w:eastAsia="仿宋" w:cs="仿宋"/>
          <w:spacing w:val="-2"/>
          <w:sz w:val="32"/>
          <w:szCs w:val="32"/>
          <w:highlight w:val="none"/>
          <w:lang w:val="en-US" w:eastAsia="zh-CN"/>
        </w:rPr>
        <w:t>预算执行</w:t>
      </w:r>
    </w:p>
    <w:p w14:paraId="25FDB9D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（1）预算执行率。2023年全年预算数4814.39万元，执行数4814.39万元，预算执行率100%。</w:t>
      </w:r>
    </w:p>
    <w:p w14:paraId="34A15E4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预算调整率。2023年预算调整数879.2万元，年初预算数5693.59万元，预算调整率15.44%。主要是因为年初预算项目中心城区城市桥梁湖天中桥等37座常规检测项目已完工，暂未结算；云溪一桥桥头路基防护工程项目因条件未成熟，2023年暂未实施。</w:t>
      </w:r>
    </w:p>
    <w:p w14:paraId="06A1901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_GB2312"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（3）公用经费控制率。2023年预算安排公用经费总额82万元，实际安排公用经费总额69.85万元，公用经费控制率85.18%，公用经费控制较好。</w:t>
      </w:r>
    </w:p>
    <w:p w14:paraId="21EF2326">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（4）“三公经费”控制率。2023年“三公经费”预算安排数0.1万元，实际支出数0.35万元，“三公经费”控制率350%，未控制在预算范围内，</w:t>
      </w:r>
      <w:r>
        <w:rPr>
          <w:rFonts w:hint="eastAsia" w:hAnsi="仿宋" w:eastAsia="仿宋"/>
          <w:spacing w:val="-2"/>
          <w:sz w:val="32"/>
          <w:szCs w:val="32"/>
          <w:lang w:val="en-US" w:eastAsia="zh-CN"/>
        </w:rPr>
        <w:t>主要原因是由于疫情结束行业单位来访增加，公务接待费增加。</w:t>
      </w:r>
    </w:p>
    <w:p w14:paraId="31F5632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（5）政府采购执行率</w:t>
      </w:r>
    </w:p>
    <w:p w14:paraId="76277BB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政府采购预算386.34万元，实际政府采购金额1127.49万元，政府采购执行率291.84%，未控制在预算范围内。</w:t>
      </w:r>
    </w:p>
    <w:p w14:paraId="1C031D0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4.</w:t>
      </w:r>
      <w:r>
        <w:rPr>
          <w:rFonts w:hint="default" w:ascii="仿宋" w:hAnsi="仿宋" w:eastAsia="仿宋" w:cs="仿宋"/>
          <w:spacing w:val="-2"/>
          <w:sz w:val="32"/>
          <w:szCs w:val="32"/>
          <w:highlight w:val="none"/>
          <w:lang w:val="en-US" w:eastAsia="zh-CN"/>
        </w:rPr>
        <w:t>预算管理</w:t>
      </w:r>
    </w:p>
    <w:p w14:paraId="028C9D6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_GB2312"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（1）管理制度健全性。我单位已制定内部财务管理制度，并严格按管理办法执行。</w:t>
      </w:r>
    </w:p>
    <w:p w14:paraId="482CDB22">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（2）资金使用合规性。资金的拨付有完整的审批程序和手续，预算支出的重大开支经集体决策;不存在截留、挤占、挪用、虚列支出等情况。</w:t>
      </w:r>
    </w:p>
    <w:p w14:paraId="0DF10CCA">
      <w:pPr>
        <w:keepNext w:val="0"/>
        <w:keepLines w:val="0"/>
        <w:pageBreakBefore w:val="0"/>
        <w:widowControl w:val="0"/>
        <w:kinsoku/>
        <w:wordWrap/>
        <w:overflowPunct w:val="0"/>
        <w:topLinePunct w:val="0"/>
        <w:autoSpaceDE/>
        <w:autoSpaceDN/>
        <w:bidi w:val="0"/>
        <w:adjustRightInd/>
        <w:snapToGrid/>
        <w:spacing w:line="560" w:lineRule="exact"/>
        <w:ind w:firstLine="632" w:firstLineChars="200"/>
        <w:jc w:val="both"/>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（3）预决算信息公开性。按财政规定内容、规定时限完成预决算公开信息。</w:t>
      </w:r>
    </w:p>
    <w:p w14:paraId="48FC4BA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5.</w:t>
      </w:r>
      <w:r>
        <w:rPr>
          <w:rFonts w:hint="default" w:ascii="仿宋" w:hAnsi="仿宋" w:eastAsia="仿宋" w:cs="仿宋"/>
          <w:spacing w:val="-2"/>
          <w:kern w:val="0"/>
          <w:sz w:val="32"/>
          <w:szCs w:val="32"/>
          <w:highlight w:val="none"/>
          <w:lang w:val="en-US" w:eastAsia="zh-CN" w:bidi="ar"/>
        </w:rPr>
        <w:t>资产管理</w:t>
      </w:r>
    </w:p>
    <w:p w14:paraId="472C7526">
      <w:pPr>
        <w:keepNext w:val="0"/>
        <w:keepLines w:val="0"/>
        <w:pageBreakBefore w:val="0"/>
        <w:widowControl w:val="0"/>
        <w:kinsoku/>
        <w:wordWrap/>
        <w:overflowPunct w:val="0"/>
        <w:topLinePunct w:val="0"/>
        <w:autoSpaceDE/>
        <w:autoSpaceDN/>
        <w:bidi w:val="0"/>
        <w:adjustRightInd/>
        <w:snapToGrid/>
        <w:spacing w:line="560" w:lineRule="exact"/>
        <w:ind w:firstLine="632" w:firstLineChars="200"/>
        <w:jc w:val="both"/>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仿宋"/>
          <w:spacing w:val="-2"/>
          <w:kern w:val="0"/>
          <w:sz w:val="32"/>
          <w:szCs w:val="32"/>
          <w:highlight w:val="none"/>
          <w:lang w:val="en-US" w:eastAsia="zh-CN" w:bidi="ar"/>
        </w:rPr>
        <w:t>（1）管理制度健全性。我单位已制定《固定资产管理制度》，并严格按照制度执行。</w:t>
      </w:r>
    </w:p>
    <w:p w14:paraId="30F756CC">
      <w:pPr>
        <w:keepNext w:val="0"/>
        <w:keepLines w:val="0"/>
        <w:pageBreakBefore w:val="0"/>
        <w:widowControl w:val="0"/>
        <w:kinsoku/>
        <w:wordWrap/>
        <w:overflowPunct w:val="0"/>
        <w:topLinePunct w:val="0"/>
        <w:autoSpaceDE/>
        <w:autoSpaceDN/>
        <w:bidi w:val="0"/>
        <w:adjustRightInd/>
        <w:snapToGrid/>
        <w:spacing w:line="560" w:lineRule="exact"/>
        <w:ind w:firstLine="632" w:firstLineChars="200"/>
        <w:jc w:val="both"/>
        <w:textAlignment w:val="auto"/>
        <w:rPr>
          <w:rFonts w:hint="eastAsia" w:ascii="仿宋" w:hAnsi="仿宋" w:eastAsia="仿宋_GB2312" w:cs="仿宋"/>
          <w:spacing w:val="-2"/>
          <w:sz w:val="32"/>
          <w:szCs w:val="32"/>
          <w:highlight w:val="none"/>
          <w:lang w:val="en-US" w:eastAsia="zh-CN"/>
        </w:rPr>
      </w:pPr>
      <w:r>
        <w:rPr>
          <w:rFonts w:hint="eastAsia" w:ascii="仿宋" w:hAnsi="仿宋" w:eastAsia="仿宋" w:cs="仿宋"/>
          <w:spacing w:val="-2"/>
          <w:kern w:val="0"/>
          <w:sz w:val="32"/>
          <w:szCs w:val="32"/>
          <w:highlight w:val="none"/>
          <w:lang w:val="en-US" w:eastAsia="zh-CN" w:bidi="ar"/>
        </w:rPr>
        <w:t>（2）资产管理安全性。资产保存完整、资产配置合理、资产处置规范、资产账务管理帐实相符、处置收入及时足额上缴。</w:t>
      </w:r>
    </w:p>
    <w:p w14:paraId="14379B9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kern w:val="0"/>
          <w:sz w:val="32"/>
          <w:szCs w:val="32"/>
          <w:highlight w:val="none"/>
          <w:lang w:val="en-US" w:eastAsia="zh-CN" w:bidi="ar"/>
        </w:rPr>
        <w:t>6.职责履行</w:t>
      </w:r>
    </w:p>
    <w:p w14:paraId="205311E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（1）实际完成情况</w:t>
      </w:r>
    </w:p>
    <w:p w14:paraId="122C505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2023年通过车（人）道路、排水、路灯、桥梁维护以及智慧城管信息系统等现代化信息手段完成89条道路、2个广场、49座桥梁、10,324检查井、7,654雨水井以及6,600杆路灯的日常维护工作，完成目标。具体如下：</w:t>
      </w:r>
    </w:p>
    <w:p w14:paraId="43DC273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一是道路维护管理。完成修复车行道沥青路面4.5万平方米、道路坑洞1200余处，修复人行道板4.8万余平方米，安装隔离墩（柱）1300余个，增设人行道无障碍坡道近500余个，安装人行道护栏4500余米，安装更换井盖130余个，完成了红星南路等5条道路部分路段提质改造。</w:t>
      </w:r>
    </w:p>
    <w:p w14:paraId="70FE262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二是排水维护管理。完成清淤疏通各类雨水井、检查井6500余座，更换破损雨水井、检查井井盖2100座，管道清淤疏通3200余米，重点完成了湖天北路、瑞丰路、刘塘路、人民路、红星南北路、八一路等排水管网局部改造。</w:t>
      </w:r>
    </w:p>
    <w:p w14:paraId="5D985C0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三是照明维护管理。完成维护及更换路灯电缆9200余米，维修LED路灯3800余盏，更换路灯电缆3800余米，维修路灯控制箱80余台，盲灯区新建安装太阳能路灯13杆，改造高低压输电线路60杆，迎丰中路180余杆路灯接地制作7200余米。</w:t>
      </w:r>
    </w:p>
    <w:p w14:paraId="2CFBDBE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四是桥梁维护管理。完成迎丰中路主干道上存在重大安全隐患的D级桥梁板溪桥的改建，重新设计改建后的板溪梁按城市A级荷载可达到100吨，能完全满足城市主干道交通运输要求；完成迎丰市场铁路桥、锦溪北路铁路桥、迎丰立交桥、高铁南站铁路桥、红星桥5座桥梁的涂装美化翻新；完成49座桥铭牌和限载牌的更新和安装，黄花坪大桥、毛家溪桥伸缩缝等维护，以及迎丰立交桥、云溪桥、云溪公跨铁等城市桥梁和地下通道防撞护栏、临空护栏的安装和修复；重点完成了湖天大桥、舞水二桥等37座桥梁的定期检测，通过汽车式桥梁检测车、检测仪器对桥梁主梁、支座、墩柱、盖梁、桥台等缺陷以及桥梁的承载能力进行了专项检测。</w:t>
      </w:r>
    </w:p>
    <w:p w14:paraId="073B8F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五是破道施工管理。全年累计办理破道审批手续26处，下达各类道路整改通知书350处，行政许可非税收费近200万元。</w:t>
      </w:r>
    </w:p>
    <w:p w14:paraId="5271338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六是智慧城管运行管理。全年及时处理智慧城管派单2000余件，完成市民投诉整改400余条，完成红网百姓呼声、问政湖南等投诉10余起，完成率达100%。</w:t>
      </w:r>
    </w:p>
    <w:p w14:paraId="110559A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（2）质量完成情况</w:t>
      </w:r>
    </w:p>
    <w:p w14:paraId="1E9F5A6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市政基础设施日常维护工作完成率98%，市政设施完好率95%，亮灯率98%，完成目标。</w:t>
      </w:r>
    </w:p>
    <w:p w14:paraId="642AFA6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（3）完成及时情况</w:t>
      </w:r>
    </w:p>
    <w:p w14:paraId="4934183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highlight w:val="none"/>
          <w:lang w:val="en-US" w:eastAsia="zh-CN"/>
        </w:rPr>
        <w:t>整体工作在2023年12月底之前完成，完成目标。</w:t>
      </w:r>
    </w:p>
    <w:p w14:paraId="4FCFCC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kern w:val="0"/>
          <w:sz w:val="32"/>
          <w:szCs w:val="32"/>
          <w:highlight w:val="none"/>
          <w:lang w:val="en-US" w:eastAsia="zh-CN" w:bidi="ar"/>
        </w:rPr>
        <w:t>7.履职效益情况</w:t>
      </w:r>
    </w:p>
    <w:p w14:paraId="0779F5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（1）社会效益</w:t>
      </w:r>
    </w:p>
    <w:p w14:paraId="59A9CD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仿宋" w:cs="黑体"/>
          <w:i w:val="0"/>
          <w:iCs w:val="0"/>
          <w:caps w:val="0"/>
          <w:color w:val="000000"/>
          <w:spacing w:val="0"/>
          <w:sz w:val="32"/>
          <w:szCs w:val="32"/>
          <w:shd w:val="clear" w:fill="FFFFFF"/>
          <w:lang w:eastAsia="zh-CN"/>
        </w:rPr>
      </w:pPr>
      <w:r>
        <w:rPr>
          <w:rFonts w:hint="eastAsia" w:ascii="仿宋" w:hAnsi="仿宋" w:eastAsia="仿宋" w:cs="仿宋"/>
          <w:spacing w:val="-2"/>
          <w:sz w:val="32"/>
          <w:szCs w:val="32"/>
          <w:highlight w:val="none"/>
          <w:lang w:val="en-US" w:eastAsia="zh-CN"/>
        </w:rPr>
        <w:t>做好城区市政基础设施日常维护工作，方便人民群众出行，</w:t>
      </w:r>
      <w:r>
        <w:rPr>
          <w:rFonts w:hint="eastAsia" w:ascii="仿宋" w:hAnsi="仿宋" w:eastAsia="仿宋" w:cs="仿宋"/>
          <w:color w:val="000000"/>
          <w:kern w:val="0"/>
          <w:sz w:val="32"/>
          <w:szCs w:val="32"/>
          <w:lang w:val="en-US" w:eastAsia="zh-CN" w:bidi="ar"/>
        </w:rPr>
        <w:t>提高了人民群众的满意度和幸福感，完成目标。</w:t>
      </w:r>
    </w:p>
    <w:p w14:paraId="02AF20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（2）生态效益</w:t>
      </w:r>
    </w:p>
    <w:p w14:paraId="336F79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仿宋" w:hAnsi="仿宋" w:eastAsia="仿宋" w:cs="仿宋"/>
          <w:spacing w:val="-2"/>
          <w:sz w:val="32"/>
          <w:szCs w:val="32"/>
          <w:highlight w:val="none"/>
          <w:lang w:val="en-US" w:eastAsia="zh-CN"/>
        </w:rPr>
        <w:t>改善市区市容市貌，提升城市品位，完成目标。</w:t>
      </w:r>
    </w:p>
    <w:p w14:paraId="2B8453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（3）可持续影响效益</w:t>
      </w:r>
    </w:p>
    <w:p w14:paraId="636783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确保城区基础设施完好，完成目标。</w:t>
      </w:r>
    </w:p>
    <w:p w14:paraId="2EC2D9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（4）满意度</w:t>
      </w:r>
    </w:p>
    <w:p w14:paraId="2403EF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spacing w:val="-2"/>
          <w:sz w:val="32"/>
          <w:szCs w:val="32"/>
          <w:highlight w:val="none"/>
          <w:lang w:val="en-US" w:eastAsia="zh-CN"/>
        </w:rPr>
        <w:t>人民群众满意度94.886%，基本完成目标。</w:t>
      </w:r>
    </w:p>
    <w:p w14:paraId="061E41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084E1B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年初绩效评价指标体系不完善，绩效目标设立不够细化。</w:t>
      </w:r>
    </w:p>
    <w:p w14:paraId="089B94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6DDC43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年初预算绩效目标设立要细化、量化。在布置预算绩效管理工作时，相关负责人要督促各项目负责人从预算编制开始，做好收集、汇总项目各个阶段的痕迹资料。</w:t>
      </w:r>
    </w:p>
    <w:p w14:paraId="08E4F5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6E6645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无。</w:t>
      </w:r>
      <w:bookmarkStart w:id="0" w:name="_GoBack"/>
      <w:bookmarkEnd w:id="0"/>
    </w:p>
    <w:p w14:paraId="4CE042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附件：</w:t>
      </w:r>
      <w:r>
        <w:rPr>
          <w:rFonts w:hint="eastAsia" w:ascii="仿宋" w:hAnsi="仿宋" w:eastAsia="仿宋" w:cs="仿宋"/>
          <w:spacing w:val="-2"/>
          <w:sz w:val="32"/>
          <w:szCs w:val="32"/>
          <w:highlight w:val="none"/>
          <w:lang w:val="en-US" w:eastAsia="zh-CN"/>
        </w:rPr>
        <w:t>1.</w:t>
      </w:r>
      <w:r>
        <w:rPr>
          <w:rFonts w:hint="default" w:ascii="仿宋" w:hAnsi="仿宋" w:eastAsia="仿宋" w:cs="仿宋"/>
          <w:spacing w:val="-2"/>
          <w:sz w:val="32"/>
          <w:szCs w:val="32"/>
          <w:highlight w:val="none"/>
          <w:lang w:val="en-US" w:eastAsia="zh-CN"/>
        </w:rPr>
        <w:t>部门整体支出绩效评价基础数据表</w:t>
      </w:r>
      <w:r>
        <w:rPr>
          <w:rFonts w:hint="eastAsia" w:ascii="仿宋" w:hAnsi="仿宋" w:eastAsia="仿宋" w:cs="仿宋"/>
          <w:spacing w:val="-2"/>
          <w:sz w:val="32"/>
          <w:szCs w:val="32"/>
          <w:highlight w:val="none"/>
          <w:lang w:val="en-US" w:eastAsia="zh-CN"/>
        </w:rPr>
        <w:t xml:space="preserve">  </w:t>
      </w:r>
    </w:p>
    <w:p w14:paraId="02CCB4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1580" w:firstLineChars="500"/>
        <w:textAlignment w:val="auto"/>
        <w:rPr>
          <w:rFonts w:hint="default" w:ascii="仿宋" w:hAnsi="仿宋" w:eastAsia="仿宋" w:cs="仿宋"/>
          <w:spacing w:val="-2"/>
          <w:sz w:val="32"/>
          <w:szCs w:val="32"/>
          <w:highlight w:val="none"/>
          <w:lang w:val="en-US" w:eastAsia="zh-CN"/>
        </w:rPr>
        <w:sectPr>
          <w:footerReference r:id="rId3" w:type="default"/>
          <w:pgSz w:w="11906" w:h="16838"/>
          <w:pgMar w:top="2098" w:right="1800" w:bottom="1984" w:left="1587" w:header="851" w:footer="992" w:gutter="0"/>
          <w:pgNumType w:fmt="decimal" w:start="1"/>
          <w:cols w:space="425" w:num="1"/>
          <w:docGrid w:type="lines" w:linePitch="312" w:charSpace="0"/>
        </w:sectPr>
      </w:pPr>
      <w:r>
        <w:rPr>
          <w:rFonts w:hint="eastAsia" w:ascii="仿宋" w:hAnsi="仿宋" w:eastAsia="仿宋" w:cs="仿宋"/>
          <w:spacing w:val="-2"/>
          <w:sz w:val="32"/>
          <w:szCs w:val="32"/>
          <w:highlight w:val="none"/>
          <w:lang w:val="en-US" w:eastAsia="zh-CN"/>
        </w:rPr>
        <w:t>2.</w:t>
      </w:r>
      <w:r>
        <w:rPr>
          <w:rFonts w:hint="default" w:ascii="仿宋" w:hAnsi="仿宋" w:eastAsia="仿宋" w:cs="仿宋"/>
          <w:spacing w:val="-2"/>
          <w:sz w:val="32"/>
          <w:szCs w:val="32"/>
          <w:highlight w:val="none"/>
          <w:lang w:val="en-US" w:eastAsia="zh-CN"/>
        </w:rPr>
        <w:t>部门整体支出绩效自评表</w:t>
      </w:r>
    </w:p>
    <w:p w14:paraId="0233A2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 xml:space="preserve">附件1-1 </w:t>
      </w:r>
    </w:p>
    <w:p w14:paraId="2DDD687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535B3E1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填报单位：怀化市市政设施维护中心</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6E2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1593D2B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91352A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71DFE07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4CD0F45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764B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17816FB">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7571D9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160</w:t>
            </w:r>
          </w:p>
        </w:tc>
        <w:tc>
          <w:tcPr>
            <w:tcW w:w="2240" w:type="dxa"/>
            <w:gridSpan w:val="2"/>
            <w:noWrap w:val="0"/>
            <w:vAlign w:val="center"/>
          </w:tcPr>
          <w:p w14:paraId="6A23D30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158</w:t>
            </w:r>
          </w:p>
        </w:tc>
        <w:tc>
          <w:tcPr>
            <w:tcW w:w="1832" w:type="dxa"/>
            <w:gridSpan w:val="2"/>
            <w:noWrap w:val="0"/>
            <w:vAlign w:val="center"/>
          </w:tcPr>
          <w:p w14:paraId="2197C7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98.75%</w:t>
            </w:r>
          </w:p>
        </w:tc>
      </w:tr>
      <w:tr w14:paraId="03BA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688A9A8">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经费控制情况</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万元</w:t>
            </w:r>
            <w:r>
              <w:rPr>
                <w:rFonts w:hint="eastAsia" w:ascii="仿宋" w:hAnsi="仿宋" w:eastAsia="仿宋" w:cs="仿宋"/>
                <w:b w:val="0"/>
                <w:bCs w:val="0"/>
                <w:kern w:val="0"/>
                <w:sz w:val="20"/>
                <w:szCs w:val="20"/>
                <w:lang w:eastAsia="zh-CN"/>
              </w:rPr>
              <w:t>）</w:t>
            </w:r>
          </w:p>
        </w:tc>
        <w:tc>
          <w:tcPr>
            <w:tcW w:w="2038" w:type="dxa"/>
            <w:gridSpan w:val="2"/>
            <w:noWrap w:val="0"/>
            <w:vAlign w:val="center"/>
          </w:tcPr>
          <w:p w14:paraId="51B4FEF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4AAB331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341F9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1751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2BEA01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7FA5910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0.16</w:t>
            </w:r>
          </w:p>
        </w:tc>
        <w:tc>
          <w:tcPr>
            <w:tcW w:w="2240" w:type="dxa"/>
            <w:gridSpan w:val="2"/>
            <w:noWrap w:val="0"/>
            <w:vAlign w:val="center"/>
          </w:tcPr>
          <w:p w14:paraId="50B89FA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0.1</w:t>
            </w:r>
          </w:p>
        </w:tc>
        <w:tc>
          <w:tcPr>
            <w:tcW w:w="1832" w:type="dxa"/>
            <w:gridSpan w:val="2"/>
            <w:noWrap w:val="0"/>
            <w:vAlign w:val="center"/>
          </w:tcPr>
          <w:p w14:paraId="5641E85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0.35</w:t>
            </w:r>
          </w:p>
        </w:tc>
      </w:tr>
      <w:tr w14:paraId="6BE4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AD2D0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67A93005">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60F7F68B">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79513367">
            <w:pPr>
              <w:widowControl/>
              <w:jc w:val="center"/>
              <w:rPr>
                <w:rFonts w:hint="eastAsia" w:ascii="仿宋" w:hAnsi="仿宋" w:eastAsia="仿宋" w:cs="仿宋"/>
                <w:b w:val="0"/>
                <w:bCs w:val="0"/>
                <w:kern w:val="0"/>
                <w:sz w:val="20"/>
                <w:szCs w:val="20"/>
                <w:lang w:eastAsia="zh-CN"/>
              </w:rPr>
            </w:pPr>
          </w:p>
        </w:tc>
      </w:tr>
      <w:tr w14:paraId="1A09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23A022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3CAE65A2">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41920753">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068614F4">
            <w:pPr>
              <w:widowControl/>
              <w:jc w:val="center"/>
              <w:rPr>
                <w:rFonts w:hint="eastAsia" w:ascii="仿宋" w:hAnsi="仿宋" w:eastAsia="仿宋" w:cs="仿宋"/>
                <w:b w:val="0"/>
                <w:bCs w:val="0"/>
                <w:kern w:val="0"/>
                <w:sz w:val="20"/>
                <w:szCs w:val="20"/>
                <w:lang w:eastAsia="zh-CN"/>
              </w:rPr>
            </w:pPr>
          </w:p>
        </w:tc>
      </w:tr>
      <w:tr w14:paraId="3344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4A47E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60CCAFCB">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03C2169C">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244771C3">
            <w:pPr>
              <w:widowControl/>
              <w:jc w:val="center"/>
              <w:rPr>
                <w:rFonts w:hint="eastAsia" w:ascii="仿宋" w:hAnsi="仿宋" w:eastAsia="仿宋" w:cs="仿宋"/>
                <w:b w:val="0"/>
                <w:bCs w:val="0"/>
                <w:kern w:val="0"/>
                <w:sz w:val="20"/>
                <w:szCs w:val="20"/>
                <w:lang w:eastAsia="zh-CN"/>
              </w:rPr>
            </w:pPr>
          </w:p>
        </w:tc>
      </w:tr>
      <w:tr w14:paraId="5C68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45699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037BF40B">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48618B15">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7B9AD5B4">
            <w:pPr>
              <w:widowControl/>
              <w:jc w:val="center"/>
              <w:rPr>
                <w:rFonts w:hint="eastAsia" w:ascii="仿宋" w:hAnsi="仿宋" w:eastAsia="仿宋" w:cs="仿宋"/>
                <w:b w:val="0"/>
                <w:bCs w:val="0"/>
                <w:kern w:val="0"/>
                <w:sz w:val="20"/>
                <w:szCs w:val="20"/>
                <w:lang w:eastAsia="zh-CN"/>
              </w:rPr>
            </w:pPr>
          </w:p>
        </w:tc>
      </w:tr>
      <w:tr w14:paraId="6AD9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4AA78D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245CAE6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0.16</w:t>
            </w:r>
          </w:p>
        </w:tc>
        <w:tc>
          <w:tcPr>
            <w:tcW w:w="2240" w:type="dxa"/>
            <w:gridSpan w:val="2"/>
            <w:noWrap w:val="0"/>
            <w:vAlign w:val="center"/>
          </w:tcPr>
          <w:p w14:paraId="7C84448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0.1</w:t>
            </w:r>
          </w:p>
        </w:tc>
        <w:tc>
          <w:tcPr>
            <w:tcW w:w="1832" w:type="dxa"/>
            <w:gridSpan w:val="2"/>
            <w:noWrap w:val="0"/>
            <w:vAlign w:val="center"/>
          </w:tcPr>
          <w:p w14:paraId="779FAEF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0.35</w:t>
            </w:r>
          </w:p>
        </w:tc>
      </w:tr>
      <w:tr w14:paraId="0A94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7F72F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82ABB6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3,334.47</w:t>
            </w:r>
          </w:p>
        </w:tc>
        <w:tc>
          <w:tcPr>
            <w:tcW w:w="2240" w:type="dxa"/>
            <w:gridSpan w:val="2"/>
            <w:noWrap w:val="0"/>
            <w:vAlign w:val="center"/>
          </w:tcPr>
          <w:p w14:paraId="2DDDFAE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3954.11</w:t>
            </w:r>
          </w:p>
        </w:tc>
        <w:tc>
          <w:tcPr>
            <w:tcW w:w="1832" w:type="dxa"/>
            <w:gridSpan w:val="2"/>
            <w:noWrap w:val="0"/>
            <w:vAlign w:val="center"/>
          </w:tcPr>
          <w:p w14:paraId="110C58E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3484.31</w:t>
            </w:r>
          </w:p>
        </w:tc>
      </w:tr>
      <w:tr w14:paraId="22E8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6D15B4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221D056A">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E9E112F">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54432D55">
            <w:pPr>
              <w:widowControl/>
              <w:jc w:val="center"/>
              <w:rPr>
                <w:rFonts w:hint="eastAsia" w:ascii="仿宋" w:hAnsi="仿宋" w:eastAsia="仿宋" w:cs="仿宋"/>
                <w:b w:val="0"/>
                <w:bCs w:val="0"/>
                <w:kern w:val="0"/>
                <w:sz w:val="20"/>
                <w:szCs w:val="20"/>
                <w:lang w:val="en-US" w:eastAsia="zh-CN"/>
              </w:rPr>
            </w:pPr>
          </w:p>
        </w:tc>
      </w:tr>
      <w:tr w14:paraId="2BA0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644FF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64CA7AA">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2449.7</w:t>
            </w:r>
            <w:r>
              <w:rPr>
                <w:rFonts w:hint="eastAsia" w:ascii="仿宋" w:hAnsi="仿宋" w:eastAsia="仿宋" w:cs="仿宋"/>
                <w:b w:val="0"/>
                <w:bCs w:val="0"/>
                <w:kern w:val="0"/>
                <w:sz w:val="20"/>
                <w:szCs w:val="20"/>
                <w:lang w:val="en-US" w:eastAsia="zh-CN"/>
              </w:rPr>
              <w:t>3</w:t>
            </w:r>
          </w:p>
        </w:tc>
        <w:tc>
          <w:tcPr>
            <w:tcW w:w="2240" w:type="dxa"/>
            <w:gridSpan w:val="2"/>
            <w:noWrap w:val="0"/>
            <w:vAlign w:val="center"/>
          </w:tcPr>
          <w:p w14:paraId="3E37BEE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3581</w:t>
            </w:r>
          </w:p>
        </w:tc>
        <w:tc>
          <w:tcPr>
            <w:tcW w:w="1832" w:type="dxa"/>
            <w:gridSpan w:val="2"/>
            <w:noWrap w:val="0"/>
            <w:vAlign w:val="center"/>
          </w:tcPr>
          <w:p w14:paraId="5621D40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2617.14</w:t>
            </w:r>
          </w:p>
        </w:tc>
      </w:tr>
      <w:tr w14:paraId="6966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B6E9C6A">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市政设施日常维护费用</w:t>
            </w:r>
          </w:p>
        </w:tc>
        <w:tc>
          <w:tcPr>
            <w:tcW w:w="2038" w:type="dxa"/>
            <w:gridSpan w:val="2"/>
            <w:noWrap w:val="0"/>
            <w:vAlign w:val="center"/>
          </w:tcPr>
          <w:p w14:paraId="519E4983">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2449.7</w:t>
            </w:r>
            <w:r>
              <w:rPr>
                <w:rFonts w:hint="eastAsia" w:ascii="仿宋" w:hAnsi="仿宋" w:eastAsia="仿宋" w:cs="仿宋"/>
                <w:b w:val="0"/>
                <w:bCs w:val="0"/>
                <w:kern w:val="0"/>
                <w:sz w:val="20"/>
                <w:szCs w:val="20"/>
                <w:lang w:val="en-US" w:eastAsia="zh-CN"/>
              </w:rPr>
              <w:t>3</w:t>
            </w:r>
          </w:p>
        </w:tc>
        <w:tc>
          <w:tcPr>
            <w:tcW w:w="2240" w:type="dxa"/>
            <w:gridSpan w:val="2"/>
            <w:noWrap w:val="0"/>
            <w:vAlign w:val="center"/>
          </w:tcPr>
          <w:p w14:paraId="6356900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3581</w:t>
            </w:r>
          </w:p>
        </w:tc>
        <w:tc>
          <w:tcPr>
            <w:tcW w:w="1832" w:type="dxa"/>
            <w:gridSpan w:val="2"/>
            <w:noWrap w:val="0"/>
            <w:vAlign w:val="center"/>
          </w:tcPr>
          <w:p w14:paraId="727177F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2617.14</w:t>
            </w:r>
          </w:p>
        </w:tc>
      </w:tr>
      <w:tr w14:paraId="0015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354" w:type="dxa"/>
            <w:noWrap w:val="0"/>
            <w:vAlign w:val="center"/>
          </w:tcPr>
          <w:p w14:paraId="5E342E2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tc>
        <w:tc>
          <w:tcPr>
            <w:tcW w:w="2038" w:type="dxa"/>
            <w:gridSpan w:val="2"/>
            <w:noWrap w:val="0"/>
            <w:vAlign w:val="center"/>
          </w:tcPr>
          <w:p w14:paraId="023E71C7">
            <w:pPr>
              <w:widowControl/>
              <w:jc w:val="center"/>
              <w:rPr>
                <w:rFonts w:hint="eastAsia"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884.74</w:t>
            </w:r>
          </w:p>
        </w:tc>
        <w:tc>
          <w:tcPr>
            <w:tcW w:w="2240" w:type="dxa"/>
            <w:gridSpan w:val="2"/>
            <w:noWrap w:val="0"/>
            <w:vAlign w:val="center"/>
          </w:tcPr>
          <w:p w14:paraId="18EE8C90">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258012B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867.15</w:t>
            </w:r>
          </w:p>
        </w:tc>
      </w:tr>
      <w:tr w14:paraId="752C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4DE42273">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eastAsia="zh-CN"/>
              </w:rPr>
              <w:t>专用设备购置</w:t>
            </w:r>
          </w:p>
        </w:tc>
        <w:tc>
          <w:tcPr>
            <w:tcW w:w="2038" w:type="dxa"/>
            <w:gridSpan w:val="2"/>
            <w:noWrap w:val="0"/>
            <w:vAlign w:val="center"/>
          </w:tcPr>
          <w:p w14:paraId="7475048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51.49</w:t>
            </w:r>
          </w:p>
        </w:tc>
        <w:tc>
          <w:tcPr>
            <w:tcW w:w="2240" w:type="dxa"/>
            <w:gridSpan w:val="2"/>
            <w:noWrap w:val="0"/>
            <w:vAlign w:val="center"/>
          </w:tcPr>
          <w:p w14:paraId="63BA234B">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291DD4A9">
            <w:pPr>
              <w:widowControl/>
              <w:jc w:val="center"/>
              <w:rPr>
                <w:rFonts w:hint="default" w:ascii="仿宋" w:hAnsi="仿宋" w:eastAsia="仿宋" w:cs="仿宋"/>
                <w:b w:val="0"/>
                <w:bCs w:val="0"/>
                <w:kern w:val="0"/>
                <w:sz w:val="20"/>
                <w:szCs w:val="20"/>
                <w:lang w:val="en-US" w:eastAsia="zh-CN"/>
              </w:rPr>
            </w:pPr>
          </w:p>
        </w:tc>
      </w:tr>
      <w:tr w14:paraId="6051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6E7B8F0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人才开发资源开发项目</w:t>
            </w:r>
          </w:p>
        </w:tc>
        <w:tc>
          <w:tcPr>
            <w:tcW w:w="2038" w:type="dxa"/>
            <w:gridSpan w:val="2"/>
            <w:noWrap w:val="0"/>
            <w:vAlign w:val="center"/>
          </w:tcPr>
          <w:p w14:paraId="4771566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12.00</w:t>
            </w:r>
          </w:p>
        </w:tc>
        <w:tc>
          <w:tcPr>
            <w:tcW w:w="2240" w:type="dxa"/>
            <w:gridSpan w:val="2"/>
            <w:noWrap w:val="0"/>
            <w:vAlign w:val="center"/>
          </w:tcPr>
          <w:p w14:paraId="5F2CFC7E">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2B6E7754">
            <w:pPr>
              <w:widowControl/>
              <w:jc w:val="center"/>
              <w:rPr>
                <w:rFonts w:hint="eastAsia" w:ascii="仿宋" w:hAnsi="仿宋" w:eastAsia="仿宋" w:cs="仿宋"/>
                <w:b w:val="0"/>
                <w:bCs w:val="0"/>
                <w:kern w:val="0"/>
                <w:sz w:val="20"/>
                <w:szCs w:val="20"/>
                <w:lang w:val="en-US" w:eastAsia="zh-CN"/>
              </w:rPr>
            </w:pPr>
          </w:p>
        </w:tc>
      </w:tr>
      <w:tr w14:paraId="165D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153F5A69">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桥梁监测费用</w:t>
            </w:r>
          </w:p>
        </w:tc>
        <w:tc>
          <w:tcPr>
            <w:tcW w:w="2038" w:type="dxa"/>
            <w:gridSpan w:val="2"/>
            <w:noWrap w:val="0"/>
            <w:vAlign w:val="center"/>
          </w:tcPr>
          <w:p w14:paraId="3C24D6A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33.71</w:t>
            </w:r>
          </w:p>
        </w:tc>
        <w:tc>
          <w:tcPr>
            <w:tcW w:w="2240" w:type="dxa"/>
            <w:gridSpan w:val="2"/>
            <w:noWrap w:val="0"/>
            <w:vAlign w:val="center"/>
          </w:tcPr>
          <w:p w14:paraId="624F1E20">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47561524">
            <w:pPr>
              <w:widowControl/>
              <w:jc w:val="center"/>
              <w:rPr>
                <w:rFonts w:hint="eastAsia" w:ascii="仿宋" w:hAnsi="仿宋" w:eastAsia="仿宋" w:cs="仿宋"/>
                <w:b w:val="0"/>
                <w:bCs w:val="0"/>
                <w:kern w:val="0"/>
                <w:sz w:val="20"/>
                <w:szCs w:val="20"/>
                <w:lang w:val="en-US" w:eastAsia="zh-CN"/>
              </w:rPr>
            </w:pPr>
          </w:p>
        </w:tc>
      </w:tr>
      <w:tr w14:paraId="67CE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1FCD5A3A">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“三城同创”专项</w:t>
            </w:r>
          </w:p>
        </w:tc>
        <w:tc>
          <w:tcPr>
            <w:tcW w:w="2038" w:type="dxa"/>
            <w:gridSpan w:val="2"/>
            <w:noWrap w:val="0"/>
            <w:vAlign w:val="center"/>
          </w:tcPr>
          <w:p w14:paraId="1264988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4CBD229">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105A4EEF">
            <w:pPr>
              <w:widowControl/>
              <w:jc w:val="center"/>
              <w:rPr>
                <w:rFonts w:hint="eastAsia" w:ascii="仿宋" w:hAnsi="仿宋" w:eastAsia="仿宋" w:cs="仿宋"/>
                <w:b w:val="0"/>
                <w:bCs w:val="0"/>
                <w:kern w:val="0"/>
                <w:sz w:val="20"/>
                <w:szCs w:val="20"/>
                <w:lang w:val="en-US" w:eastAsia="zh-CN"/>
              </w:rPr>
            </w:pPr>
          </w:p>
        </w:tc>
      </w:tr>
      <w:tr w14:paraId="3624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04699E4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2020年住房城乡引导专项资金（新型城镇化试点地区奖补）</w:t>
            </w:r>
          </w:p>
        </w:tc>
        <w:tc>
          <w:tcPr>
            <w:tcW w:w="2038" w:type="dxa"/>
            <w:gridSpan w:val="2"/>
            <w:noWrap w:val="0"/>
            <w:vAlign w:val="center"/>
          </w:tcPr>
          <w:p w14:paraId="0F00C0C1">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509B1B71">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1DA3743A">
            <w:pPr>
              <w:widowControl/>
              <w:jc w:val="center"/>
              <w:rPr>
                <w:rFonts w:hint="eastAsia" w:ascii="仿宋" w:hAnsi="仿宋" w:eastAsia="仿宋" w:cs="仿宋"/>
                <w:b w:val="0"/>
                <w:bCs w:val="0"/>
                <w:kern w:val="0"/>
                <w:sz w:val="20"/>
                <w:szCs w:val="20"/>
                <w:lang w:val="en-US" w:eastAsia="zh-CN"/>
              </w:rPr>
            </w:pPr>
          </w:p>
        </w:tc>
      </w:tr>
      <w:tr w14:paraId="1744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0A2E6FB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三眼桥维修加固工程</w:t>
            </w:r>
          </w:p>
        </w:tc>
        <w:tc>
          <w:tcPr>
            <w:tcW w:w="2038" w:type="dxa"/>
            <w:gridSpan w:val="2"/>
            <w:noWrap w:val="0"/>
            <w:vAlign w:val="bottom"/>
          </w:tcPr>
          <w:p w14:paraId="7D4347C6">
            <w:pPr>
              <w:widowControl/>
              <w:jc w:val="center"/>
              <w:rPr>
                <w:rFonts w:hint="eastAsia"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137.13</w:t>
            </w:r>
          </w:p>
        </w:tc>
        <w:tc>
          <w:tcPr>
            <w:tcW w:w="2240" w:type="dxa"/>
            <w:gridSpan w:val="2"/>
            <w:noWrap w:val="0"/>
            <w:vAlign w:val="center"/>
          </w:tcPr>
          <w:p w14:paraId="04904A27">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56BBE39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7.86</w:t>
            </w:r>
          </w:p>
        </w:tc>
      </w:tr>
      <w:tr w14:paraId="4D61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4BDD825E">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舞水三桥、四桥及黄花坪大桥</w:t>
            </w:r>
          </w:p>
          <w:p w14:paraId="009C1EEE">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维修项目</w:t>
            </w:r>
          </w:p>
        </w:tc>
        <w:tc>
          <w:tcPr>
            <w:tcW w:w="2038" w:type="dxa"/>
            <w:gridSpan w:val="2"/>
            <w:noWrap w:val="0"/>
            <w:vAlign w:val="center"/>
          </w:tcPr>
          <w:p w14:paraId="2D9203E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149</w:t>
            </w:r>
          </w:p>
        </w:tc>
        <w:tc>
          <w:tcPr>
            <w:tcW w:w="2240" w:type="dxa"/>
            <w:gridSpan w:val="2"/>
            <w:noWrap w:val="0"/>
            <w:vAlign w:val="center"/>
          </w:tcPr>
          <w:p w14:paraId="30DBE85F">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3D81EA3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155.39</w:t>
            </w:r>
          </w:p>
        </w:tc>
      </w:tr>
      <w:tr w14:paraId="6E03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03ED7B4A">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沥青混合料搅拌环保设备</w:t>
            </w:r>
          </w:p>
        </w:tc>
        <w:tc>
          <w:tcPr>
            <w:tcW w:w="2038" w:type="dxa"/>
            <w:gridSpan w:val="2"/>
            <w:noWrap w:val="0"/>
            <w:vAlign w:val="center"/>
          </w:tcPr>
          <w:p w14:paraId="35AF5FE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351.51</w:t>
            </w:r>
          </w:p>
        </w:tc>
        <w:tc>
          <w:tcPr>
            <w:tcW w:w="2240" w:type="dxa"/>
            <w:gridSpan w:val="2"/>
            <w:noWrap w:val="0"/>
            <w:vAlign w:val="center"/>
          </w:tcPr>
          <w:p w14:paraId="4F42134E">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4F2B962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23.69</w:t>
            </w:r>
          </w:p>
        </w:tc>
      </w:tr>
      <w:tr w14:paraId="6233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60F6D4C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公共消防栓维修更换费</w:t>
            </w:r>
          </w:p>
        </w:tc>
        <w:tc>
          <w:tcPr>
            <w:tcW w:w="2038" w:type="dxa"/>
            <w:gridSpan w:val="2"/>
            <w:noWrap w:val="0"/>
            <w:vAlign w:val="center"/>
          </w:tcPr>
          <w:p w14:paraId="7322B07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46.48</w:t>
            </w:r>
          </w:p>
        </w:tc>
        <w:tc>
          <w:tcPr>
            <w:tcW w:w="2240" w:type="dxa"/>
            <w:gridSpan w:val="2"/>
            <w:noWrap w:val="0"/>
            <w:vAlign w:val="center"/>
          </w:tcPr>
          <w:p w14:paraId="4BCC0D06">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7FC854F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15.21</w:t>
            </w:r>
          </w:p>
        </w:tc>
      </w:tr>
      <w:tr w14:paraId="69A1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7A5F3B1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非税结转</w:t>
            </w:r>
          </w:p>
        </w:tc>
        <w:tc>
          <w:tcPr>
            <w:tcW w:w="2038" w:type="dxa"/>
            <w:gridSpan w:val="2"/>
            <w:noWrap w:val="0"/>
            <w:vAlign w:val="center"/>
          </w:tcPr>
          <w:p w14:paraId="2FC9281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103.42</w:t>
            </w:r>
          </w:p>
        </w:tc>
        <w:tc>
          <w:tcPr>
            <w:tcW w:w="2240" w:type="dxa"/>
            <w:gridSpan w:val="2"/>
            <w:noWrap w:val="0"/>
            <w:vAlign w:val="center"/>
          </w:tcPr>
          <w:p w14:paraId="5C92D3AF">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C040A7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294.28</w:t>
            </w:r>
          </w:p>
        </w:tc>
      </w:tr>
      <w:tr w14:paraId="425E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51667BF5">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云溪一桥桥头路基防护工程项目</w:t>
            </w:r>
          </w:p>
        </w:tc>
        <w:tc>
          <w:tcPr>
            <w:tcW w:w="2038" w:type="dxa"/>
            <w:gridSpan w:val="2"/>
            <w:noWrap w:val="0"/>
            <w:vAlign w:val="center"/>
          </w:tcPr>
          <w:p w14:paraId="40B69FD7">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BCED51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43</w:t>
            </w:r>
          </w:p>
        </w:tc>
        <w:tc>
          <w:tcPr>
            <w:tcW w:w="1832" w:type="dxa"/>
            <w:gridSpan w:val="2"/>
            <w:noWrap w:val="0"/>
            <w:vAlign w:val="center"/>
          </w:tcPr>
          <w:p w14:paraId="778C97AE">
            <w:pPr>
              <w:widowControl/>
              <w:jc w:val="center"/>
              <w:rPr>
                <w:rFonts w:hint="eastAsia" w:ascii="仿宋" w:hAnsi="仿宋" w:eastAsia="仿宋" w:cs="仿宋"/>
                <w:b w:val="0"/>
                <w:bCs w:val="0"/>
                <w:kern w:val="0"/>
                <w:sz w:val="20"/>
                <w:szCs w:val="20"/>
                <w:lang w:val="en-US" w:eastAsia="zh-CN"/>
              </w:rPr>
            </w:pPr>
          </w:p>
        </w:tc>
      </w:tr>
      <w:tr w14:paraId="5F61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6AA411D0">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迎丰路等3条路道路路灯接地制作项目</w:t>
            </w:r>
          </w:p>
        </w:tc>
        <w:tc>
          <w:tcPr>
            <w:tcW w:w="2038" w:type="dxa"/>
            <w:gridSpan w:val="2"/>
            <w:noWrap w:val="0"/>
            <w:vAlign w:val="center"/>
          </w:tcPr>
          <w:p w14:paraId="453DC782">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6B1CD5B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230.95</w:t>
            </w:r>
          </w:p>
        </w:tc>
        <w:tc>
          <w:tcPr>
            <w:tcW w:w="1832" w:type="dxa"/>
            <w:gridSpan w:val="2"/>
            <w:noWrap w:val="0"/>
            <w:vAlign w:val="center"/>
          </w:tcPr>
          <w:p w14:paraId="4717EB9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50.72</w:t>
            </w:r>
          </w:p>
        </w:tc>
      </w:tr>
      <w:tr w14:paraId="1A24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4D84A83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中心城区城市桥梁湖天中桥等37座常规检测</w:t>
            </w:r>
          </w:p>
        </w:tc>
        <w:tc>
          <w:tcPr>
            <w:tcW w:w="2038" w:type="dxa"/>
            <w:gridSpan w:val="2"/>
            <w:noWrap w:val="0"/>
            <w:vAlign w:val="center"/>
          </w:tcPr>
          <w:p w14:paraId="4F502E9C">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2A94C7D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99.16</w:t>
            </w:r>
          </w:p>
        </w:tc>
        <w:tc>
          <w:tcPr>
            <w:tcW w:w="1832" w:type="dxa"/>
            <w:gridSpan w:val="2"/>
            <w:noWrap w:val="0"/>
            <w:vAlign w:val="center"/>
          </w:tcPr>
          <w:p w14:paraId="0DE913D1">
            <w:pPr>
              <w:widowControl/>
              <w:jc w:val="center"/>
              <w:rPr>
                <w:rFonts w:hint="eastAsia" w:ascii="仿宋" w:hAnsi="仿宋" w:eastAsia="仿宋" w:cs="仿宋"/>
                <w:b w:val="0"/>
                <w:bCs w:val="0"/>
                <w:kern w:val="0"/>
                <w:sz w:val="20"/>
                <w:szCs w:val="20"/>
                <w:lang w:val="en-US" w:eastAsia="zh-CN"/>
              </w:rPr>
            </w:pPr>
          </w:p>
        </w:tc>
      </w:tr>
      <w:tr w14:paraId="4B65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14F22865">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怀化学院东校区北门交通分流改造项目</w:t>
            </w:r>
          </w:p>
        </w:tc>
        <w:tc>
          <w:tcPr>
            <w:tcW w:w="2038" w:type="dxa"/>
            <w:gridSpan w:val="2"/>
            <w:noWrap w:val="0"/>
            <w:vAlign w:val="center"/>
          </w:tcPr>
          <w:p w14:paraId="10D33AE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F39C501">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6F5A0B5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137.63</w:t>
            </w:r>
          </w:p>
        </w:tc>
      </w:tr>
      <w:tr w14:paraId="6E53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3E76152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迎丰市场铁路桥等5座城市桥梁内侧墙面涂装美化改造</w:t>
            </w:r>
          </w:p>
        </w:tc>
        <w:tc>
          <w:tcPr>
            <w:tcW w:w="2038" w:type="dxa"/>
            <w:gridSpan w:val="2"/>
            <w:noWrap w:val="0"/>
            <w:vAlign w:val="center"/>
          </w:tcPr>
          <w:p w14:paraId="19A6CDB0">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0F1819F8">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004CF9E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108.84</w:t>
            </w:r>
          </w:p>
        </w:tc>
      </w:tr>
      <w:tr w14:paraId="0393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1A69351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湖天北路绿化带内排水管塌陷抢修经费</w:t>
            </w:r>
          </w:p>
        </w:tc>
        <w:tc>
          <w:tcPr>
            <w:tcW w:w="2038" w:type="dxa"/>
            <w:gridSpan w:val="2"/>
            <w:noWrap w:val="0"/>
            <w:vAlign w:val="center"/>
          </w:tcPr>
          <w:p w14:paraId="31ACE722">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F47F41E">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6F01B27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48.89</w:t>
            </w:r>
          </w:p>
        </w:tc>
      </w:tr>
      <w:tr w14:paraId="3AC0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354" w:type="dxa"/>
            <w:noWrap w:val="0"/>
            <w:vAlign w:val="center"/>
          </w:tcPr>
          <w:p w14:paraId="3953869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拆除重建团结二桥和改造犀牛塘建设工程水土保持编制费</w:t>
            </w:r>
          </w:p>
        </w:tc>
        <w:tc>
          <w:tcPr>
            <w:tcW w:w="2038" w:type="dxa"/>
            <w:gridSpan w:val="2"/>
            <w:noWrap w:val="0"/>
            <w:vAlign w:val="center"/>
          </w:tcPr>
          <w:p w14:paraId="042D32A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287C9CDC">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4141478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24.65</w:t>
            </w:r>
          </w:p>
        </w:tc>
      </w:tr>
      <w:tr w14:paraId="2086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3CD575">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037D64BE">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7F6DE11">
            <w:pPr>
              <w:widowControl/>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1DEECDAA">
            <w:pPr>
              <w:widowControl/>
              <w:jc w:val="center"/>
              <w:rPr>
                <w:rFonts w:hint="eastAsia" w:ascii="仿宋" w:hAnsi="仿宋" w:eastAsia="仿宋" w:cs="仿宋"/>
                <w:b w:val="0"/>
                <w:bCs w:val="0"/>
                <w:kern w:val="0"/>
                <w:sz w:val="20"/>
                <w:szCs w:val="20"/>
                <w:lang w:val="en-US" w:eastAsia="zh-CN"/>
              </w:rPr>
            </w:pPr>
          </w:p>
        </w:tc>
      </w:tr>
      <w:tr w14:paraId="442F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354" w:type="dxa"/>
            <w:noWrap w:val="0"/>
            <w:vAlign w:val="center"/>
          </w:tcPr>
          <w:p w14:paraId="088C701A">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33AB1DC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44.68</w:t>
            </w:r>
          </w:p>
        </w:tc>
        <w:tc>
          <w:tcPr>
            <w:tcW w:w="2240" w:type="dxa"/>
            <w:gridSpan w:val="2"/>
            <w:noWrap w:val="0"/>
            <w:vAlign w:val="center"/>
          </w:tcPr>
          <w:p w14:paraId="42CD2DC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82</w:t>
            </w:r>
          </w:p>
        </w:tc>
        <w:tc>
          <w:tcPr>
            <w:tcW w:w="1832" w:type="dxa"/>
            <w:gridSpan w:val="2"/>
            <w:noWrap w:val="0"/>
            <w:vAlign w:val="center"/>
          </w:tcPr>
          <w:p w14:paraId="63F07E9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69.85</w:t>
            </w:r>
          </w:p>
        </w:tc>
      </w:tr>
      <w:tr w14:paraId="562E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1236F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E7DCE0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2.44</w:t>
            </w:r>
          </w:p>
        </w:tc>
        <w:tc>
          <w:tcPr>
            <w:tcW w:w="2240" w:type="dxa"/>
            <w:gridSpan w:val="2"/>
            <w:noWrap w:val="0"/>
            <w:vAlign w:val="center"/>
          </w:tcPr>
          <w:p w14:paraId="40C4E01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4A771D8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5A5C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C413DB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0BEBE33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0.2</w:t>
            </w:r>
          </w:p>
        </w:tc>
        <w:tc>
          <w:tcPr>
            <w:tcW w:w="2240" w:type="dxa"/>
            <w:gridSpan w:val="2"/>
            <w:noWrap w:val="0"/>
            <w:vAlign w:val="center"/>
          </w:tcPr>
          <w:p w14:paraId="4716758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96DF0A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116B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6C63EEE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5D88F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4.2</w:t>
            </w:r>
          </w:p>
        </w:tc>
        <w:tc>
          <w:tcPr>
            <w:tcW w:w="2240" w:type="dxa"/>
            <w:gridSpan w:val="2"/>
            <w:noWrap w:val="0"/>
            <w:vAlign w:val="center"/>
          </w:tcPr>
          <w:p w14:paraId="6570BE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F45557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7D4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48D75F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2F1F3A3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8837C3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386.34</w:t>
            </w:r>
          </w:p>
        </w:tc>
        <w:tc>
          <w:tcPr>
            <w:tcW w:w="1832" w:type="dxa"/>
            <w:gridSpan w:val="2"/>
            <w:noWrap w:val="0"/>
            <w:vAlign w:val="center"/>
          </w:tcPr>
          <w:p w14:paraId="2667B03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1127.49</w:t>
            </w:r>
          </w:p>
        </w:tc>
      </w:tr>
      <w:tr w14:paraId="13AA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DFD6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556014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5D77503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1739.48</w:t>
            </w:r>
          </w:p>
        </w:tc>
        <w:tc>
          <w:tcPr>
            <w:tcW w:w="1832" w:type="dxa"/>
            <w:gridSpan w:val="2"/>
            <w:noWrap w:val="0"/>
            <w:vAlign w:val="center"/>
          </w:tcPr>
          <w:p w14:paraId="51979A2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1330.08</w:t>
            </w:r>
          </w:p>
        </w:tc>
      </w:tr>
      <w:tr w14:paraId="2EFC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43FD8C2E">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660C0942">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14:paraId="61449A9D">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0AED1EE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14:paraId="1AF8406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49085648">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0AF3FD91">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455D37B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6BD30021">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B50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2F5F33A8">
            <w:pPr>
              <w:widowControl/>
              <w:jc w:val="left"/>
              <w:rPr>
                <w:rFonts w:hint="eastAsia" w:ascii="仿宋" w:hAnsi="仿宋" w:eastAsia="仿宋" w:cs="仿宋"/>
                <w:b w:val="0"/>
                <w:bCs w:val="0"/>
                <w:kern w:val="0"/>
                <w:sz w:val="20"/>
                <w:szCs w:val="20"/>
              </w:rPr>
            </w:pPr>
          </w:p>
        </w:tc>
        <w:tc>
          <w:tcPr>
            <w:tcW w:w="1189" w:type="dxa"/>
            <w:noWrap w:val="0"/>
            <w:vAlign w:val="center"/>
          </w:tcPr>
          <w:p w14:paraId="5CC54196">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849" w:type="dxa"/>
            <w:noWrap w:val="0"/>
            <w:vAlign w:val="center"/>
          </w:tcPr>
          <w:p w14:paraId="5DD662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29" w:type="dxa"/>
            <w:noWrap w:val="0"/>
            <w:vAlign w:val="center"/>
          </w:tcPr>
          <w:p w14:paraId="03141CA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111" w:type="dxa"/>
            <w:noWrap w:val="0"/>
            <w:vAlign w:val="center"/>
          </w:tcPr>
          <w:p w14:paraId="7DC0A6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969" w:type="dxa"/>
            <w:noWrap w:val="0"/>
            <w:vAlign w:val="center"/>
          </w:tcPr>
          <w:p w14:paraId="1235EEE3">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c>
          <w:tcPr>
            <w:tcW w:w="863" w:type="dxa"/>
            <w:noWrap w:val="0"/>
            <w:vAlign w:val="center"/>
          </w:tcPr>
          <w:p w14:paraId="65A759FA">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0</w:t>
            </w:r>
          </w:p>
        </w:tc>
      </w:tr>
      <w:tr w14:paraId="2AF3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188C9B7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61BE36D">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根据党的八项规定和过紧日子精神，制定了财务管理制度、财政业务内部控制制度等</w:t>
            </w:r>
          </w:p>
        </w:tc>
      </w:tr>
    </w:tbl>
    <w:p w14:paraId="79FBF4CA">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2EA2ABB">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0FC6E0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7E2D7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41903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18EA14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6D679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D1E28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46158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7FBA5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5DA8D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FDA1C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EC458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754FC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108802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769"/>
        <w:gridCol w:w="804"/>
        <w:gridCol w:w="1331"/>
        <w:gridCol w:w="205"/>
        <w:gridCol w:w="1163"/>
        <w:gridCol w:w="1212"/>
        <w:gridCol w:w="744"/>
        <w:gridCol w:w="731"/>
        <w:gridCol w:w="1159"/>
      </w:tblGrid>
      <w:tr w14:paraId="4285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14:paraId="0599AE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8" w:type="dxa"/>
            <w:gridSpan w:val="9"/>
            <w:noWrap w:val="0"/>
            <w:vAlign w:val="center"/>
          </w:tcPr>
          <w:p w14:paraId="57FB6D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怀化市市政设施维护中心</w:t>
            </w:r>
          </w:p>
        </w:tc>
      </w:tr>
      <w:tr w14:paraId="1533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14:paraId="2F4A1C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5CFEDA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20BA70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573" w:type="dxa"/>
            <w:gridSpan w:val="2"/>
            <w:noWrap w:val="0"/>
            <w:vAlign w:val="center"/>
          </w:tcPr>
          <w:p w14:paraId="59BEB4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331" w:type="dxa"/>
            <w:noWrap w:val="0"/>
            <w:vAlign w:val="center"/>
          </w:tcPr>
          <w:p w14:paraId="29B9C2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4AFFF5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368" w:type="dxa"/>
            <w:gridSpan w:val="2"/>
            <w:noWrap w:val="0"/>
            <w:vAlign w:val="center"/>
          </w:tcPr>
          <w:p w14:paraId="7489F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212" w:type="dxa"/>
            <w:noWrap w:val="0"/>
            <w:vAlign w:val="center"/>
          </w:tcPr>
          <w:p w14:paraId="021BCB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C83E3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44" w:type="dxa"/>
            <w:noWrap w:val="0"/>
            <w:vAlign w:val="center"/>
          </w:tcPr>
          <w:p w14:paraId="2E5455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31" w:type="dxa"/>
            <w:noWrap w:val="0"/>
            <w:vAlign w:val="center"/>
          </w:tcPr>
          <w:p w14:paraId="22EF80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9" w:type="dxa"/>
            <w:noWrap w:val="0"/>
            <w:vAlign w:val="center"/>
          </w:tcPr>
          <w:p w14:paraId="248183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B86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9C058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73" w:type="dxa"/>
            <w:gridSpan w:val="2"/>
            <w:noWrap w:val="0"/>
            <w:vAlign w:val="center"/>
          </w:tcPr>
          <w:p w14:paraId="4AA15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331" w:type="dxa"/>
            <w:noWrap w:val="0"/>
            <w:vAlign w:val="center"/>
          </w:tcPr>
          <w:p w14:paraId="2D9A3A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5693.59</w:t>
            </w:r>
          </w:p>
        </w:tc>
        <w:tc>
          <w:tcPr>
            <w:tcW w:w="1368" w:type="dxa"/>
            <w:gridSpan w:val="2"/>
            <w:noWrap w:val="0"/>
            <w:vAlign w:val="center"/>
          </w:tcPr>
          <w:p w14:paraId="7EA060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4814.39</w:t>
            </w:r>
          </w:p>
        </w:tc>
        <w:tc>
          <w:tcPr>
            <w:tcW w:w="1212" w:type="dxa"/>
            <w:noWrap w:val="0"/>
            <w:vAlign w:val="center"/>
          </w:tcPr>
          <w:p w14:paraId="1B266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4814.39</w:t>
            </w:r>
          </w:p>
        </w:tc>
        <w:tc>
          <w:tcPr>
            <w:tcW w:w="744" w:type="dxa"/>
            <w:noWrap w:val="0"/>
            <w:vAlign w:val="center"/>
          </w:tcPr>
          <w:p w14:paraId="0019CA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731" w:type="dxa"/>
            <w:noWrap w:val="0"/>
            <w:vAlign w:val="center"/>
          </w:tcPr>
          <w:p w14:paraId="5A32AD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9" w:type="dxa"/>
            <w:noWrap w:val="0"/>
            <w:vAlign w:val="center"/>
          </w:tcPr>
          <w:p w14:paraId="638589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6314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1428F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069768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846" w:type="dxa"/>
            <w:gridSpan w:val="4"/>
            <w:noWrap w:val="0"/>
            <w:vAlign w:val="center"/>
          </w:tcPr>
          <w:p w14:paraId="27FEC6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61D3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B349B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41DF49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3046.56</w:t>
            </w:r>
          </w:p>
        </w:tc>
        <w:tc>
          <w:tcPr>
            <w:tcW w:w="3846" w:type="dxa"/>
            <w:gridSpan w:val="4"/>
            <w:noWrap w:val="0"/>
            <w:vAlign w:val="center"/>
          </w:tcPr>
          <w:p w14:paraId="10BE64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1330.08</w:t>
            </w:r>
          </w:p>
        </w:tc>
      </w:tr>
      <w:tr w14:paraId="2D19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2012BD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529F73BC">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1478.35</w:t>
            </w:r>
          </w:p>
        </w:tc>
        <w:tc>
          <w:tcPr>
            <w:tcW w:w="3846" w:type="dxa"/>
            <w:gridSpan w:val="4"/>
            <w:noWrap w:val="0"/>
            <w:vAlign w:val="center"/>
          </w:tcPr>
          <w:p w14:paraId="0572EB39">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3484.31</w:t>
            </w:r>
          </w:p>
        </w:tc>
      </w:tr>
      <w:tr w14:paraId="214D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0E484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446318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289.48</w:t>
            </w:r>
          </w:p>
        </w:tc>
        <w:tc>
          <w:tcPr>
            <w:tcW w:w="3846" w:type="dxa"/>
            <w:gridSpan w:val="4"/>
            <w:noWrap w:val="0"/>
            <w:vAlign w:val="center"/>
          </w:tcPr>
          <w:p w14:paraId="662D6E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19E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14:paraId="5D11A0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1FAE1A8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846" w:type="dxa"/>
            <w:gridSpan w:val="4"/>
            <w:noWrap w:val="0"/>
            <w:vAlign w:val="center"/>
          </w:tcPr>
          <w:p w14:paraId="1A6ACF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650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14:paraId="1C8E5E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272" w:type="dxa"/>
            <w:gridSpan w:val="5"/>
            <w:noWrap w:val="0"/>
            <w:vAlign w:val="center"/>
          </w:tcPr>
          <w:p w14:paraId="26CE05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46" w:type="dxa"/>
            <w:gridSpan w:val="4"/>
            <w:noWrap w:val="0"/>
            <w:vAlign w:val="center"/>
          </w:tcPr>
          <w:p w14:paraId="1AA2B5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285B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4" w:type="dxa"/>
            <w:vMerge w:val="continue"/>
            <w:noWrap w:val="0"/>
            <w:vAlign w:val="center"/>
          </w:tcPr>
          <w:p w14:paraId="6830D4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272" w:type="dxa"/>
            <w:gridSpan w:val="5"/>
            <w:noWrap w:val="0"/>
            <w:vAlign w:val="center"/>
          </w:tcPr>
          <w:p w14:paraId="6F94E2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做好89条道路、2个广场、49座桥梁、10,324检查井、7,654雨水井以及6,600杆路灯日常维护工作，</w:t>
            </w:r>
            <w:r>
              <w:rPr>
                <w:rFonts w:hint="eastAsia" w:ascii="仿宋" w:hAnsi="仿宋" w:eastAsia="仿宋" w:cs="仿宋"/>
                <w:color w:val="000000"/>
                <w:kern w:val="0"/>
                <w:sz w:val="20"/>
                <w:szCs w:val="20"/>
              </w:rPr>
              <w:t>保证怀化市城区主次干道、人行道、下水道、路灯、桥梁、广场等等市政基础设施完好率、亮灯率、维护率稳中有升，为实现怀化市“路平、灯亮、桥通、水畅”保驾护航，提升城市品位，方便人民群众出行，进一步提高人民群众的满意度和幸福感，确保单位正常运转，干部职工积极工作，人心稳定。</w:t>
            </w:r>
          </w:p>
        </w:tc>
        <w:tc>
          <w:tcPr>
            <w:tcW w:w="3846" w:type="dxa"/>
            <w:gridSpan w:val="4"/>
            <w:noWrap w:val="0"/>
            <w:vAlign w:val="center"/>
          </w:tcPr>
          <w:p w14:paraId="7B8780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截止2023年底累计完成：一是道路维护完成修复车行道沥青路面4.5万平方米、道路坑洞1200余处，修复人行道板4.8万余平方米，安装隔离墩（柱）1300余个，增设人行道无障碍坡道近500余个，安装人行道护栏4500余米，安装更换井盖130余个，完成了红星南路等5条道路部分路段提质改造；二是排水维护完成清淤疏通各类雨水井、检查井6500余座，更换破损雨水井、检查井井盖2100座，管道清淤疏通3200余米，重点完成了湖天北路、瑞丰路、刘塘路、人民路、红星南北路、八一路等排水管网局部改造；三是照明维护完成维护及更换路灯电缆9200余米，维修LED路灯3800余盏，更换路灯电缆3800余米，维修路灯控制箱80余台，盲灯区新建安装太阳能路灯13杆，改造高低压输电线路60杆，迎丰中路180余杆路灯接地制作7200余米；四是桥梁维护完成迎丰中路主干道上存在重大安全隐患的D级桥梁板溪桥的改建，重新设计改建后的板溪梁按城市A级荷载可达到100吨，能完全满足城市主干道交通运输要求，完成迎丰市场铁路桥、锦溪北路铁路桥、迎丰立交桥、高铁南站铁路桥、红星桥5座桥梁的涂装美化翻新，完成49座桥铭牌和限载牌的更新和安装，黄花坪大桥、毛家溪桥伸缩缝等维护，以及迎丰立交桥、云溪桥、云溪公跨铁等城市桥梁和地下通道防撞护栏、临空护栏的安装和修复，重点完成了湖天大桥、舞水二桥等37座桥梁的定期检测；五是破道施工办理破道审批手续26处，下达各类道路整改通知书350处，行政许可非税收费近200万元；六是智慧城管运行全年及时处理智慧城管派单2000余件，完成市民投诉整改400余条，完成红网百姓呼声、问政湖南等投诉10余起，完成率达100%。</w:t>
            </w:r>
          </w:p>
        </w:tc>
      </w:tr>
      <w:tr w14:paraId="659C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14:paraId="2DFF45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9544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3543F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B7E08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69" w:type="dxa"/>
            <w:noWrap w:val="0"/>
            <w:vAlign w:val="center"/>
          </w:tcPr>
          <w:p w14:paraId="33970C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804" w:type="dxa"/>
            <w:noWrap w:val="0"/>
            <w:vAlign w:val="center"/>
          </w:tcPr>
          <w:p w14:paraId="00D201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36" w:type="dxa"/>
            <w:gridSpan w:val="2"/>
            <w:noWrap w:val="0"/>
            <w:vAlign w:val="center"/>
          </w:tcPr>
          <w:p w14:paraId="08F0EC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3" w:type="dxa"/>
            <w:noWrap w:val="0"/>
            <w:vAlign w:val="center"/>
          </w:tcPr>
          <w:p w14:paraId="740BE1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DD286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12" w:type="dxa"/>
            <w:noWrap w:val="0"/>
            <w:vAlign w:val="center"/>
          </w:tcPr>
          <w:p w14:paraId="272445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12669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44" w:type="dxa"/>
            <w:noWrap w:val="0"/>
            <w:vAlign w:val="center"/>
          </w:tcPr>
          <w:p w14:paraId="1F9A67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31" w:type="dxa"/>
            <w:noWrap w:val="0"/>
            <w:vAlign w:val="center"/>
          </w:tcPr>
          <w:p w14:paraId="4964B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9" w:type="dxa"/>
            <w:noWrap w:val="0"/>
            <w:vAlign w:val="top"/>
          </w:tcPr>
          <w:p w14:paraId="017768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33478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89D0A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E03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2E9C8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restart"/>
            <w:noWrap w:val="0"/>
            <w:vAlign w:val="center"/>
          </w:tcPr>
          <w:p w14:paraId="7F1ECE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804" w:type="dxa"/>
            <w:vMerge w:val="restart"/>
            <w:noWrap w:val="0"/>
            <w:vAlign w:val="center"/>
          </w:tcPr>
          <w:p w14:paraId="141623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5DA769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36" w:type="dxa"/>
            <w:gridSpan w:val="2"/>
            <w:noWrap w:val="0"/>
            <w:vAlign w:val="center"/>
          </w:tcPr>
          <w:p w14:paraId="3EDFE3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维护道路</w:t>
            </w:r>
          </w:p>
        </w:tc>
        <w:tc>
          <w:tcPr>
            <w:tcW w:w="1163" w:type="dxa"/>
            <w:noWrap w:val="0"/>
            <w:vAlign w:val="center"/>
          </w:tcPr>
          <w:p w14:paraId="2CC965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≥89条</w:t>
            </w:r>
          </w:p>
        </w:tc>
        <w:tc>
          <w:tcPr>
            <w:tcW w:w="1212" w:type="dxa"/>
            <w:noWrap w:val="0"/>
            <w:vAlign w:val="center"/>
          </w:tcPr>
          <w:p w14:paraId="3C133D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89条</w:t>
            </w:r>
          </w:p>
        </w:tc>
        <w:tc>
          <w:tcPr>
            <w:tcW w:w="744" w:type="dxa"/>
            <w:noWrap w:val="0"/>
            <w:vAlign w:val="center"/>
          </w:tcPr>
          <w:p w14:paraId="59124E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2CBAA7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7E7AA1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01EA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EEEFD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091F57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4946B6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6CAC97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桥梁</w:t>
            </w:r>
          </w:p>
        </w:tc>
        <w:tc>
          <w:tcPr>
            <w:tcW w:w="1163" w:type="dxa"/>
            <w:noWrap w:val="0"/>
            <w:vAlign w:val="center"/>
          </w:tcPr>
          <w:p w14:paraId="3889B6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49座</w:t>
            </w:r>
          </w:p>
        </w:tc>
        <w:tc>
          <w:tcPr>
            <w:tcW w:w="1212" w:type="dxa"/>
            <w:noWrap w:val="0"/>
            <w:vAlign w:val="center"/>
          </w:tcPr>
          <w:p w14:paraId="124FCF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49座</w:t>
            </w:r>
          </w:p>
        </w:tc>
        <w:tc>
          <w:tcPr>
            <w:tcW w:w="744" w:type="dxa"/>
            <w:noWrap w:val="0"/>
            <w:vAlign w:val="center"/>
          </w:tcPr>
          <w:p w14:paraId="7B662F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632D85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6EAAE5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803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FC27A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4B9FFF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231266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165E06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广场</w:t>
            </w:r>
          </w:p>
        </w:tc>
        <w:tc>
          <w:tcPr>
            <w:tcW w:w="1163" w:type="dxa"/>
            <w:noWrap w:val="0"/>
            <w:vAlign w:val="center"/>
          </w:tcPr>
          <w:p w14:paraId="3CAAF8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2个</w:t>
            </w:r>
          </w:p>
        </w:tc>
        <w:tc>
          <w:tcPr>
            <w:tcW w:w="1212" w:type="dxa"/>
            <w:noWrap w:val="0"/>
            <w:vAlign w:val="center"/>
          </w:tcPr>
          <w:p w14:paraId="7DE3B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2个</w:t>
            </w:r>
          </w:p>
        </w:tc>
        <w:tc>
          <w:tcPr>
            <w:tcW w:w="744" w:type="dxa"/>
            <w:noWrap w:val="0"/>
            <w:vAlign w:val="center"/>
          </w:tcPr>
          <w:p w14:paraId="73287A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1C738C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3CF86B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33AF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335A0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7A5417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3F9660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1DA17F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检查井</w:t>
            </w:r>
          </w:p>
        </w:tc>
        <w:tc>
          <w:tcPr>
            <w:tcW w:w="1163" w:type="dxa"/>
            <w:noWrap w:val="0"/>
            <w:vAlign w:val="center"/>
          </w:tcPr>
          <w:p w14:paraId="398CB9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10324个</w:t>
            </w:r>
          </w:p>
        </w:tc>
        <w:tc>
          <w:tcPr>
            <w:tcW w:w="1212" w:type="dxa"/>
            <w:noWrap w:val="0"/>
            <w:vAlign w:val="center"/>
          </w:tcPr>
          <w:p w14:paraId="115506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10324个</w:t>
            </w:r>
          </w:p>
        </w:tc>
        <w:tc>
          <w:tcPr>
            <w:tcW w:w="744" w:type="dxa"/>
            <w:noWrap w:val="0"/>
            <w:vAlign w:val="center"/>
          </w:tcPr>
          <w:p w14:paraId="77EFF2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2E0C41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2096E9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7504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98A9C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0109E5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34635F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0BB3A7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雨水井</w:t>
            </w:r>
          </w:p>
        </w:tc>
        <w:tc>
          <w:tcPr>
            <w:tcW w:w="1163" w:type="dxa"/>
            <w:noWrap w:val="0"/>
            <w:vAlign w:val="center"/>
          </w:tcPr>
          <w:p w14:paraId="504590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7654个</w:t>
            </w:r>
          </w:p>
        </w:tc>
        <w:tc>
          <w:tcPr>
            <w:tcW w:w="1212" w:type="dxa"/>
            <w:noWrap w:val="0"/>
            <w:vAlign w:val="center"/>
          </w:tcPr>
          <w:p w14:paraId="081F47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7654个</w:t>
            </w:r>
          </w:p>
        </w:tc>
        <w:tc>
          <w:tcPr>
            <w:tcW w:w="744" w:type="dxa"/>
            <w:noWrap w:val="0"/>
            <w:vAlign w:val="center"/>
          </w:tcPr>
          <w:p w14:paraId="76A693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2B7FB5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16FCFC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20AF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236F12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557BFF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2F4712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68320E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路灯</w:t>
            </w:r>
          </w:p>
        </w:tc>
        <w:tc>
          <w:tcPr>
            <w:tcW w:w="1163" w:type="dxa"/>
            <w:noWrap w:val="0"/>
            <w:vAlign w:val="center"/>
          </w:tcPr>
          <w:p w14:paraId="5725C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6600杆</w:t>
            </w:r>
          </w:p>
        </w:tc>
        <w:tc>
          <w:tcPr>
            <w:tcW w:w="1212" w:type="dxa"/>
            <w:noWrap w:val="0"/>
            <w:vAlign w:val="center"/>
          </w:tcPr>
          <w:p w14:paraId="24A229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6600杆</w:t>
            </w:r>
          </w:p>
        </w:tc>
        <w:tc>
          <w:tcPr>
            <w:tcW w:w="744" w:type="dxa"/>
            <w:noWrap w:val="0"/>
            <w:vAlign w:val="center"/>
          </w:tcPr>
          <w:p w14:paraId="66EA63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227CB9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59941D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0ED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6CD5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57916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restart"/>
            <w:noWrap w:val="0"/>
            <w:vAlign w:val="center"/>
          </w:tcPr>
          <w:p w14:paraId="54D24D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41A4A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36" w:type="dxa"/>
            <w:gridSpan w:val="2"/>
            <w:noWrap w:val="0"/>
            <w:vAlign w:val="center"/>
          </w:tcPr>
          <w:p w14:paraId="59B338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市政基础设施日常维护工作完成率</w:t>
            </w:r>
          </w:p>
        </w:tc>
        <w:tc>
          <w:tcPr>
            <w:tcW w:w="1163" w:type="dxa"/>
            <w:noWrap w:val="0"/>
            <w:vAlign w:val="center"/>
          </w:tcPr>
          <w:p w14:paraId="3AAC5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212" w:type="dxa"/>
            <w:noWrap w:val="0"/>
            <w:vAlign w:val="center"/>
          </w:tcPr>
          <w:p w14:paraId="4BD5A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98%</w:t>
            </w:r>
          </w:p>
        </w:tc>
        <w:tc>
          <w:tcPr>
            <w:tcW w:w="744" w:type="dxa"/>
            <w:noWrap w:val="0"/>
            <w:vAlign w:val="center"/>
          </w:tcPr>
          <w:p w14:paraId="168127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74170B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5E6872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3ACE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1EDB8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130677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1171C5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1E3319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市政设施完好率</w:t>
            </w:r>
          </w:p>
        </w:tc>
        <w:tc>
          <w:tcPr>
            <w:tcW w:w="1163" w:type="dxa"/>
            <w:noWrap w:val="0"/>
            <w:vAlign w:val="center"/>
          </w:tcPr>
          <w:p w14:paraId="0DCE87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≥95%</w:t>
            </w:r>
          </w:p>
        </w:tc>
        <w:tc>
          <w:tcPr>
            <w:tcW w:w="1212" w:type="dxa"/>
            <w:noWrap w:val="0"/>
            <w:vAlign w:val="center"/>
          </w:tcPr>
          <w:p w14:paraId="5F6AA3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44" w:type="dxa"/>
            <w:noWrap w:val="0"/>
            <w:vAlign w:val="center"/>
          </w:tcPr>
          <w:p w14:paraId="7BEDB8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3A1AA5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48E3E3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251F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D6C1C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48C21F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5113C3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36" w:type="dxa"/>
            <w:gridSpan w:val="2"/>
            <w:noWrap w:val="0"/>
            <w:vAlign w:val="center"/>
          </w:tcPr>
          <w:p w14:paraId="20B775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亮灯率</w:t>
            </w:r>
          </w:p>
        </w:tc>
        <w:tc>
          <w:tcPr>
            <w:tcW w:w="1163" w:type="dxa"/>
            <w:noWrap w:val="0"/>
            <w:vAlign w:val="center"/>
          </w:tcPr>
          <w:p w14:paraId="24FCAA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≥98%</w:t>
            </w:r>
          </w:p>
        </w:tc>
        <w:tc>
          <w:tcPr>
            <w:tcW w:w="1212" w:type="dxa"/>
            <w:noWrap w:val="0"/>
            <w:vAlign w:val="center"/>
          </w:tcPr>
          <w:p w14:paraId="31E565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744" w:type="dxa"/>
            <w:noWrap w:val="0"/>
            <w:vAlign w:val="center"/>
          </w:tcPr>
          <w:p w14:paraId="7F93E0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43E28B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4BEDA1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5EA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068999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7C21EF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373134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745948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36" w:type="dxa"/>
            <w:gridSpan w:val="2"/>
            <w:noWrap w:val="0"/>
            <w:vAlign w:val="center"/>
          </w:tcPr>
          <w:p w14:paraId="47DBA7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163" w:type="dxa"/>
            <w:noWrap w:val="0"/>
            <w:vAlign w:val="center"/>
          </w:tcPr>
          <w:p w14:paraId="7A2BE1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w:t>
            </w:r>
            <w:r>
              <w:rPr>
                <w:rFonts w:hint="eastAsia" w:ascii="仿宋" w:hAnsi="仿宋" w:eastAsia="仿宋" w:cs="仿宋"/>
                <w:color w:val="000000"/>
                <w:kern w:val="0"/>
                <w:sz w:val="20"/>
                <w:szCs w:val="20"/>
                <w:lang w:val="en-US" w:eastAsia="zh-CN"/>
              </w:rPr>
              <w:t>底</w:t>
            </w:r>
            <w:r>
              <w:rPr>
                <w:rFonts w:hint="eastAsia" w:ascii="仿宋" w:hAnsi="仿宋" w:eastAsia="仿宋" w:cs="仿宋"/>
                <w:color w:val="000000"/>
                <w:kern w:val="0"/>
                <w:sz w:val="20"/>
                <w:szCs w:val="20"/>
                <w:lang w:eastAsia="zh-CN"/>
              </w:rPr>
              <w:t>之前完成</w:t>
            </w:r>
          </w:p>
        </w:tc>
        <w:tc>
          <w:tcPr>
            <w:tcW w:w="1212" w:type="dxa"/>
            <w:noWrap w:val="0"/>
            <w:vAlign w:val="center"/>
          </w:tcPr>
          <w:p w14:paraId="4A7CB9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w:t>
            </w:r>
            <w:r>
              <w:rPr>
                <w:rFonts w:hint="eastAsia" w:ascii="仿宋" w:hAnsi="仿宋" w:eastAsia="仿宋" w:cs="仿宋"/>
                <w:color w:val="000000"/>
                <w:kern w:val="0"/>
                <w:sz w:val="20"/>
                <w:szCs w:val="20"/>
                <w:lang w:val="en-US" w:eastAsia="zh-CN"/>
              </w:rPr>
              <w:t>底</w:t>
            </w:r>
            <w:r>
              <w:rPr>
                <w:rFonts w:hint="eastAsia" w:ascii="仿宋" w:hAnsi="仿宋" w:eastAsia="仿宋" w:cs="仿宋"/>
                <w:color w:val="000000"/>
                <w:kern w:val="0"/>
                <w:sz w:val="20"/>
                <w:szCs w:val="20"/>
                <w:lang w:eastAsia="zh-CN"/>
              </w:rPr>
              <w:t>之前完成</w:t>
            </w:r>
          </w:p>
        </w:tc>
        <w:tc>
          <w:tcPr>
            <w:tcW w:w="744" w:type="dxa"/>
            <w:noWrap w:val="0"/>
            <w:vAlign w:val="center"/>
          </w:tcPr>
          <w:p w14:paraId="7029E8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731" w:type="dxa"/>
            <w:noWrap w:val="0"/>
            <w:vAlign w:val="center"/>
          </w:tcPr>
          <w:p w14:paraId="0216A2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59" w:type="dxa"/>
            <w:noWrap w:val="0"/>
            <w:vAlign w:val="center"/>
          </w:tcPr>
          <w:p w14:paraId="749927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AAE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320EA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736D89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12BDAF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600EDC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36" w:type="dxa"/>
            <w:gridSpan w:val="2"/>
            <w:noWrap w:val="0"/>
            <w:vAlign w:val="center"/>
          </w:tcPr>
          <w:p w14:paraId="7A3E47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成本节约率</w:t>
            </w:r>
          </w:p>
        </w:tc>
        <w:tc>
          <w:tcPr>
            <w:tcW w:w="1163" w:type="dxa"/>
            <w:noWrap w:val="0"/>
            <w:vAlign w:val="center"/>
          </w:tcPr>
          <w:p w14:paraId="45C076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0%</w:t>
            </w:r>
          </w:p>
        </w:tc>
        <w:tc>
          <w:tcPr>
            <w:tcW w:w="1212" w:type="dxa"/>
            <w:noWrap w:val="0"/>
            <w:vAlign w:val="center"/>
          </w:tcPr>
          <w:p w14:paraId="2271C292">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44" w:type="dxa"/>
            <w:noWrap w:val="0"/>
            <w:vAlign w:val="center"/>
          </w:tcPr>
          <w:p w14:paraId="272217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731" w:type="dxa"/>
            <w:noWrap w:val="0"/>
            <w:vAlign w:val="center"/>
          </w:tcPr>
          <w:p w14:paraId="6BBFB4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59" w:type="dxa"/>
            <w:noWrap w:val="0"/>
            <w:vAlign w:val="center"/>
          </w:tcPr>
          <w:p w14:paraId="2A65B2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3152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7F6E9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restart"/>
            <w:noWrap w:val="0"/>
            <w:vAlign w:val="center"/>
          </w:tcPr>
          <w:p w14:paraId="569343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F5DD3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804" w:type="dxa"/>
            <w:noWrap w:val="0"/>
            <w:vAlign w:val="center"/>
          </w:tcPr>
          <w:p w14:paraId="3BD755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经济效益指标</w:t>
            </w:r>
          </w:p>
        </w:tc>
        <w:tc>
          <w:tcPr>
            <w:tcW w:w="1536" w:type="dxa"/>
            <w:gridSpan w:val="2"/>
            <w:noWrap w:val="0"/>
            <w:vAlign w:val="center"/>
          </w:tcPr>
          <w:p w14:paraId="34362F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做好城区市政基础设施日常维护工作带动全市经济发展</w:t>
            </w:r>
          </w:p>
        </w:tc>
        <w:tc>
          <w:tcPr>
            <w:tcW w:w="1163" w:type="dxa"/>
            <w:noWrap w:val="0"/>
            <w:vAlign w:val="center"/>
          </w:tcPr>
          <w:p w14:paraId="46CBDD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稳定增长</w:t>
            </w:r>
          </w:p>
        </w:tc>
        <w:tc>
          <w:tcPr>
            <w:tcW w:w="1212" w:type="dxa"/>
            <w:noWrap w:val="0"/>
            <w:vAlign w:val="center"/>
          </w:tcPr>
          <w:p w14:paraId="3AE355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稳定增长</w:t>
            </w:r>
          </w:p>
        </w:tc>
        <w:tc>
          <w:tcPr>
            <w:tcW w:w="744" w:type="dxa"/>
            <w:noWrap w:val="0"/>
            <w:vAlign w:val="center"/>
          </w:tcPr>
          <w:p w14:paraId="25EDA1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1EF84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6EAC69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p>
        </w:tc>
      </w:tr>
      <w:tr w14:paraId="51A1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27118E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67DAEB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3DF9FA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社会效益指标</w:t>
            </w:r>
          </w:p>
        </w:tc>
        <w:tc>
          <w:tcPr>
            <w:tcW w:w="1536" w:type="dxa"/>
            <w:gridSpan w:val="2"/>
            <w:noWrap w:val="0"/>
            <w:vAlign w:val="center"/>
          </w:tcPr>
          <w:p w14:paraId="27F282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方便人民群众出行</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提高人民群众的满意度和幸福感</w:t>
            </w:r>
          </w:p>
        </w:tc>
        <w:tc>
          <w:tcPr>
            <w:tcW w:w="1163" w:type="dxa"/>
            <w:noWrap w:val="0"/>
            <w:vAlign w:val="center"/>
          </w:tcPr>
          <w:p w14:paraId="31AF74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明显方便</w:t>
            </w:r>
          </w:p>
        </w:tc>
        <w:tc>
          <w:tcPr>
            <w:tcW w:w="1212" w:type="dxa"/>
            <w:noWrap w:val="0"/>
            <w:vAlign w:val="center"/>
          </w:tcPr>
          <w:p w14:paraId="7D8743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明显方便</w:t>
            </w:r>
          </w:p>
        </w:tc>
        <w:tc>
          <w:tcPr>
            <w:tcW w:w="744" w:type="dxa"/>
            <w:noWrap w:val="0"/>
            <w:vAlign w:val="center"/>
          </w:tcPr>
          <w:p w14:paraId="7FE75F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31" w:type="dxa"/>
            <w:noWrap w:val="0"/>
            <w:vAlign w:val="center"/>
          </w:tcPr>
          <w:p w14:paraId="7D38E7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622FF7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7C4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53C4E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018DA5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0BB89B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生态效益指标</w:t>
            </w:r>
          </w:p>
        </w:tc>
        <w:tc>
          <w:tcPr>
            <w:tcW w:w="1536" w:type="dxa"/>
            <w:gridSpan w:val="2"/>
            <w:noWrap w:val="0"/>
            <w:vAlign w:val="center"/>
          </w:tcPr>
          <w:p w14:paraId="3B2939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改善市区市容市貌，</w:t>
            </w:r>
            <w:r>
              <w:rPr>
                <w:rFonts w:hint="eastAsia" w:ascii="仿宋" w:hAnsi="仿宋" w:eastAsia="仿宋" w:cs="仿宋"/>
                <w:color w:val="000000"/>
                <w:kern w:val="0"/>
                <w:sz w:val="20"/>
                <w:szCs w:val="20"/>
              </w:rPr>
              <w:t>提升城市品位</w:t>
            </w:r>
          </w:p>
        </w:tc>
        <w:tc>
          <w:tcPr>
            <w:tcW w:w="1163" w:type="dxa"/>
            <w:noWrap w:val="0"/>
            <w:vAlign w:val="center"/>
          </w:tcPr>
          <w:p w14:paraId="3AB306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12" w:type="dxa"/>
            <w:noWrap w:val="0"/>
            <w:vAlign w:val="center"/>
          </w:tcPr>
          <w:p w14:paraId="439F36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744" w:type="dxa"/>
            <w:noWrap w:val="0"/>
            <w:vAlign w:val="center"/>
          </w:tcPr>
          <w:p w14:paraId="72C0CE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31" w:type="dxa"/>
            <w:noWrap w:val="0"/>
            <w:vAlign w:val="center"/>
          </w:tcPr>
          <w:p w14:paraId="7244F1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328B26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0399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4258E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69" w:type="dxa"/>
            <w:vMerge w:val="continue"/>
            <w:noWrap w:val="0"/>
            <w:vAlign w:val="center"/>
          </w:tcPr>
          <w:p w14:paraId="6F6F55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6A1BF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36" w:type="dxa"/>
            <w:gridSpan w:val="2"/>
            <w:noWrap w:val="0"/>
            <w:vAlign w:val="center"/>
          </w:tcPr>
          <w:p w14:paraId="563CCD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确保城区基础设施完好</w:t>
            </w:r>
          </w:p>
        </w:tc>
        <w:tc>
          <w:tcPr>
            <w:tcW w:w="1163" w:type="dxa"/>
            <w:noWrap w:val="0"/>
            <w:vAlign w:val="center"/>
          </w:tcPr>
          <w:p w14:paraId="78DEEB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212" w:type="dxa"/>
            <w:noWrap w:val="0"/>
            <w:vAlign w:val="center"/>
          </w:tcPr>
          <w:p w14:paraId="3799A3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44" w:type="dxa"/>
            <w:noWrap w:val="0"/>
            <w:vAlign w:val="center"/>
          </w:tcPr>
          <w:p w14:paraId="43E509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31" w:type="dxa"/>
            <w:noWrap w:val="0"/>
            <w:vAlign w:val="center"/>
          </w:tcPr>
          <w:p w14:paraId="66A101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59" w:type="dxa"/>
            <w:noWrap w:val="0"/>
            <w:vAlign w:val="center"/>
          </w:tcPr>
          <w:p w14:paraId="78BC5F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630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32863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69" w:type="dxa"/>
            <w:noWrap w:val="0"/>
            <w:vAlign w:val="center"/>
          </w:tcPr>
          <w:p w14:paraId="1D3983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DCE13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2EB7B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804" w:type="dxa"/>
            <w:noWrap w:val="0"/>
            <w:vAlign w:val="center"/>
          </w:tcPr>
          <w:p w14:paraId="152B53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36" w:type="dxa"/>
            <w:gridSpan w:val="2"/>
            <w:noWrap w:val="0"/>
            <w:vAlign w:val="center"/>
          </w:tcPr>
          <w:p w14:paraId="31D5A2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人民群众满意度</w:t>
            </w:r>
          </w:p>
        </w:tc>
        <w:tc>
          <w:tcPr>
            <w:tcW w:w="1163" w:type="dxa"/>
            <w:noWrap w:val="0"/>
            <w:vAlign w:val="center"/>
          </w:tcPr>
          <w:p w14:paraId="698E47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95%</w:t>
            </w:r>
          </w:p>
        </w:tc>
        <w:tc>
          <w:tcPr>
            <w:tcW w:w="1212" w:type="dxa"/>
            <w:noWrap w:val="0"/>
            <w:vAlign w:val="center"/>
          </w:tcPr>
          <w:p w14:paraId="0A2761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94.886%</w:t>
            </w:r>
          </w:p>
        </w:tc>
        <w:tc>
          <w:tcPr>
            <w:tcW w:w="744" w:type="dxa"/>
            <w:noWrap w:val="0"/>
            <w:vAlign w:val="center"/>
          </w:tcPr>
          <w:p w14:paraId="31C748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31" w:type="dxa"/>
            <w:noWrap w:val="0"/>
            <w:vAlign w:val="center"/>
          </w:tcPr>
          <w:p w14:paraId="5CFBDE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1159" w:type="dxa"/>
            <w:noWrap w:val="0"/>
            <w:vAlign w:val="center"/>
          </w:tcPr>
          <w:p w14:paraId="5F5AE3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864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8" w:type="dxa"/>
            <w:gridSpan w:val="7"/>
            <w:noWrap w:val="0"/>
            <w:vAlign w:val="center"/>
          </w:tcPr>
          <w:p w14:paraId="2FDB80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44" w:type="dxa"/>
            <w:noWrap w:val="0"/>
            <w:vAlign w:val="center"/>
          </w:tcPr>
          <w:p w14:paraId="71F015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31" w:type="dxa"/>
            <w:noWrap w:val="0"/>
            <w:vAlign w:val="center"/>
          </w:tcPr>
          <w:p w14:paraId="123854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159" w:type="dxa"/>
            <w:noWrap w:val="0"/>
            <w:vAlign w:val="center"/>
          </w:tcPr>
          <w:p w14:paraId="2C835B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bl>
    <w:p w14:paraId="361BEB75">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0B8513A5">
      <w:pPr>
        <w:rPr>
          <w:rFonts w:hint="default" w:ascii="Times New Roman" w:hAnsi="Times New Roman" w:eastAsia="仿宋_GB2312" w:cs="Times New Roman"/>
          <w:snapToGrid/>
          <w:color w:val="000000"/>
          <w:kern w:val="0"/>
          <w:sz w:val="24"/>
          <w:szCs w:val="24"/>
          <w:lang w:val="en-US" w:eastAsia="zh-CN" w:bidi="ar-SA"/>
        </w:rPr>
      </w:pPr>
    </w:p>
    <w:sectPr>
      <w:footerReference r:id="rId4" w:type="default"/>
      <w:pgSz w:w="11906" w:h="16838"/>
      <w:pgMar w:top="1440" w:right="1800" w:bottom="1440" w:left="1587" w:header="851" w:footer="992" w:gutter="0"/>
      <w:pgNumType w:fmt="decimal"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C2A045-B6A2-45E0-B4B2-756B3A38F5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F5459466-ED46-4847-8DD1-9573D4D92B27}"/>
  </w:font>
  <w:font w:name="方正小标宋_GBK">
    <w:panose1 w:val="03000509000000000000"/>
    <w:charset w:val="86"/>
    <w:family w:val="auto"/>
    <w:pitch w:val="default"/>
    <w:sig w:usb0="00000001" w:usb1="080E0000" w:usb2="00000000" w:usb3="00000000" w:csb0="00040000" w:csb1="00000000"/>
    <w:embedRegular r:id="rId3" w:fontKey="{7032C47A-56A5-4EA5-B361-DA6529EBA8AE}"/>
  </w:font>
  <w:font w:name="仿宋_GB2312">
    <w:panose1 w:val="02010609030101010101"/>
    <w:charset w:val="86"/>
    <w:family w:val="auto"/>
    <w:pitch w:val="default"/>
    <w:sig w:usb0="00000001" w:usb1="080E0000" w:usb2="00000000" w:usb3="00000000" w:csb0="00040000" w:csb1="00000000"/>
    <w:embedRegular r:id="rId4" w:fontKey="{2EA83240-AEAD-42DE-88C0-C8D4769433DF}"/>
  </w:font>
  <w:font w:name="仿宋">
    <w:panose1 w:val="02010609060101010101"/>
    <w:charset w:val="86"/>
    <w:family w:val="auto"/>
    <w:pitch w:val="default"/>
    <w:sig w:usb0="800002BF" w:usb1="38CF7CFA" w:usb2="00000016" w:usb3="00000000" w:csb0="00040001" w:csb1="00000000"/>
    <w:embedRegular r:id="rId5" w:fontKey="{B694501B-FCF7-4DAE-86E8-4134EA87E1C7}"/>
  </w:font>
  <w:font w:name="方正小标宋简体">
    <w:panose1 w:val="03000509000000000000"/>
    <w:charset w:val="86"/>
    <w:family w:val="auto"/>
    <w:pitch w:val="default"/>
    <w:sig w:usb0="00000001" w:usb1="080E0000" w:usb2="00000000" w:usb3="00000000" w:csb0="00040000" w:csb1="00000000"/>
    <w:embedRegular r:id="rId6" w:fontKey="{508A44BF-0601-48DE-A212-D3EE8504B9AF}"/>
  </w:font>
  <w:font w:name="方正仿宋_GB2312">
    <w:panose1 w:val="02000000000000000000"/>
    <w:charset w:val="86"/>
    <w:family w:val="auto"/>
    <w:pitch w:val="default"/>
    <w:sig w:usb0="A00002BF" w:usb1="184F6CFA" w:usb2="00000012" w:usb3="00000000" w:csb0="00040001" w:csb1="00000000"/>
    <w:embedRegular r:id="rId7" w:fontKey="{080D4B89-0886-480B-97F1-1C03CE8B29D8}"/>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1D841">
    <w:pPr>
      <w:pStyle w:val="4"/>
      <w:tabs>
        <w:tab w:val="center" w:pos="4259"/>
        <w:tab w:val="clear" w:pos="4153"/>
      </w:tabs>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B1F99DC">
                          <w:pPr>
                            <w:pStyle w:val="4"/>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B1F99DC">
                    <w:pPr>
                      <w:pStyle w:val="4"/>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11</w:t>
                    </w:r>
                    <w:r>
                      <w:rPr>
                        <w:rFonts w:hint="eastAsia" w:ascii="方正仿宋_GB2312" w:hAnsi="方正仿宋_GB2312" w:eastAsia="方正仿宋_GB2312" w:cs="方正仿宋_GB2312"/>
                        <w:sz w:val="28"/>
                        <w:szCs w:val="28"/>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27348">
    <w:pPr>
      <w:pStyle w:val="4"/>
      <w:tabs>
        <w:tab w:val="center" w:pos="4259"/>
        <w:tab w:val="clear" w:pos="4153"/>
      </w:tabs>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97C6A">
                          <w:pPr>
                            <w:pStyle w:val="4"/>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1197C6A">
                    <w:pPr>
                      <w:pStyle w:val="4"/>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11</w:t>
                    </w:r>
                    <w:r>
                      <w:rPr>
                        <w:rFonts w:hint="eastAsia" w:ascii="方正仿宋_GB2312" w:hAnsi="方正仿宋_GB2312" w:eastAsia="方正仿宋_GB2312" w:cs="方正仿宋_GB2312"/>
                        <w:sz w:val="28"/>
                        <w:szCs w:val="28"/>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kNmI0NGFjM2U0YjYwNWIwMjJlMzAxYzk0NWMxMDAifQ=="/>
    <w:docVar w:name="KSO_WPS_MARK_KEY" w:val="9920a277-c0c3-43b4-93d3-1636fe398e0b"/>
  </w:docVars>
  <w:rsids>
    <w:rsidRoot w:val="753C4E9B"/>
    <w:rsid w:val="000F43AF"/>
    <w:rsid w:val="001848D6"/>
    <w:rsid w:val="00215E0B"/>
    <w:rsid w:val="0055574E"/>
    <w:rsid w:val="0078143C"/>
    <w:rsid w:val="0078768E"/>
    <w:rsid w:val="0086777B"/>
    <w:rsid w:val="00997D30"/>
    <w:rsid w:val="009A13AC"/>
    <w:rsid w:val="00D26D9F"/>
    <w:rsid w:val="012242D3"/>
    <w:rsid w:val="01993D60"/>
    <w:rsid w:val="01C165E5"/>
    <w:rsid w:val="01C40DDD"/>
    <w:rsid w:val="02117D9A"/>
    <w:rsid w:val="02225B04"/>
    <w:rsid w:val="02497534"/>
    <w:rsid w:val="028E13EB"/>
    <w:rsid w:val="029A38EC"/>
    <w:rsid w:val="02AF7331"/>
    <w:rsid w:val="02C92423"/>
    <w:rsid w:val="02D577B8"/>
    <w:rsid w:val="03822237"/>
    <w:rsid w:val="03906A9D"/>
    <w:rsid w:val="03CB2ED9"/>
    <w:rsid w:val="03EA08A3"/>
    <w:rsid w:val="03EE2141"/>
    <w:rsid w:val="03F86B1C"/>
    <w:rsid w:val="04293179"/>
    <w:rsid w:val="044F0706"/>
    <w:rsid w:val="045A1585"/>
    <w:rsid w:val="045E224E"/>
    <w:rsid w:val="046C750A"/>
    <w:rsid w:val="04741B9C"/>
    <w:rsid w:val="048900BC"/>
    <w:rsid w:val="04B0389B"/>
    <w:rsid w:val="04C64E6C"/>
    <w:rsid w:val="04D53301"/>
    <w:rsid w:val="04DD053C"/>
    <w:rsid w:val="04E86B91"/>
    <w:rsid w:val="05832D5D"/>
    <w:rsid w:val="05C34B4B"/>
    <w:rsid w:val="05C80770"/>
    <w:rsid w:val="05D73146"/>
    <w:rsid w:val="05E95AA6"/>
    <w:rsid w:val="063F4ED6"/>
    <w:rsid w:val="065E2E82"/>
    <w:rsid w:val="06620BC5"/>
    <w:rsid w:val="066F5090"/>
    <w:rsid w:val="06725010"/>
    <w:rsid w:val="06C92E53"/>
    <w:rsid w:val="06D373CC"/>
    <w:rsid w:val="07AC659B"/>
    <w:rsid w:val="07CF0B24"/>
    <w:rsid w:val="07D4632F"/>
    <w:rsid w:val="07E55609"/>
    <w:rsid w:val="08170CF5"/>
    <w:rsid w:val="08300D4D"/>
    <w:rsid w:val="085D3FD5"/>
    <w:rsid w:val="088A5E3E"/>
    <w:rsid w:val="08AF5C17"/>
    <w:rsid w:val="08D5567E"/>
    <w:rsid w:val="08DA08BA"/>
    <w:rsid w:val="09864BCA"/>
    <w:rsid w:val="09A246FB"/>
    <w:rsid w:val="09C83435"/>
    <w:rsid w:val="09D05FD4"/>
    <w:rsid w:val="09E35B78"/>
    <w:rsid w:val="0A545640"/>
    <w:rsid w:val="0A5F5B47"/>
    <w:rsid w:val="0A6A0048"/>
    <w:rsid w:val="0A7B2255"/>
    <w:rsid w:val="0A835A2D"/>
    <w:rsid w:val="0AA7304A"/>
    <w:rsid w:val="0B4A4C9E"/>
    <w:rsid w:val="0BAF03EB"/>
    <w:rsid w:val="0BD065D0"/>
    <w:rsid w:val="0C061FF2"/>
    <w:rsid w:val="0C180A78"/>
    <w:rsid w:val="0C2123BF"/>
    <w:rsid w:val="0C582030"/>
    <w:rsid w:val="0C583F4F"/>
    <w:rsid w:val="0C945850"/>
    <w:rsid w:val="0CA21D1B"/>
    <w:rsid w:val="0CD8398F"/>
    <w:rsid w:val="0CE258C3"/>
    <w:rsid w:val="0CF85DDF"/>
    <w:rsid w:val="0D276746"/>
    <w:rsid w:val="0D464D9C"/>
    <w:rsid w:val="0D6635DD"/>
    <w:rsid w:val="0D7F321E"/>
    <w:rsid w:val="0D9C676A"/>
    <w:rsid w:val="0D9F26FE"/>
    <w:rsid w:val="0DB51F60"/>
    <w:rsid w:val="0DBF4B4E"/>
    <w:rsid w:val="0DD52794"/>
    <w:rsid w:val="0DF2282E"/>
    <w:rsid w:val="0E15444E"/>
    <w:rsid w:val="0E19600D"/>
    <w:rsid w:val="0E236E8B"/>
    <w:rsid w:val="0E2A1FC8"/>
    <w:rsid w:val="0E956870"/>
    <w:rsid w:val="0E99714E"/>
    <w:rsid w:val="0ED71A24"/>
    <w:rsid w:val="0F296723"/>
    <w:rsid w:val="0F39623B"/>
    <w:rsid w:val="0F6B0AEA"/>
    <w:rsid w:val="0F781459"/>
    <w:rsid w:val="0FB71F81"/>
    <w:rsid w:val="0FF3288D"/>
    <w:rsid w:val="100F0B58"/>
    <w:rsid w:val="10156CA8"/>
    <w:rsid w:val="101D6DB8"/>
    <w:rsid w:val="102E1B18"/>
    <w:rsid w:val="10A87B1C"/>
    <w:rsid w:val="10B262A5"/>
    <w:rsid w:val="10C666A5"/>
    <w:rsid w:val="10CD7582"/>
    <w:rsid w:val="10D70BE7"/>
    <w:rsid w:val="10E326D9"/>
    <w:rsid w:val="10F16DCD"/>
    <w:rsid w:val="11146F5F"/>
    <w:rsid w:val="113F59F6"/>
    <w:rsid w:val="11692E07"/>
    <w:rsid w:val="118E0AC0"/>
    <w:rsid w:val="11CF59BA"/>
    <w:rsid w:val="11DD1A47"/>
    <w:rsid w:val="122049AD"/>
    <w:rsid w:val="1223366A"/>
    <w:rsid w:val="12706417"/>
    <w:rsid w:val="1284666A"/>
    <w:rsid w:val="12AB744F"/>
    <w:rsid w:val="12B72298"/>
    <w:rsid w:val="12BD6CF7"/>
    <w:rsid w:val="12E017EF"/>
    <w:rsid w:val="12F11915"/>
    <w:rsid w:val="13023513"/>
    <w:rsid w:val="130752A2"/>
    <w:rsid w:val="130C6140"/>
    <w:rsid w:val="132C233E"/>
    <w:rsid w:val="13367661"/>
    <w:rsid w:val="1375316E"/>
    <w:rsid w:val="138419BE"/>
    <w:rsid w:val="13A04ADA"/>
    <w:rsid w:val="13AE71F7"/>
    <w:rsid w:val="13DC1448"/>
    <w:rsid w:val="13F217DA"/>
    <w:rsid w:val="143877FD"/>
    <w:rsid w:val="143C0CA7"/>
    <w:rsid w:val="143F3A5E"/>
    <w:rsid w:val="14670547"/>
    <w:rsid w:val="148F5D32"/>
    <w:rsid w:val="14D902A4"/>
    <w:rsid w:val="14EF540C"/>
    <w:rsid w:val="15201F04"/>
    <w:rsid w:val="154A2F50"/>
    <w:rsid w:val="15580E86"/>
    <w:rsid w:val="15633E3D"/>
    <w:rsid w:val="15634011"/>
    <w:rsid w:val="15826B8D"/>
    <w:rsid w:val="15A765F4"/>
    <w:rsid w:val="15C7071D"/>
    <w:rsid w:val="15D60C87"/>
    <w:rsid w:val="15E433A4"/>
    <w:rsid w:val="15F1161D"/>
    <w:rsid w:val="160610EE"/>
    <w:rsid w:val="16777D74"/>
    <w:rsid w:val="16D4115B"/>
    <w:rsid w:val="17424826"/>
    <w:rsid w:val="17575DF8"/>
    <w:rsid w:val="1798559B"/>
    <w:rsid w:val="17F90809"/>
    <w:rsid w:val="17FC737D"/>
    <w:rsid w:val="180C6BE2"/>
    <w:rsid w:val="18381A98"/>
    <w:rsid w:val="185412B7"/>
    <w:rsid w:val="18561C0B"/>
    <w:rsid w:val="186E51A7"/>
    <w:rsid w:val="18F41B50"/>
    <w:rsid w:val="18FA2EDF"/>
    <w:rsid w:val="192A37C4"/>
    <w:rsid w:val="19460067"/>
    <w:rsid w:val="195A1C0B"/>
    <w:rsid w:val="196A1E12"/>
    <w:rsid w:val="199E7D0E"/>
    <w:rsid w:val="19A21C4A"/>
    <w:rsid w:val="19BD5EE0"/>
    <w:rsid w:val="19BE3F0C"/>
    <w:rsid w:val="19E73463"/>
    <w:rsid w:val="19E805B2"/>
    <w:rsid w:val="19EF40C6"/>
    <w:rsid w:val="1A1F20ED"/>
    <w:rsid w:val="1A231FC1"/>
    <w:rsid w:val="1A3441CE"/>
    <w:rsid w:val="1A3F329F"/>
    <w:rsid w:val="1A6C5716"/>
    <w:rsid w:val="1AA17AB6"/>
    <w:rsid w:val="1AAC5768"/>
    <w:rsid w:val="1ACA15A3"/>
    <w:rsid w:val="1AD559B1"/>
    <w:rsid w:val="1AEF6C50"/>
    <w:rsid w:val="1AFA5418"/>
    <w:rsid w:val="1B410951"/>
    <w:rsid w:val="1B6D1746"/>
    <w:rsid w:val="1B852DB5"/>
    <w:rsid w:val="1BA84E74"/>
    <w:rsid w:val="1BAF4334"/>
    <w:rsid w:val="1BC746DD"/>
    <w:rsid w:val="1BD143CB"/>
    <w:rsid w:val="1BE0016A"/>
    <w:rsid w:val="1C450915"/>
    <w:rsid w:val="1C4E1577"/>
    <w:rsid w:val="1C90180A"/>
    <w:rsid w:val="1C954CD6"/>
    <w:rsid w:val="1CFF6AA9"/>
    <w:rsid w:val="1D1207F7"/>
    <w:rsid w:val="1D28626C"/>
    <w:rsid w:val="1D4672A6"/>
    <w:rsid w:val="1DD27F86"/>
    <w:rsid w:val="1DDD53F4"/>
    <w:rsid w:val="1DEF28E6"/>
    <w:rsid w:val="1DFC63C0"/>
    <w:rsid w:val="1E0345E3"/>
    <w:rsid w:val="1E2A6014"/>
    <w:rsid w:val="1E432C32"/>
    <w:rsid w:val="1E7B23CC"/>
    <w:rsid w:val="1EA27C15"/>
    <w:rsid w:val="1EC75611"/>
    <w:rsid w:val="1EF26F6E"/>
    <w:rsid w:val="1F022AED"/>
    <w:rsid w:val="1F262A7C"/>
    <w:rsid w:val="1F301408"/>
    <w:rsid w:val="1F545ED5"/>
    <w:rsid w:val="1F6317DE"/>
    <w:rsid w:val="1F666BD8"/>
    <w:rsid w:val="1F7C63FB"/>
    <w:rsid w:val="1F8D2999"/>
    <w:rsid w:val="1F97173B"/>
    <w:rsid w:val="1FC102B2"/>
    <w:rsid w:val="1FC85AE5"/>
    <w:rsid w:val="1FE22B7B"/>
    <w:rsid w:val="1FE6559B"/>
    <w:rsid w:val="20014B53"/>
    <w:rsid w:val="2019622C"/>
    <w:rsid w:val="20464CF7"/>
    <w:rsid w:val="20872595"/>
    <w:rsid w:val="209D487B"/>
    <w:rsid w:val="20AF0BE5"/>
    <w:rsid w:val="20B00A53"/>
    <w:rsid w:val="20B9542D"/>
    <w:rsid w:val="20E00C0C"/>
    <w:rsid w:val="21115269"/>
    <w:rsid w:val="211E0E7D"/>
    <w:rsid w:val="2127683B"/>
    <w:rsid w:val="21333432"/>
    <w:rsid w:val="213571AA"/>
    <w:rsid w:val="214C004F"/>
    <w:rsid w:val="217F6677"/>
    <w:rsid w:val="221A34A8"/>
    <w:rsid w:val="22873A35"/>
    <w:rsid w:val="22F369D5"/>
    <w:rsid w:val="22F664C5"/>
    <w:rsid w:val="22FE234B"/>
    <w:rsid w:val="23145A61"/>
    <w:rsid w:val="235F0836"/>
    <w:rsid w:val="23700025"/>
    <w:rsid w:val="238431F3"/>
    <w:rsid w:val="23CC7920"/>
    <w:rsid w:val="23E43D06"/>
    <w:rsid w:val="23F82BCC"/>
    <w:rsid w:val="24042E63"/>
    <w:rsid w:val="246851A0"/>
    <w:rsid w:val="247A47FC"/>
    <w:rsid w:val="24A85EE5"/>
    <w:rsid w:val="24EE7D9B"/>
    <w:rsid w:val="24FB4266"/>
    <w:rsid w:val="25184E18"/>
    <w:rsid w:val="251C4EC4"/>
    <w:rsid w:val="25250980"/>
    <w:rsid w:val="253D405D"/>
    <w:rsid w:val="253E4BFC"/>
    <w:rsid w:val="255A71DF"/>
    <w:rsid w:val="255D282B"/>
    <w:rsid w:val="256A4F48"/>
    <w:rsid w:val="25BA26B3"/>
    <w:rsid w:val="26001D5A"/>
    <w:rsid w:val="2617573D"/>
    <w:rsid w:val="26265F9D"/>
    <w:rsid w:val="262670C1"/>
    <w:rsid w:val="26562782"/>
    <w:rsid w:val="26597496"/>
    <w:rsid w:val="265C6F87"/>
    <w:rsid w:val="265E4AAD"/>
    <w:rsid w:val="26625669"/>
    <w:rsid w:val="268838D8"/>
    <w:rsid w:val="269E134D"/>
    <w:rsid w:val="26A12D68"/>
    <w:rsid w:val="26B40B71"/>
    <w:rsid w:val="26C2328E"/>
    <w:rsid w:val="26C458E2"/>
    <w:rsid w:val="26CD578F"/>
    <w:rsid w:val="270A253F"/>
    <w:rsid w:val="270B7D91"/>
    <w:rsid w:val="27367DB0"/>
    <w:rsid w:val="27554102"/>
    <w:rsid w:val="277E6F02"/>
    <w:rsid w:val="27D668C5"/>
    <w:rsid w:val="27F8683B"/>
    <w:rsid w:val="28285372"/>
    <w:rsid w:val="28687E65"/>
    <w:rsid w:val="2883152C"/>
    <w:rsid w:val="28B906C0"/>
    <w:rsid w:val="28C01A4F"/>
    <w:rsid w:val="28E34B6A"/>
    <w:rsid w:val="28EB63A0"/>
    <w:rsid w:val="29600466"/>
    <w:rsid w:val="297C1D0E"/>
    <w:rsid w:val="29990575"/>
    <w:rsid w:val="29AE5D4B"/>
    <w:rsid w:val="29C15A7E"/>
    <w:rsid w:val="29C72969"/>
    <w:rsid w:val="29D46E34"/>
    <w:rsid w:val="2A206E0F"/>
    <w:rsid w:val="2A31538D"/>
    <w:rsid w:val="2A5A37DD"/>
    <w:rsid w:val="2A614B6C"/>
    <w:rsid w:val="2A64640A"/>
    <w:rsid w:val="2A703001"/>
    <w:rsid w:val="2A84085A"/>
    <w:rsid w:val="2A846AAC"/>
    <w:rsid w:val="2A861533"/>
    <w:rsid w:val="2ACB46DB"/>
    <w:rsid w:val="2AE82B97"/>
    <w:rsid w:val="2AED63FF"/>
    <w:rsid w:val="2AF6742D"/>
    <w:rsid w:val="2B07735B"/>
    <w:rsid w:val="2B0D6AA1"/>
    <w:rsid w:val="2B275DB5"/>
    <w:rsid w:val="2B3B467B"/>
    <w:rsid w:val="2B726905"/>
    <w:rsid w:val="2B797C93"/>
    <w:rsid w:val="2BEB6DE3"/>
    <w:rsid w:val="2C0C6644"/>
    <w:rsid w:val="2C5C1A8E"/>
    <w:rsid w:val="2C934D84"/>
    <w:rsid w:val="2CDE24A4"/>
    <w:rsid w:val="2CE61358"/>
    <w:rsid w:val="2D19172E"/>
    <w:rsid w:val="2D964B2C"/>
    <w:rsid w:val="2DDD09AD"/>
    <w:rsid w:val="2DE0224B"/>
    <w:rsid w:val="2DFB3102"/>
    <w:rsid w:val="2E0A3AA1"/>
    <w:rsid w:val="2E0F2B31"/>
    <w:rsid w:val="2E206AEC"/>
    <w:rsid w:val="2E6B6364"/>
    <w:rsid w:val="2E833798"/>
    <w:rsid w:val="2F3C1703"/>
    <w:rsid w:val="2F414F6C"/>
    <w:rsid w:val="2F445198"/>
    <w:rsid w:val="2F4A02C4"/>
    <w:rsid w:val="2F77273B"/>
    <w:rsid w:val="2F8F50C1"/>
    <w:rsid w:val="2FBD4CA9"/>
    <w:rsid w:val="2FF63FA8"/>
    <w:rsid w:val="30041C4E"/>
    <w:rsid w:val="300503FB"/>
    <w:rsid w:val="302723B3"/>
    <w:rsid w:val="306E1D90"/>
    <w:rsid w:val="309C68FD"/>
    <w:rsid w:val="30A916FB"/>
    <w:rsid w:val="30D2549E"/>
    <w:rsid w:val="30DC13F0"/>
    <w:rsid w:val="30EC274B"/>
    <w:rsid w:val="30F74B66"/>
    <w:rsid w:val="31091AB9"/>
    <w:rsid w:val="31181CFC"/>
    <w:rsid w:val="31210BB1"/>
    <w:rsid w:val="312A2265"/>
    <w:rsid w:val="314A3A83"/>
    <w:rsid w:val="31505547"/>
    <w:rsid w:val="315521FB"/>
    <w:rsid w:val="31653193"/>
    <w:rsid w:val="317251C4"/>
    <w:rsid w:val="319A0B56"/>
    <w:rsid w:val="31D726D9"/>
    <w:rsid w:val="31FC33CC"/>
    <w:rsid w:val="320D2622"/>
    <w:rsid w:val="32494863"/>
    <w:rsid w:val="325B00F2"/>
    <w:rsid w:val="325D20BC"/>
    <w:rsid w:val="32636C60"/>
    <w:rsid w:val="32BD6FFF"/>
    <w:rsid w:val="32DF0D23"/>
    <w:rsid w:val="32E26A66"/>
    <w:rsid w:val="32F6606D"/>
    <w:rsid w:val="3300608A"/>
    <w:rsid w:val="330B1B18"/>
    <w:rsid w:val="33254B83"/>
    <w:rsid w:val="33294694"/>
    <w:rsid w:val="336254B1"/>
    <w:rsid w:val="33AA1331"/>
    <w:rsid w:val="33BA52ED"/>
    <w:rsid w:val="340F388A"/>
    <w:rsid w:val="340F5638"/>
    <w:rsid w:val="344352E2"/>
    <w:rsid w:val="34533777"/>
    <w:rsid w:val="346534AA"/>
    <w:rsid w:val="348A4F85"/>
    <w:rsid w:val="34911E0A"/>
    <w:rsid w:val="34A51AF9"/>
    <w:rsid w:val="34AB6505"/>
    <w:rsid w:val="34D10B40"/>
    <w:rsid w:val="34D4418C"/>
    <w:rsid w:val="34EA39B0"/>
    <w:rsid w:val="34EB1C02"/>
    <w:rsid w:val="34EC597A"/>
    <w:rsid w:val="34F85328"/>
    <w:rsid w:val="35074561"/>
    <w:rsid w:val="352F73C9"/>
    <w:rsid w:val="35411821"/>
    <w:rsid w:val="356B618B"/>
    <w:rsid w:val="356E45E1"/>
    <w:rsid w:val="35794D6E"/>
    <w:rsid w:val="359B692C"/>
    <w:rsid w:val="35A35EE7"/>
    <w:rsid w:val="35B568DA"/>
    <w:rsid w:val="35C503A8"/>
    <w:rsid w:val="35E14DB3"/>
    <w:rsid w:val="36526DF0"/>
    <w:rsid w:val="3664555A"/>
    <w:rsid w:val="3679148F"/>
    <w:rsid w:val="36EF34FF"/>
    <w:rsid w:val="36FC0F5D"/>
    <w:rsid w:val="37134B6B"/>
    <w:rsid w:val="373830F8"/>
    <w:rsid w:val="375773F8"/>
    <w:rsid w:val="375D490D"/>
    <w:rsid w:val="37A12A4B"/>
    <w:rsid w:val="37A95DA4"/>
    <w:rsid w:val="37BA58BB"/>
    <w:rsid w:val="37C76774"/>
    <w:rsid w:val="37E1553E"/>
    <w:rsid w:val="37F94729"/>
    <w:rsid w:val="383E64EC"/>
    <w:rsid w:val="385B52F0"/>
    <w:rsid w:val="38A345A1"/>
    <w:rsid w:val="38B60778"/>
    <w:rsid w:val="38D806EF"/>
    <w:rsid w:val="38EC419A"/>
    <w:rsid w:val="39276F80"/>
    <w:rsid w:val="3934169D"/>
    <w:rsid w:val="393E32BB"/>
    <w:rsid w:val="396E545D"/>
    <w:rsid w:val="39730417"/>
    <w:rsid w:val="39A75836"/>
    <w:rsid w:val="39FA67C0"/>
    <w:rsid w:val="3A210747"/>
    <w:rsid w:val="3A4B4EF0"/>
    <w:rsid w:val="3A543DA5"/>
    <w:rsid w:val="3A766411"/>
    <w:rsid w:val="3A8D5509"/>
    <w:rsid w:val="3A921028"/>
    <w:rsid w:val="3A9271A8"/>
    <w:rsid w:val="3A96323D"/>
    <w:rsid w:val="3A9C399E"/>
    <w:rsid w:val="3AA0348E"/>
    <w:rsid w:val="3AB74334"/>
    <w:rsid w:val="3AC0143A"/>
    <w:rsid w:val="3ACC4F1C"/>
    <w:rsid w:val="3ACF5B21"/>
    <w:rsid w:val="3AE15D12"/>
    <w:rsid w:val="3AEC222F"/>
    <w:rsid w:val="3AF8522A"/>
    <w:rsid w:val="3B1654FE"/>
    <w:rsid w:val="3B1758B2"/>
    <w:rsid w:val="3B231B13"/>
    <w:rsid w:val="3B450C3B"/>
    <w:rsid w:val="3B4B164C"/>
    <w:rsid w:val="3B5953EB"/>
    <w:rsid w:val="3BD01B51"/>
    <w:rsid w:val="3BDF3B42"/>
    <w:rsid w:val="3BF654C0"/>
    <w:rsid w:val="3C101B8D"/>
    <w:rsid w:val="3C1020AE"/>
    <w:rsid w:val="3C187054"/>
    <w:rsid w:val="3C243C4B"/>
    <w:rsid w:val="3C28373B"/>
    <w:rsid w:val="3C2B322B"/>
    <w:rsid w:val="3C5207B8"/>
    <w:rsid w:val="3C595011"/>
    <w:rsid w:val="3CEA487B"/>
    <w:rsid w:val="3D031AB2"/>
    <w:rsid w:val="3D1C447A"/>
    <w:rsid w:val="3D4F6D7F"/>
    <w:rsid w:val="3D54230E"/>
    <w:rsid w:val="3D7309E6"/>
    <w:rsid w:val="3D9250BB"/>
    <w:rsid w:val="3D9A641E"/>
    <w:rsid w:val="3DA72E3B"/>
    <w:rsid w:val="3DAC5CA6"/>
    <w:rsid w:val="3DD57E81"/>
    <w:rsid w:val="3E06185A"/>
    <w:rsid w:val="3E497999"/>
    <w:rsid w:val="3EBC6CB5"/>
    <w:rsid w:val="3EDE6333"/>
    <w:rsid w:val="3F11495A"/>
    <w:rsid w:val="3F544847"/>
    <w:rsid w:val="3F5D36FC"/>
    <w:rsid w:val="3F84512C"/>
    <w:rsid w:val="3FB234C6"/>
    <w:rsid w:val="3FDC1A92"/>
    <w:rsid w:val="3FFD0D04"/>
    <w:rsid w:val="40204729"/>
    <w:rsid w:val="409E016F"/>
    <w:rsid w:val="40CE48A0"/>
    <w:rsid w:val="40D804AB"/>
    <w:rsid w:val="40E24D46"/>
    <w:rsid w:val="40F77B80"/>
    <w:rsid w:val="40FF0D77"/>
    <w:rsid w:val="41076015"/>
    <w:rsid w:val="410D3296"/>
    <w:rsid w:val="41361594"/>
    <w:rsid w:val="413761CE"/>
    <w:rsid w:val="419B2857"/>
    <w:rsid w:val="41C95079"/>
    <w:rsid w:val="41D71DA8"/>
    <w:rsid w:val="41D745D3"/>
    <w:rsid w:val="41E2613A"/>
    <w:rsid w:val="42006E76"/>
    <w:rsid w:val="42022339"/>
    <w:rsid w:val="42097B6B"/>
    <w:rsid w:val="422229DB"/>
    <w:rsid w:val="42312C1E"/>
    <w:rsid w:val="426248B5"/>
    <w:rsid w:val="42750D5C"/>
    <w:rsid w:val="427E2307"/>
    <w:rsid w:val="42A87384"/>
    <w:rsid w:val="42C50EB5"/>
    <w:rsid w:val="42DF2B39"/>
    <w:rsid w:val="42FC76D0"/>
    <w:rsid w:val="433429C6"/>
    <w:rsid w:val="433B081F"/>
    <w:rsid w:val="43664B49"/>
    <w:rsid w:val="43672D9B"/>
    <w:rsid w:val="436A63E7"/>
    <w:rsid w:val="437454B8"/>
    <w:rsid w:val="43776D56"/>
    <w:rsid w:val="438020AF"/>
    <w:rsid w:val="43815BBB"/>
    <w:rsid w:val="43853221"/>
    <w:rsid w:val="43AD4526"/>
    <w:rsid w:val="43BE4985"/>
    <w:rsid w:val="43D85A47"/>
    <w:rsid w:val="44027D31"/>
    <w:rsid w:val="442F62DC"/>
    <w:rsid w:val="44315157"/>
    <w:rsid w:val="44623562"/>
    <w:rsid w:val="446C55DF"/>
    <w:rsid w:val="4473751E"/>
    <w:rsid w:val="44F208A0"/>
    <w:rsid w:val="44FF0DB1"/>
    <w:rsid w:val="45433394"/>
    <w:rsid w:val="4557299B"/>
    <w:rsid w:val="457504FE"/>
    <w:rsid w:val="457C5F26"/>
    <w:rsid w:val="45833790"/>
    <w:rsid w:val="45D97854"/>
    <w:rsid w:val="45DF1728"/>
    <w:rsid w:val="460B7B64"/>
    <w:rsid w:val="465A0995"/>
    <w:rsid w:val="465F2A63"/>
    <w:rsid w:val="46A55988"/>
    <w:rsid w:val="46BF4C9C"/>
    <w:rsid w:val="46C91677"/>
    <w:rsid w:val="46D5626E"/>
    <w:rsid w:val="46DD5122"/>
    <w:rsid w:val="4703102D"/>
    <w:rsid w:val="47431B6E"/>
    <w:rsid w:val="47C00CCC"/>
    <w:rsid w:val="47E11690"/>
    <w:rsid w:val="47EC1AC1"/>
    <w:rsid w:val="483B47F6"/>
    <w:rsid w:val="48585503"/>
    <w:rsid w:val="486A07F9"/>
    <w:rsid w:val="48B87BF5"/>
    <w:rsid w:val="48BF2D31"/>
    <w:rsid w:val="48FC3D6A"/>
    <w:rsid w:val="491B5A84"/>
    <w:rsid w:val="491C61DA"/>
    <w:rsid w:val="495B1176"/>
    <w:rsid w:val="4961028C"/>
    <w:rsid w:val="496B4C67"/>
    <w:rsid w:val="497F0A96"/>
    <w:rsid w:val="497F22FB"/>
    <w:rsid w:val="497F6965"/>
    <w:rsid w:val="49885819"/>
    <w:rsid w:val="499304DE"/>
    <w:rsid w:val="499A379E"/>
    <w:rsid w:val="49B22896"/>
    <w:rsid w:val="49C113FF"/>
    <w:rsid w:val="49C36851"/>
    <w:rsid w:val="49EB5DA8"/>
    <w:rsid w:val="4A282B58"/>
    <w:rsid w:val="4A5C2802"/>
    <w:rsid w:val="4A6C57DD"/>
    <w:rsid w:val="4A6F0787"/>
    <w:rsid w:val="4A9638F4"/>
    <w:rsid w:val="4AD54A8E"/>
    <w:rsid w:val="4AE56E9A"/>
    <w:rsid w:val="4AEC2E99"/>
    <w:rsid w:val="4AEE7069"/>
    <w:rsid w:val="4B37569A"/>
    <w:rsid w:val="4B63653E"/>
    <w:rsid w:val="4B9249C8"/>
    <w:rsid w:val="4BA53685"/>
    <w:rsid w:val="4BBE3774"/>
    <w:rsid w:val="4BD9235C"/>
    <w:rsid w:val="4BD96800"/>
    <w:rsid w:val="4BE34F89"/>
    <w:rsid w:val="4BE96317"/>
    <w:rsid w:val="4BFB49C8"/>
    <w:rsid w:val="4C121D12"/>
    <w:rsid w:val="4C1635B0"/>
    <w:rsid w:val="4C1930A0"/>
    <w:rsid w:val="4C1C493F"/>
    <w:rsid w:val="4C3A6B73"/>
    <w:rsid w:val="4C5C6C9D"/>
    <w:rsid w:val="4C6611ED"/>
    <w:rsid w:val="4C804ECE"/>
    <w:rsid w:val="4C9347AE"/>
    <w:rsid w:val="4CA3296A"/>
    <w:rsid w:val="4CC21042"/>
    <w:rsid w:val="4CD82614"/>
    <w:rsid w:val="4D21045F"/>
    <w:rsid w:val="4D2E492A"/>
    <w:rsid w:val="4D445EFB"/>
    <w:rsid w:val="4D74387C"/>
    <w:rsid w:val="4D92310A"/>
    <w:rsid w:val="4DA72E14"/>
    <w:rsid w:val="4DCE0226"/>
    <w:rsid w:val="4DCE3A17"/>
    <w:rsid w:val="4DF739FA"/>
    <w:rsid w:val="4E1210CF"/>
    <w:rsid w:val="4E231FB4"/>
    <w:rsid w:val="4E2D4BE1"/>
    <w:rsid w:val="4E6600F3"/>
    <w:rsid w:val="4E785DCB"/>
    <w:rsid w:val="4E914F28"/>
    <w:rsid w:val="4EBE7634"/>
    <w:rsid w:val="4EE974EE"/>
    <w:rsid w:val="4F5A6C6D"/>
    <w:rsid w:val="4F7840A6"/>
    <w:rsid w:val="4F7A20A8"/>
    <w:rsid w:val="4F7D56F4"/>
    <w:rsid w:val="4F860A4D"/>
    <w:rsid w:val="4F9F38BD"/>
    <w:rsid w:val="4FC155E1"/>
    <w:rsid w:val="4FE614EB"/>
    <w:rsid w:val="4FE90FDC"/>
    <w:rsid w:val="4FF94B17"/>
    <w:rsid w:val="50211EB6"/>
    <w:rsid w:val="50446212"/>
    <w:rsid w:val="50642410"/>
    <w:rsid w:val="5068762A"/>
    <w:rsid w:val="508605D9"/>
    <w:rsid w:val="50CA4969"/>
    <w:rsid w:val="50E13A61"/>
    <w:rsid w:val="5119769F"/>
    <w:rsid w:val="51BC0756"/>
    <w:rsid w:val="51D04201"/>
    <w:rsid w:val="51F21D52"/>
    <w:rsid w:val="520956B7"/>
    <w:rsid w:val="522D3402"/>
    <w:rsid w:val="52383B54"/>
    <w:rsid w:val="52662470"/>
    <w:rsid w:val="528F220C"/>
    <w:rsid w:val="52D7336D"/>
    <w:rsid w:val="53146370"/>
    <w:rsid w:val="53254D35"/>
    <w:rsid w:val="535D7F7D"/>
    <w:rsid w:val="536966BB"/>
    <w:rsid w:val="53986FA1"/>
    <w:rsid w:val="53AE0572"/>
    <w:rsid w:val="54546A5B"/>
    <w:rsid w:val="547846DC"/>
    <w:rsid w:val="547F1F0F"/>
    <w:rsid w:val="54813591"/>
    <w:rsid w:val="549239F0"/>
    <w:rsid w:val="54947768"/>
    <w:rsid w:val="54B90584"/>
    <w:rsid w:val="5511700B"/>
    <w:rsid w:val="552A0475"/>
    <w:rsid w:val="556233C2"/>
    <w:rsid w:val="556854A4"/>
    <w:rsid w:val="55775466"/>
    <w:rsid w:val="55A21A11"/>
    <w:rsid w:val="55C05FE5"/>
    <w:rsid w:val="55F3226C"/>
    <w:rsid w:val="55F5772A"/>
    <w:rsid w:val="56075D18"/>
    <w:rsid w:val="562951B8"/>
    <w:rsid w:val="565F5B54"/>
    <w:rsid w:val="56723AD9"/>
    <w:rsid w:val="56921A85"/>
    <w:rsid w:val="56E93E65"/>
    <w:rsid w:val="57020574"/>
    <w:rsid w:val="573C40E7"/>
    <w:rsid w:val="575223DF"/>
    <w:rsid w:val="57525B7D"/>
    <w:rsid w:val="576B22D6"/>
    <w:rsid w:val="578D10CB"/>
    <w:rsid w:val="57913BB1"/>
    <w:rsid w:val="580E04B8"/>
    <w:rsid w:val="587B7814"/>
    <w:rsid w:val="58892BEE"/>
    <w:rsid w:val="58985D02"/>
    <w:rsid w:val="589F66DB"/>
    <w:rsid w:val="58C6175D"/>
    <w:rsid w:val="58CD4FF7"/>
    <w:rsid w:val="58D04AE7"/>
    <w:rsid w:val="58EB36CF"/>
    <w:rsid w:val="58F92290"/>
    <w:rsid w:val="591B0458"/>
    <w:rsid w:val="593E4146"/>
    <w:rsid w:val="59684D1F"/>
    <w:rsid w:val="596A4F3B"/>
    <w:rsid w:val="59725B9E"/>
    <w:rsid w:val="597B4402"/>
    <w:rsid w:val="5991071A"/>
    <w:rsid w:val="59995821"/>
    <w:rsid w:val="59AF6563"/>
    <w:rsid w:val="59CA59DA"/>
    <w:rsid w:val="5A0F7891"/>
    <w:rsid w:val="5A5915AC"/>
    <w:rsid w:val="5A625C12"/>
    <w:rsid w:val="5A6E45B7"/>
    <w:rsid w:val="5AC93EE4"/>
    <w:rsid w:val="5B07456D"/>
    <w:rsid w:val="5B4377F2"/>
    <w:rsid w:val="5B522703"/>
    <w:rsid w:val="5B690172"/>
    <w:rsid w:val="5BC00E43"/>
    <w:rsid w:val="5BCA1CC1"/>
    <w:rsid w:val="5BD60666"/>
    <w:rsid w:val="5C1178F0"/>
    <w:rsid w:val="5C287527"/>
    <w:rsid w:val="5C321615"/>
    <w:rsid w:val="5C7B28CE"/>
    <w:rsid w:val="5C841E70"/>
    <w:rsid w:val="5C981DBF"/>
    <w:rsid w:val="5CC606DB"/>
    <w:rsid w:val="5CDD3C76"/>
    <w:rsid w:val="5D30024A"/>
    <w:rsid w:val="5D7E2D3F"/>
    <w:rsid w:val="5D885990"/>
    <w:rsid w:val="5DA23243"/>
    <w:rsid w:val="5DC0337C"/>
    <w:rsid w:val="5DCF7A63"/>
    <w:rsid w:val="5E413D91"/>
    <w:rsid w:val="5E5A37D0"/>
    <w:rsid w:val="5E710B1A"/>
    <w:rsid w:val="5E802B0B"/>
    <w:rsid w:val="5ECF75EF"/>
    <w:rsid w:val="5EE975A9"/>
    <w:rsid w:val="5F1A2F60"/>
    <w:rsid w:val="5F6D6531"/>
    <w:rsid w:val="5FB30C74"/>
    <w:rsid w:val="5FB40CBE"/>
    <w:rsid w:val="5FCB6008"/>
    <w:rsid w:val="602D281F"/>
    <w:rsid w:val="60363989"/>
    <w:rsid w:val="60433329"/>
    <w:rsid w:val="605E0C2A"/>
    <w:rsid w:val="60D55390"/>
    <w:rsid w:val="60DB04CD"/>
    <w:rsid w:val="61264E21"/>
    <w:rsid w:val="615A413F"/>
    <w:rsid w:val="616109D2"/>
    <w:rsid w:val="61810D84"/>
    <w:rsid w:val="61A46B11"/>
    <w:rsid w:val="61C96577"/>
    <w:rsid w:val="623065F6"/>
    <w:rsid w:val="62650996"/>
    <w:rsid w:val="627D5CDF"/>
    <w:rsid w:val="6283706E"/>
    <w:rsid w:val="6284098B"/>
    <w:rsid w:val="62EB68A9"/>
    <w:rsid w:val="630930CF"/>
    <w:rsid w:val="63145F40"/>
    <w:rsid w:val="631C05BB"/>
    <w:rsid w:val="63343EC4"/>
    <w:rsid w:val="63520F1A"/>
    <w:rsid w:val="635F7193"/>
    <w:rsid w:val="636649C5"/>
    <w:rsid w:val="639A229E"/>
    <w:rsid w:val="63B6172C"/>
    <w:rsid w:val="63C94F54"/>
    <w:rsid w:val="63DF02D4"/>
    <w:rsid w:val="64244E7C"/>
    <w:rsid w:val="64446389"/>
    <w:rsid w:val="646B0B2A"/>
    <w:rsid w:val="64713622"/>
    <w:rsid w:val="648167EC"/>
    <w:rsid w:val="648844C8"/>
    <w:rsid w:val="64AD62C1"/>
    <w:rsid w:val="64EC4A56"/>
    <w:rsid w:val="64F22E59"/>
    <w:rsid w:val="65070414"/>
    <w:rsid w:val="650736DE"/>
    <w:rsid w:val="650E6B00"/>
    <w:rsid w:val="651B5716"/>
    <w:rsid w:val="652C02D3"/>
    <w:rsid w:val="65534AD5"/>
    <w:rsid w:val="65554CF2"/>
    <w:rsid w:val="655A23A2"/>
    <w:rsid w:val="655B6E85"/>
    <w:rsid w:val="659B206D"/>
    <w:rsid w:val="65A672FB"/>
    <w:rsid w:val="65EC0A86"/>
    <w:rsid w:val="65FE0EE5"/>
    <w:rsid w:val="661F0E5C"/>
    <w:rsid w:val="662569E8"/>
    <w:rsid w:val="664E34EF"/>
    <w:rsid w:val="666B22F3"/>
    <w:rsid w:val="668A07DD"/>
    <w:rsid w:val="66915BCA"/>
    <w:rsid w:val="66A51361"/>
    <w:rsid w:val="66AD508C"/>
    <w:rsid w:val="676254A4"/>
    <w:rsid w:val="67786A75"/>
    <w:rsid w:val="67D0240D"/>
    <w:rsid w:val="67DB0DB2"/>
    <w:rsid w:val="67EC1211"/>
    <w:rsid w:val="684E2429"/>
    <w:rsid w:val="688431F8"/>
    <w:rsid w:val="68B43ADD"/>
    <w:rsid w:val="68D66149"/>
    <w:rsid w:val="68E87C2B"/>
    <w:rsid w:val="699E714C"/>
    <w:rsid w:val="699F653B"/>
    <w:rsid w:val="69BE2739"/>
    <w:rsid w:val="69D63F27"/>
    <w:rsid w:val="6A070584"/>
    <w:rsid w:val="6A12486A"/>
    <w:rsid w:val="6A2B7805"/>
    <w:rsid w:val="6A786D8C"/>
    <w:rsid w:val="6A8614A9"/>
    <w:rsid w:val="6AA1221F"/>
    <w:rsid w:val="6ACC7244"/>
    <w:rsid w:val="6B0F149F"/>
    <w:rsid w:val="6B3233DF"/>
    <w:rsid w:val="6B693321"/>
    <w:rsid w:val="6B805CF4"/>
    <w:rsid w:val="6BA12CEA"/>
    <w:rsid w:val="6BA51E03"/>
    <w:rsid w:val="6BF16DF6"/>
    <w:rsid w:val="6C016886"/>
    <w:rsid w:val="6C0279BB"/>
    <w:rsid w:val="6C134FBF"/>
    <w:rsid w:val="6C2E3BA6"/>
    <w:rsid w:val="6C6677E4"/>
    <w:rsid w:val="6CA87DFD"/>
    <w:rsid w:val="6CAD5413"/>
    <w:rsid w:val="6CB5251A"/>
    <w:rsid w:val="6CD56718"/>
    <w:rsid w:val="6CF44DF0"/>
    <w:rsid w:val="6D0D7C60"/>
    <w:rsid w:val="6D301BA0"/>
    <w:rsid w:val="6D323B6A"/>
    <w:rsid w:val="6D3E250F"/>
    <w:rsid w:val="6D68758C"/>
    <w:rsid w:val="6D7E46BA"/>
    <w:rsid w:val="6D875C64"/>
    <w:rsid w:val="6D8F4B19"/>
    <w:rsid w:val="6DA73C10"/>
    <w:rsid w:val="6DE4548A"/>
    <w:rsid w:val="6E337B9A"/>
    <w:rsid w:val="6E5B2C4D"/>
    <w:rsid w:val="6EA14B04"/>
    <w:rsid w:val="6EBE0D6F"/>
    <w:rsid w:val="6EDD3662"/>
    <w:rsid w:val="6EE669BA"/>
    <w:rsid w:val="6F1928EC"/>
    <w:rsid w:val="6F235519"/>
    <w:rsid w:val="6F24321E"/>
    <w:rsid w:val="6F775864"/>
    <w:rsid w:val="6F7B4EC0"/>
    <w:rsid w:val="6FC82564"/>
    <w:rsid w:val="701E6FE2"/>
    <w:rsid w:val="70310109"/>
    <w:rsid w:val="704E0CBB"/>
    <w:rsid w:val="704E2A69"/>
    <w:rsid w:val="708F3A70"/>
    <w:rsid w:val="70B623BC"/>
    <w:rsid w:val="70DF66EC"/>
    <w:rsid w:val="70FA23AC"/>
    <w:rsid w:val="7169018A"/>
    <w:rsid w:val="719941B8"/>
    <w:rsid w:val="719E17CE"/>
    <w:rsid w:val="71C3762B"/>
    <w:rsid w:val="71DF6049"/>
    <w:rsid w:val="71EC21E0"/>
    <w:rsid w:val="71F96A05"/>
    <w:rsid w:val="722B70F5"/>
    <w:rsid w:val="72312642"/>
    <w:rsid w:val="723637B5"/>
    <w:rsid w:val="72402885"/>
    <w:rsid w:val="724A7260"/>
    <w:rsid w:val="724F4877"/>
    <w:rsid w:val="725D51E5"/>
    <w:rsid w:val="72AC7F1B"/>
    <w:rsid w:val="72B25431"/>
    <w:rsid w:val="72B874CA"/>
    <w:rsid w:val="72BC63B0"/>
    <w:rsid w:val="72E256EB"/>
    <w:rsid w:val="72E43211"/>
    <w:rsid w:val="72ED47BB"/>
    <w:rsid w:val="73007180"/>
    <w:rsid w:val="733A0869"/>
    <w:rsid w:val="73893DB8"/>
    <w:rsid w:val="73A330CC"/>
    <w:rsid w:val="73C117A4"/>
    <w:rsid w:val="73F531FC"/>
    <w:rsid w:val="73F676A0"/>
    <w:rsid w:val="74031DBD"/>
    <w:rsid w:val="740D6797"/>
    <w:rsid w:val="743106D8"/>
    <w:rsid w:val="743C0E2B"/>
    <w:rsid w:val="743D52D7"/>
    <w:rsid w:val="746D7236"/>
    <w:rsid w:val="748F3650"/>
    <w:rsid w:val="74C37BC5"/>
    <w:rsid w:val="74D20BB4"/>
    <w:rsid w:val="74D472B5"/>
    <w:rsid w:val="74DD37CB"/>
    <w:rsid w:val="74DD616A"/>
    <w:rsid w:val="74DE1136"/>
    <w:rsid w:val="753C4E9B"/>
    <w:rsid w:val="757C4095"/>
    <w:rsid w:val="75C15A8B"/>
    <w:rsid w:val="75D34C26"/>
    <w:rsid w:val="75DC0B17"/>
    <w:rsid w:val="75EA3AB7"/>
    <w:rsid w:val="75EE39E4"/>
    <w:rsid w:val="75EF25F8"/>
    <w:rsid w:val="76283D5C"/>
    <w:rsid w:val="763A004D"/>
    <w:rsid w:val="76B63116"/>
    <w:rsid w:val="76BD6253"/>
    <w:rsid w:val="76C021E7"/>
    <w:rsid w:val="76DE441B"/>
    <w:rsid w:val="77610F13"/>
    <w:rsid w:val="77640DC4"/>
    <w:rsid w:val="77701517"/>
    <w:rsid w:val="777032C5"/>
    <w:rsid w:val="77752FD1"/>
    <w:rsid w:val="77935205"/>
    <w:rsid w:val="779A33A8"/>
    <w:rsid w:val="77E45DF5"/>
    <w:rsid w:val="77ED700C"/>
    <w:rsid w:val="78006D3F"/>
    <w:rsid w:val="780D4FB8"/>
    <w:rsid w:val="781113A7"/>
    <w:rsid w:val="7817324A"/>
    <w:rsid w:val="781D72B5"/>
    <w:rsid w:val="782F13D2"/>
    <w:rsid w:val="784C1F84"/>
    <w:rsid w:val="786848E4"/>
    <w:rsid w:val="7872306D"/>
    <w:rsid w:val="78C34AEE"/>
    <w:rsid w:val="78CA2EA9"/>
    <w:rsid w:val="791E6510"/>
    <w:rsid w:val="79A63B1D"/>
    <w:rsid w:val="79A96F62"/>
    <w:rsid w:val="79C36276"/>
    <w:rsid w:val="7A067F11"/>
    <w:rsid w:val="7A0D129F"/>
    <w:rsid w:val="7A392EEE"/>
    <w:rsid w:val="7A3B7082"/>
    <w:rsid w:val="7A5C5D83"/>
    <w:rsid w:val="7A633358"/>
    <w:rsid w:val="7A666C01"/>
    <w:rsid w:val="7A8D0632"/>
    <w:rsid w:val="7AA80FC8"/>
    <w:rsid w:val="7AAC34FF"/>
    <w:rsid w:val="7AED7BAF"/>
    <w:rsid w:val="7B0F188E"/>
    <w:rsid w:val="7B555980"/>
    <w:rsid w:val="7B9854E0"/>
    <w:rsid w:val="7BB5729C"/>
    <w:rsid w:val="7BC6204D"/>
    <w:rsid w:val="7C3C2310"/>
    <w:rsid w:val="7C507B69"/>
    <w:rsid w:val="7C7E0232"/>
    <w:rsid w:val="7C8D4A41"/>
    <w:rsid w:val="7C8F243F"/>
    <w:rsid w:val="7CAA1027"/>
    <w:rsid w:val="7CD71937"/>
    <w:rsid w:val="7D083FA0"/>
    <w:rsid w:val="7D0D7525"/>
    <w:rsid w:val="7D1F1298"/>
    <w:rsid w:val="7D2D5C20"/>
    <w:rsid w:val="7D465012"/>
    <w:rsid w:val="7D504410"/>
    <w:rsid w:val="7D797826"/>
    <w:rsid w:val="7DAC0DCF"/>
    <w:rsid w:val="7DE70059"/>
    <w:rsid w:val="7DF369FE"/>
    <w:rsid w:val="7DFF35F5"/>
    <w:rsid w:val="7E1370A0"/>
    <w:rsid w:val="7E152E18"/>
    <w:rsid w:val="7E2D1F10"/>
    <w:rsid w:val="7EB959EF"/>
    <w:rsid w:val="7EE8052D"/>
    <w:rsid w:val="7EFB0260"/>
    <w:rsid w:val="7F1434A2"/>
    <w:rsid w:val="7F2A6B4A"/>
    <w:rsid w:val="7F402117"/>
    <w:rsid w:val="7F4A08A0"/>
    <w:rsid w:val="7F503682"/>
    <w:rsid w:val="7F620AB6"/>
    <w:rsid w:val="7F815817"/>
    <w:rsid w:val="7FA91A6A"/>
    <w:rsid w:val="7FCE7723"/>
    <w:rsid w:val="7FE9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character" w:styleId="10">
    <w:name w:val="Strong"/>
    <w:basedOn w:val="9"/>
    <w:qFormat/>
    <w:uiPriority w:val="0"/>
    <w:rPr>
      <w:b/>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6919</Words>
  <Characters>7917</Characters>
  <Lines>0</Lines>
  <Paragraphs>0</Paragraphs>
  <TotalTime>8</TotalTime>
  <ScaleCrop>false</ScaleCrop>
  <LinksUpToDate>false</LinksUpToDate>
  <CharactersWithSpaces>8019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笔记</cp:lastModifiedBy>
  <cp:lastPrinted>2024-08-18T08:05:42Z</cp:lastPrinted>
  <dcterms:modified xsi:type="dcterms:W3CDTF">2024-08-18T08:14:53Z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5FCE5FA82D654E1FA09662426C596889_13</vt:lpwstr>
  </property>
</Properties>
</file>