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B2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附件5</w:t>
      </w:r>
    </w:p>
    <w:p w14:paraId="3C97A12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061C4A5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10DD9A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1200" w:firstLineChars="3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2024年度怀化市市政设施维护中心</w:t>
      </w:r>
    </w:p>
    <w:p w14:paraId="3EB9AE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1200" w:firstLineChars="3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整体支出绩效自评报告</w:t>
      </w:r>
    </w:p>
    <w:p w14:paraId="7F33D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D2BB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373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CF4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327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BD7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0F9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0A5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C2B4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AAD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3FD8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774F0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C39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2E2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85AD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0C3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        单位名称（盖章）：</w:t>
      </w:r>
    </w:p>
    <w:p w14:paraId="5BF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2308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2A83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F16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一、部门概况</w:t>
      </w:r>
    </w:p>
    <w:p w14:paraId="0B4EC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（一）单位基本情况。</w:t>
      </w:r>
    </w:p>
    <w:p w14:paraId="2F2DBFD4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机构设置情况</w:t>
      </w:r>
    </w:p>
    <w:p w14:paraId="07E9A64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怀化市市政设施维护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中心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作为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怀化市城市管理局的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二级部门预算单位，内设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室为12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个（副科级）：办公室、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人事教育部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计划财务部、市政工程服务部、市政应急服务部、市政科技推广服务部、市政管线服务所、城市车行道服务所、城市人行道服务所、城市照明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服务所、城市桥梁服务所、城市排水服务所。</w:t>
      </w:r>
    </w:p>
    <w:p w14:paraId="5599E3B3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人员编制情况</w:t>
      </w:r>
    </w:p>
    <w:p w14:paraId="02F421B9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截止2024年12月31日，我中心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核定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差额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拨款事业单位编制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160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名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pacing w:val="-2"/>
          <w:sz w:val="32"/>
          <w:szCs w:val="32"/>
          <w:highlight w:val="none"/>
          <w:lang w:val="en-US" w:eastAsia="zh-CN"/>
        </w:rPr>
        <w:t>实有在职人员154人。</w:t>
      </w:r>
    </w:p>
    <w:p w14:paraId="149B39D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主要职能职责</w:t>
      </w:r>
    </w:p>
    <w:p w14:paraId="50F5703F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承担全市市政设施运行服务研究工作，指导城市市政设施服务重大科技项目攻关、成果推广和新技术新设备新材料的引进、吸收、应用等工作，为全市市政设施运行等相关工作提供技术支持和服务保障。</w:t>
      </w:r>
    </w:p>
    <w:p w14:paraId="4CEB30F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承担怀化市主城区主次干道的城市道路、城市照明、城市排水、城市桥梁（含地下人行通道、涵洞）、综合管廊管线、智慧城管市政监控信息平台等市政设施运行服务与应急处置工作；协助做好市本级城市道路挖掘修复费收取的相关服务工作；承担管辖范围内城市排水排涝、抗冰除雪等工作。</w:t>
      </w:r>
    </w:p>
    <w:p w14:paraId="770B80A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参与拟订市本级市政设施服务行业作业规范和标准、中长期规划和年度计划相关工作；为全市市政设施维护工作开展和养护作业社会化、市场化服务提供技术指导。</w:t>
      </w:r>
    </w:p>
    <w:p w14:paraId="58862FB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协助做好市本级市政工程设计方案评审、建设、交工和竣工验收等相关服务工作；协助做好中心城区城市市政基础设施建设项目的可行性研究，方案审查和工程竣工备案等相关服务工作；承担全市市政设施行业技术和信息化指导、业务培训、协调服务等相关工作。</w:t>
      </w:r>
    </w:p>
    <w:p w14:paraId="75FA04A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承担智慧城管市政监控信息平台的受理分解和跟踪服务工作。</w:t>
      </w:r>
    </w:p>
    <w:p w14:paraId="4A6F1EBF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（6）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完成市城市管理和综合执法局交办的其他任务。</w:t>
      </w:r>
    </w:p>
    <w:p w14:paraId="6875106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Times New Roman Regular" w:hAnsi="Times New Roman Regular" w:eastAsia="仿宋_GB2312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绩效目标设定情况</w:t>
      </w:r>
    </w:p>
    <w:p w14:paraId="7A52F5A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2024年我中心设定的总体绩效目标：保障城区内主次干道市政设施运行和应急处置；智慧城管市政监控信息平台的受理分解和跟踪服务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</w:p>
    <w:p w14:paraId="42FF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（二）单位整体支出规模、使用方向和主要内容、涉及范围等。</w:t>
      </w:r>
    </w:p>
    <w:p w14:paraId="16D4E12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1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年部门预算情况</w:t>
      </w:r>
    </w:p>
    <w:p w14:paraId="696D2F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依据怀财预（202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）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号预算批复，我中心202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年年初支出总预算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5,170.36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万元，其中：基本支出1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万元（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人员经费1,249.17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公用经费60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.00万元；项目支出3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8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61.19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万元。</w:t>
      </w:r>
    </w:p>
    <w:p w14:paraId="72AEFA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年支出预算调整预算数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1256.97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万元，与年初预算安排的差额主要是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基本支出年中预算增加236.9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万元、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项目支出年中预算增加1020.07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万元。</w:t>
      </w:r>
    </w:p>
    <w:p w14:paraId="5BC31704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Times New Roman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年部门决算情况</w:t>
      </w:r>
    </w:p>
    <w:p w14:paraId="19B3B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年度部门整体决算总支出4,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339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万元，其中：基本支出1,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414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万元，占总支出的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32.6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%，使用内容为人员经费和日常公用经费；项目支出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,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924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.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万元，占总支出的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67.4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%，主要用于</w:t>
      </w:r>
      <w:r>
        <w:rPr>
          <w:rFonts w:hint="eastAsia" w:ascii="仿宋" w:hAnsi="仿宋" w:eastAsia="仿宋" w:cs="Times New Roman"/>
          <w:color w:val="FF0000"/>
          <w:spacing w:val="-2"/>
          <w:sz w:val="32"/>
          <w:szCs w:val="32"/>
        </w:rPr>
        <w:t>市政设施日常维护、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沥青混合料搅拌环保设备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怀化学院东校区北门交通分流改造项目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湖天北路绿化带内排水管塌陷抢修经费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、舞水三桥（四桥）及黄花坪大桥维修项目、桥梁监测费、迎丰路等3条路道路路灯接地制作项目、拆除重建团结二桥和改造犀牛塘建设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。</w:t>
      </w:r>
    </w:p>
    <w:p w14:paraId="1F95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 w14:paraId="6A0235D0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（一）基本支出</w:t>
      </w:r>
    </w:p>
    <w:p w14:paraId="2693DD16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介绍基本支出的主要用途、范围以及资金的管理情况，尤其是“三公”经费的使用和管理情况。</w:t>
      </w:r>
    </w:p>
    <w:p w14:paraId="07D09682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</w:pP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基本支出系保障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我中心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正常运转、完成日常工作任务而发生的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人员经费和日常公用经费。具体包括：工资福利支出、商品和服务支出、对个人和家庭的补助。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4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年基本支出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1,304.1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万元较上年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减少25.98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万元，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减幅1.95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%。</w:t>
      </w:r>
    </w:p>
    <w:p w14:paraId="59900D28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人员经费。人员经费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1,239.93万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元，占基本支出的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95.08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%，较上年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减少12.46万元，减幅0.99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%，主要是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本年度人员减少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。</w:t>
      </w:r>
    </w:p>
    <w:p w14:paraId="36FB83CA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</w:pPr>
      <w:r>
        <w:rPr>
          <w:rFonts w:hint="eastAsia" w:ascii="仿宋" w:hAnsi="仿宋" w:eastAsia="仿宋" w:cs="仿宋"/>
          <w:spacing w:val="-2"/>
          <w:sz w:val="32"/>
          <w:szCs w:val="32"/>
        </w:rPr>
        <w:t>（1）工资福利支出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1,085.29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主要包括在职人员工资、奖金、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绩效工资、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职工基本医疗保险缴费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、其他社会保障费、住房公积金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等支出。</w:t>
      </w:r>
    </w:p>
    <w:p w14:paraId="11EA88AA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</w:pPr>
      <w:r>
        <w:rPr>
          <w:rFonts w:hint="eastAsia" w:ascii="仿宋" w:hAnsi="仿宋" w:eastAsia="仿宋" w:cs="仿宋"/>
          <w:spacing w:val="-2"/>
          <w:sz w:val="32"/>
          <w:szCs w:val="32"/>
        </w:rPr>
        <w:t>（2）对个人和家庭补助支出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154.64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万元。主要包括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抚恤金、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生活补助、其他对个人和家庭的补助等支出。</w:t>
      </w:r>
    </w:p>
    <w:p w14:paraId="5EA4DDFE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日常公用经费。日常公用经费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64.16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较上年减少5.69万元，减幅8.15%，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主要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是人员减少，公用经费减少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</w:rPr>
        <w:t>。</w:t>
      </w:r>
    </w:p>
    <w:p w14:paraId="5A280EA6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</w:pPr>
      <w:r>
        <w:rPr>
          <w:rFonts w:hint="eastAsia" w:ascii="仿宋" w:hAnsi="仿宋" w:eastAsia="仿宋" w:cs="仿宋"/>
          <w:spacing w:val="-2"/>
          <w:sz w:val="32"/>
          <w:szCs w:val="32"/>
        </w:rPr>
        <w:t>（1）商品和服务支出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64.16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万元。包括日常运行正常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的物业管理费、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福利费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其他商品服务支出等。</w:t>
      </w:r>
    </w:p>
    <w:p w14:paraId="264E07BD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（2）“三公”经费支出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公务接待费0万元，较上年减少0.35万元；“三公经费”总体支出比上年减少0.35万元，主要是本年度无业务接待费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。</w:t>
      </w:r>
    </w:p>
    <w:p w14:paraId="278BA567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3）会议费和培训费支出1.46万元。会议费0万元，发生培训费1.46万元，主要是单位职工参加湖南省城乡建设行业协会照明所行业协会培训、报考工业锅炉司炉证、参加创卫复审培训班、参加湖南省政府采购业务培训、参加湖南省档案业务培训等支出。</w:t>
      </w:r>
    </w:p>
    <w:p w14:paraId="67638621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（二）项目支出</w:t>
      </w:r>
    </w:p>
    <w:p w14:paraId="1324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项目资金（包括财政资金、自筹资金等）安排落实、总投入等情况分析。</w:t>
      </w:r>
    </w:p>
    <w:p w14:paraId="39826CEC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根据怀财预（2024）5号文件，2024年度市财政年初预算安排本单位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一般公共预算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项目资金1,146.05万元，年初预算项目资金到位率100%。年中追加一般公共预算项目资金287.22万元，主要有怀化学院东校区北门交通分流改造项目、迎丰市场铁路桥等5座城市桥梁内侧墙面涂装美化改造、湖天北路绿化带内排水管塌陷抢修经费、拆除重建团结二桥和改造犀牛塘建设项目。</w:t>
      </w:r>
    </w:p>
    <w:p w14:paraId="1F94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项目资金（主要指财政资金）实际使用情况分析。</w:t>
      </w:r>
    </w:p>
    <w:p w14:paraId="6E4DF19D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pacing w:line="560" w:lineRule="exact"/>
        <w:ind w:left="0"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2024年度我中心项目支出1,420.53万元，主要用于城乡社区支出（类）其他城乡社区公共设施支出、城乡社区支出（类）城乡社区环境卫生、城乡社区支出（类）其他城乡社区支出，其中：沥青混合料搅拌环保设备43.27万元；市政设施日常维护费用1090.3万元；怀化学院东校区北门交通分流改造项目4.1万元；迎丰市场铁路桥等5座城市桥梁内侧墙面涂装美化改造106.56万元；湖天北路绿化带内排水管塌陷抢修经费2.36万元；拆除重建团结二桥和改造犀牛塘建设173.95万元。</w:t>
      </w:r>
    </w:p>
    <w:p w14:paraId="1D04E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项目资金管理情况分析，主要包括管理制度、办法的制订及执行情况。</w:t>
      </w:r>
    </w:p>
    <w:p w14:paraId="0C6AC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我中心制定了</w:t>
      </w:r>
      <w:r>
        <w:rPr>
          <w:rFonts w:hint="eastAsia" w:ascii="仿宋" w:hAnsi="仿宋" w:eastAsia="仿宋" w:cs="仿宋"/>
          <w:color w:val="FF0000"/>
          <w:spacing w:val="-2"/>
          <w:kern w:val="2"/>
          <w:sz w:val="32"/>
          <w:szCs w:val="32"/>
          <w:lang w:val="en-US" w:eastAsia="zh-CN" w:bidi="ar-SA"/>
        </w:rPr>
        <w:t>《一般性维护改造工程项目管理办法》及相关财务管理制度对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专项资金的分配、使用、管理严格按制度执行，大额资金支出实行“三重一大”集体决策机制，项目招标、评审、结算按政府采购管理办法等相关要求进行，确保资金使用公开、公正、科学、高效，专款专用、不被挤占、挪用、借用或随意调整。</w:t>
      </w:r>
    </w:p>
    <w:p w14:paraId="47AF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 w14:paraId="7096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（一）项目组织情况分析，主要包括项目招投标、调整、竣工验收等情况。</w:t>
      </w:r>
    </w:p>
    <w:p w14:paraId="69725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云溪二桥等15座城市桥梁检测项目由湖南中隆瑞项目管理有限公司代理，采购方式为竞争性磋商，意向采购时间为2024年8月，计划编号为怀财采计202430236，中标单位为湖南致力工程科技有限公司，成交公告日期为2024年11月26日，于2024年12月18日签订检测合同并开始检测桥梁工作，2025年1月完成检测工作并汇总检测成果，1月17日，中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心领导组织专家对检测报告成果进行了评审验收。</w:t>
      </w:r>
    </w:p>
    <w:p w14:paraId="6A575A3F">
      <w:pPr>
        <w:pStyle w:val="7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怀化市市政设施维护中心沥青拌合站碎石辉绿岩、机制砂、玄武岩等原材料定点供应项目由湖南鹤中国项目管理有限公司代理，采购方式为公开招标，计划编号为怀财采计202430001，中标单位为怀化市全民贸易有限公司，成交公告日期为2024年3月。本年度已完成项目采购。</w:t>
      </w:r>
    </w:p>
    <w:p w14:paraId="4E7AE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（二）项目管理情况分析，主要包括项目管理制度建设、日常检查监督管理等情况。</w:t>
      </w:r>
    </w:p>
    <w:p w14:paraId="56B7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制定了项目管理制度，包括三重一大集体决策机制、项目管理制度等。在项目实施过程中，工作人员能严格执行制度的相关规定，实施日常检查并建立了日常检查台账。</w:t>
      </w:r>
    </w:p>
    <w:p w14:paraId="6681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 w14:paraId="6BEB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我中心建立了</w:t>
      </w:r>
      <w:r>
        <w:rPr>
          <w:rFonts w:hint="eastAsia" w:ascii="仿宋" w:hAnsi="仿宋" w:eastAsia="仿宋"/>
          <w:color w:val="auto"/>
          <w:spacing w:val="-2"/>
          <w:sz w:val="32"/>
          <w:szCs w:val="32"/>
          <w:lang w:val="en-US" w:eastAsia="zh-CN"/>
        </w:rPr>
        <w:t>《国有资产管理制度》。</w:t>
      </w:r>
      <w:r>
        <w:rPr>
          <w:rFonts w:hint="eastAsia" w:ascii="仿宋" w:hAnsi="仿宋" w:eastAsia="仿宋"/>
          <w:color w:val="auto"/>
          <w:spacing w:val="-2"/>
          <w:sz w:val="32"/>
          <w:szCs w:val="32"/>
        </w:rPr>
        <w:t>按照资产管理信息化的要求，建立了规范的固定资产台账，将全部资产录入资产信息管理系统并及时更新。资产的配置、购置、验收、入账、领用均按照《</w:t>
      </w:r>
      <w:r>
        <w:rPr>
          <w:rFonts w:hint="eastAsia" w:ascii="仿宋" w:hAnsi="仿宋" w:eastAsia="仿宋"/>
          <w:color w:val="auto"/>
          <w:spacing w:val="-2"/>
          <w:sz w:val="32"/>
          <w:szCs w:val="32"/>
          <w:lang w:val="en-US" w:eastAsia="zh-CN"/>
        </w:rPr>
        <w:t>国有</w:t>
      </w:r>
      <w:r>
        <w:rPr>
          <w:rFonts w:hint="eastAsia" w:ascii="仿宋" w:hAnsi="仿宋" w:eastAsia="仿宋"/>
          <w:color w:val="auto"/>
          <w:spacing w:val="-2"/>
          <w:sz w:val="32"/>
          <w:szCs w:val="32"/>
        </w:rPr>
        <w:t>资产</w:t>
      </w:r>
      <w:r>
        <w:rPr>
          <w:rFonts w:hint="eastAsia" w:ascii="仿宋" w:hAnsi="仿宋" w:eastAsia="仿宋"/>
          <w:spacing w:val="-2"/>
          <w:sz w:val="32"/>
          <w:szCs w:val="32"/>
        </w:rPr>
        <w:t>管理制度》执行，落实资产关键岗位、使用人员的职责。202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pacing w:val="-2"/>
          <w:sz w:val="32"/>
          <w:szCs w:val="32"/>
        </w:rPr>
        <w:t>年末资产总额33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1,819</w:t>
      </w:r>
      <w:r>
        <w:rPr>
          <w:rFonts w:hint="eastAsia" w:ascii="仿宋" w:hAnsi="仿宋" w:eastAsia="仿宋"/>
          <w:spacing w:val="-2"/>
          <w:sz w:val="32"/>
          <w:szCs w:val="32"/>
        </w:rPr>
        <w:t>.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/>
          <w:spacing w:val="-2"/>
          <w:sz w:val="32"/>
          <w:szCs w:val="32"/>
        </w:rPr>
        <w:t>万元，负债总额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180</w:t>
      </w:r>
      <w:r>
        <w:rPr>
          <w:rFonts w:hint="eastAsia" w:ascii="仿宋" w:hAnsi="仿宋" w:eastAsia="仿宋"/>
          <w:spacing w:val="-2"/>
          <w:sz w:val="32"/>
          <w:szCs w:val="32"/>
        </w:rPr>
        <w:t>.4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pacing w:val="-2"/>
          <w:sz w:val="32"/>
          <w:szCs w:val="32"/>
        </w:rPr>
        <w:t>万元，净资产3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31,638</w:t>
      </w:r>
      <w:r>
        <w:rPr>
          <w:rFonts w:hint="eastAsia" w:ascii="仿宋" w:hAnsi="仿宋" w:eastAsia="仿宋"/>
          <w:spacing w:val="-2"/>
          <w:sz w:val="32"/>
          <w:szCs w:val="32"/>
        </w:rPr>
        <w:t>.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58</w:t>
      </w:r>
      <w:r>
        <w:rPr>
          <w:rFonts w:hint="eastAsia" w:ascii="仿宋" w:hAnsi="仿宋" w:eastAsia="仿宋"/>
          <w:spacing w:val="-2"/>
          <w:sz w:val="32"/>
          <w:szCs w:val="32"/>
        </w:rPr>
        <w:t>万元。与上年相比，资产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增加718.2</w:t>
      </w:r>
      <w:r>
        <w:rPr>
          <w:rFonts w:hint="eastAsia" w:ascii="仿宋" w:hAnsi="仿宋" w:eastAsia="仿宋"/>
          <w:spacing w:val="-2"/>
          <w:sz w:val="32"/>
          <w:szCs w:val="32"/>
        </w:rPr>
        <w:t>万元，负债减少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1,061.65</w:t>
      </w:r>
      <w:r>
        <w:rPr>
          <w:rFonts w:hint="eastAsia" w:ascii="仿宋" w:hAnsi="仿宋" w:eastAsia="仿宋"/>
          <w:spacing w:val="-2"/>
          <w:sz w:val="32"/>
          <w:szCs w:val="32"/>
        </w:rPr>
        <w:t>万元，净资产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增加343.45</w:t>
      </w:r>
      <w:r>
        <w:rPr>
          <w:rFonts w:hint="eastAsia" w:ascii="仿宋" w:hAnsi="仿宋" w:eastAsia="仿宋"/>
          <w:spacing w:val="-2"/>
          <w:sz w:val="32"/>
          <w:szCs w:val="32"/>
        </w:rPr>
        <w:t>万元。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2024年新增固定资产347.51万元，主要为本年度购置空调、台式电脑及打印机等办公设备；根据政府会计准则第7号会计调整院内办公楼及仓库资产评估入账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7C2A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五、政府性基金预算支出情况</w:t>
      </w:r>
    </w:p>
    <w:p w14:paraId="6C718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2024年我中心政府性基金预算指标2,850.64万元，实际支出1,504.36万元，均为项目支出，其中：</w:t>
      </w:r>
      <w:r>
        <w:rPr>
          <w:rFonts w:hint="eastAsia" w:ascii="仿宋" w:hAnsi="仿宋" w:eastAsia="仿宋" w:cs="Times New Roman"/>
          <w:color w:val="auto"/>
          <w:spacing w:val="-2"/>
          <w:kern w:val="2"/>
          <w:sz w:val="32"/>
          <w:szCs w:val="32"/>
          <w:lang w:val="en-US" w:eastAsia="zh-CN" w:bidi="ar-SA"/>
        </w:rPr>
        <w:t>市政设施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日常维护费用1,409.56万元、舞水三桥、四桥及黄花坪大桥维修项目0.48万元、桥梁监测费47.6万元、迎丰路等3条路道路路灯接地制作项目46.72万元。政府性基金预算执行率52.77%。</w:t>
      </w:r>
    </w:p>
    <w:p w14:paraId="3488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六、国有资本经营预算支出情况</w:t>
      </w:r>
    </w:p>
    <w:p w14:paraId="4AC4A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2024</w:t>
      </w:r>
      <w:r>
        <w:rPr>
          <w:rFonts w:hint="eastAsia" w:hAnsi="仿宋" w:eastAsia="仿宋"/>
          <w:spacing w:val="-2"/>
          <w:sz w:val="32"/>
          <w:szCs w:val="32"/>
          <w:lang w:val="en-US" w:eastAsia="zh-CN"/>
        </w:rPr>
        <w:t>年本单位无国有资本经营预算支出。</w:t>
      </w:r>
    </w:p>
    <w:p w14:paraId="3844A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七、社会保险基金预算支出情况</w:t>
      </w:r>
    </w:p>
    <w:p w14:paraId="0DAE3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2024年</w:t>
      </w:r>
      <w:r>
        <w:rPr>
          <w:rFonts w:hint="eastAsia" w:hAnsi="仿宋" w:eastAsia="仿宋"/>
          <w:spacing w:val="-2"/>
          <w:sz w:val="32"/>
          <w:szCs w:val="32"/>
          <w:lang w:val="en-US" w:eastAsia="zh-CN"/>
        </w:rPr>
        <w:t>本单位无社会保险基金预算支出。</w:t>
      </w:r>
    </w:p>
    <w:p w14:paraId="387A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八、部门整体支出绩效情况</w:t>
      </w:r>
    </w:p>
    <w:p w14:paraId="75FD4F8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（一）综合评价结论。</w:t>
      </w:r>
      <w:r>
        <w:rPr>
          <w:rFonts w:hint="default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反映自评得分及评价等级。</w:t>
      </w:r>
    </w:p>
    <w:p w14:paraId="40AB159A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仿宋" w:hAnsi="仿宋" w:eastAsia="仿宋" w:cs="Times New Roman"/>
          <w:color w:val="auto"/>
          <w:spacing w:val="-2"/>
          <w:kern w:val="2"/>
          <w:sz w:val="32"/>
          <w:szCs w:val="32"/>
          <w:lang w:val="en-US" w:eastAsia="zh-CN" w:bidi="ar-SA"/>
        </w:rPr>
        <w:t>根据本次自评情况，</w:t>
      </w:r>
      <w:r>
        <w:rPr>
          <w:rFonts w:hint="eastAsia" w:ascii="仿宋" w:hAnsi="仿宋" w:eastAsia="仿宋" w:cs="Times New Roman"/>
          <w:color w:val="auto"/>
          <w:spacing w:val="-2"/>
          <w:kern w:val="2"/>
          <w:sz w:val="32"/>
          <w:szCs w:val="32"/>
          <w:highlight w:val="none"/>
          <w:lang w:val="en-US" w:eastAsia="zh-CN" w:bidi="ar-SA"/>
        </w:rPr>
        <w:t>我中心</w:t>
      </w:r>
      <w:r>
        <w:rPr>
          <w:rFonts w:hint="default" w:ascii="仿宋" w:hAnsi="仿宋" w:eastAsia="仿宋" w:cs="Times New Roman"/>
          <w:color w:val="auto"/>
          <w:spacing w:val="-2"/>
          <w:kern w:val="2"/>
          <w:sz w:val="32"/>
          <w:szCs w:val="32"/>
          <w:highlight w:val="none"/>
          <w:lang w:val="en-US" w:eastAsia="zh-CN" w:bidi="ar-SA"/>
        </w:rPr>
        <w:t>整</w:t>
      </w:r>
      <w:r>
        <w:rPr>
          <w:rFonts w:hint="default" w:ascii="仿宋" w:hAnsi="仿宋" w:eastAsia="仿宋" w:cs="Times New Roman"/>
          <w:color w:val="auto"/>
          <w:spacing w:val="-2"/>
          <w:kern w:val="2"/>
          <w:sz w:val="32"/>
          <w:szCs w:val="32"/>
          <w:lang w:val="en-US" w:eastAsia="zh-CN" w:bidi="ar-SA"/>
        </w:rPr>
        <w:t>体支出绩效评价得分</w:t>
      </w:r>
      <w:r>
        <w:rPr>
          <w:rFonts w:hint="default" w:ascii="仿宋" w:hAnsi="仿宋" w:eastAsia="仿宋" w:cs="Times New Roman"/>
          <w:color w:val="auto"/>
          <w:spacing w:val="-2"/>
          <w:kern w:val="2"/>
          <w:sz w:val="32"/>
          <w:szCs w:val="32"/>
          <w:highlight w:val="none"/>
          <w:lang w:val="en-US" w:eastAsia="zh-CN" w:bidi="ar-SA"/>
        </w:rPr>
        <w:t>为9</w:t>
      </w:r>
      <w:r>
        <w:rPr>
          <w:rFonts w:hint="eastAsia" w:ascii="仿宋" w:hAnsi="仿宋" w:eastAsia="仿宋" w:cs="Times New Roman"/>
          <w:color w:val="auto"/>
          <w:spacing w:val="-2"/>
          <w:kern w:val="2"/>
          <w:sz w:val="32"/>
          <w:szCs w:val="32"/>
          <w:highlight w:val="none"/>
          <w:lang w:val="en-US" w:eastAsia="zh-CN" w:bidi="ar-SA"/>
        </w:rPr>
        <w:t>5.09</w:t>
      </w:r>
      <w:r>
        <w:rPr>
          <w:rFonts w:hint="default" w:ascii="仿宋" w:hAnsi="仿宋" w:eastAsia="仿宋" w:cs="Times New Roman"/>
          <w:color w:val="auto"/>
          <w:spacing w:val="-2"/>
          <w:kern w:val="2"/>
          <w:sz w:val="32"/>
          <w:szCs w:val="32"/>
          <w:highlight w:val="none"/>
          <w:lang w:val="en-US" w:eastAsia="zh-CN" w:bidi="ar-SA"/>
        </w:rPr>
        <w:t>分，自评等级为优。</w:t>
      </w:r>
    </w:p>
    <w:p w14:paraId="2F64201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（二）评价指标分析（或综合评价情况）。</w:t>
      </w:r>
    </w:p>
    <w:p w14:paraId="4DECFB83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我中心严格按照绩效目标制定的相关规定，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围绕部门职责、行业发展规划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，完整、合理地制定整体绩效目标，绩效指标基本做到细化量化。</w:t>
      </w:r>
    </w:p>
    <w:p w14:paraId="04B7E95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.整体绩效目标设定</w:t>
      </w:r>
    </w:p>
    <w:p w14:paraId="3437B94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_GB2312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（1）绩效目标合理性。绩效目标符合国家法律法规、国民经济和社会发展总体规划；符合部门“三定”方案确定的职责；符合部门制定的中长期实施规划。</w:t>
      </w:r>
    </w:p>
    <w:p w14:paraId="454132E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（2）绩效指标明确性。将部门整体的绩效目标细化分解为具体的工作任务；与部门年度的任务数或计划数相对应；与本年度部门预算资金相匹配。</w:t>
      </w:r>
    </w:p>
    <w:p w14:paraId="430D536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2.预算配置</w:t>
      </w:r>
    </w:p>
    <w:p w14:paraId="1971056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在职人员控制率。2024年编制数160人，实际在职人员数154人，在职人员控制率为96.25%，控制在预算编制内。</w:t>
      </w:r>
    </w:p>
    <w:p w14:paraId="0837D97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“三公经费”变动率。2024年“三公经费”预算数0.6万元，上年度“三公经费”预算数0.1万元，“三公经费”变动率500%，本年度公务用车运行维护费无预算。</w:t>
      </w:r>
    </w:p>
    <w:p w14:paraId="6BC8ECF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预算执行</w:t>
      </w:r>
    </w:p>
    <w:p w14:paraId="25FDB9D8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（1）预算执行率。2024年全年预算数6427.33万元，执行数4339.62万元，预算执行率67.52%。</w:t>
      </w:r>
    </w:p>
    <w:p w14:paraId="34A15E4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FF0000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（2）预算调整率。2024年预算调整数1256.97万元，年初预算数5170.36万元，预算调整率24.31%。</w:t>
      </w:r>
    </w:p>
    <w:p w14:paraId="06A1901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_GB2312" w:cs="仿宋"/>
          <w:color w:val="FF0000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（3）公用经费控制率。2024年预算安排公用经费总额60万元，实际安排公用经费总额64.16万元，公用经费控制率106.93%，公用经费未控制在预算范围内。</w:t>
      </w:r>
    </w:p>
    <w:p w14:paraId="21EF2326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（4）“三公经费”控制率。2024年“三公经费”预算安排数0.6万元，实际支出数0万元，“三公经费”控制率100%，</w:t>
      </w:r>
      <w:r>
        <w:rPr>
          <w:rFonts w:hint="eastAsia" w:hAnsi="仿宋" w:eastAsia="仿宋"/>
          <w:color w:val="auto"/>
          <w:spacing w:val="-2"/>
          <w:sz w:val="32"/>
          <w:szCs w:val="32"/>
          <w:lang w:val="en-US" w:eastAsia="zh-CN"/>
        </w:rPr>
        <w:t>主要原因是本年度无业务接待费。</w:t>
      </w:r>
    </w:p>
    <w:p w14:paraId="31F56329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（5）政府采购执行率</w:t>
      </w:r>
    </w:p>
    <w:p w14:paraId="76277BB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政府采购年初预算金额1185.11万元，实际政府采购金额1889.05万元，政府采购执行率159.4%，未控制在预算范围内，主要是根据审计要求，决算政府采购金额包括政府采购招标金额和电子卖场采购金额。</w:t>
      </w:r>
    </w:p>
    <w:p w14:paraId="1C031D0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预算管理</w:t>
      </w:r>
    </w:p>
    <w:p w14:paraId="028C9D6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_GB2312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（1）管理制度健全性。我单位已制定内部财务管理制度，并严格按管理办法执行。</w:t>
      </w:r>
    </w:p>
    <w:p w14:paraId="482CDB22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（2）资金使用合规性。资金的拨付有完整的审批程序和手续，预算支出的重大开支经集体决策;不存在截留、挤占、挪用、虚列支出等情况。</w:t>
      </w:r>
    </w:p>
    <w:p w14:paraId="0DF10C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（3）预决算信息公开性。按财政规定内容、规定时限完成预决算公开信息。</w:t>
      </w:r>
    </w:p>
    <w:p w14:paraId="48FC4BA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5.</w:t>
      </w:r>
      <w:r>
        <w:rPr>
          <w:rFonts w:hint="default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资产管理</w:t>
      </w:r>
    </w:p>
    <w:p w14:paraId="472C75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（1）管理制度健全性。我单位已制定《国有资产管理制度》，并严格按照制度执行。</w:t>
      </w:r>
    </w:p>
    <w:p w14:paraId="30F756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_GB2312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（2）资产管理安全性。资产保存完整、资产配置合理、资产处置规范、资产账务管理帐实相符、处置收入及时足额上缴。</w:t>
      </w:r>
    </w:p>
    <w:p w14:paraId="14379B9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6.职责履行</w:t>
      </w:r>
    </w:p>
    <w:p w14:paraId="205311E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（1）实际完成情况</w:t>
      </w:r>
    </w:p>
    <w:p w14:paraId="122C505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2024年通过车（人）道路、排水、路灯、桥梁维护以及智慧城管信息系统等现代化信息手段完成87条道路、市政排水维护429公里、</w:t>
      </w:r>
      <w:r>
        <w:rPr>
          <w:rFonts w:hint="eastAsia" w:ascii="仿宋" w:hAnsi="仿宋" w:eastAsia="仿宋" w:cs="仿宋"/>
          <w:color w:val="FF0000"/>
          <w:spacing w:val="-2"/>
          <w:sz w:val="32"/>
          <w:szCs w:val="32"/>
          <w:highlight w:val="none"/>
          <w:lang w:val="en-US" w:eastAsia="zh-CN"/>
        </w:rPr>
        <w:t>市政照明维护28047盏、市政桥梁维护48座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等日常维护工作，完成目标。具体如下：</w:t>
      </w:r>
    </w:p>
    <w:p w14:paraId="12BD6D2A">
      <w:pPr>
        <w:pStyle w:val="6"/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一是日常维护管理方面。全年已累计完成车行道破损和坑槽修复29000平方米，人行道板破损修复8600平方米，增设无障碍坡道500处，增设人行道隔离墩（柱）3200个；清淤疏通各类排水检查井、雨水井5800座，新砌雨水井160座，更换各类排水井盖330座；维修城市照明路灯5600盏，修复路灯电缆6400米，增设中华灯投光灯660套，检修路灯控制箱85台；落实城市桥梁APP巡检制度，维修舞水三桥桥面及钢筋外漏166平方米，修复李公湾大桥、狮子岩大桥、四方田大桥、天星桥等城市桥梁麻石栏杆加固9米，维修湖天大桥护栏1260米，增设泄水孔33个，舞水二桥伸缩缝更换维修36米；办理破道手续33处，下达井盖维护、破道整改通知书72份，完成12345市长热线和智慧城管派单、网络舆情等各类派单2900余件,红网百姓呼声、问政湖南等网络舆情8起，完成率均达100%。</w:t>
      </w:r>
    </w:p>
    <w:p w14:paraId="0B4A9D4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二是专项维护任务方面。重点开展了城市车行道专项修复，城市人行道专项修复，城市桥梁改扩建工程项目，路灯专用变压器抢修和中华灯光源补强，城市防洪排涝等专项维护任务。完成了会展路、凉山路2条道路车行道沥青路面的油化改造，共铺设沥青路面6900平方米，以及湖天南路、南环路等道路口接顺12处，铺设沥青路面3900平方米；完成了《高铁片区防洪排涝改造项目》的实施，改（扩）建1.2米直径大型防洪排涝管道438米，增设1.8米直径以上大型检查井6座，以及顺天南道4道排水管网清清淤项目和怀化大道等18条排水管网清清淤项目，共清淤排水管道3680米；完成了《团结二桥和犀牛塘桥拆除重建项目》的实施，改（扩）建城市桥梁2座，以及《环城东路人大桥和顺天大桥改扩建项目》的实施，扩建桥梁面积4800平方米，以及云溪二桥等15座城市桥梁安全检测；完成了高堰路、东环路等中华灯路灯光源补强660套，抢修怀化北高速接接线和顺天南路路灯专用变压器2台；完成了环城东路、高铁片区、紫东片区、会展中心周边等人行道面积修复，修复人行路5800平方米。此外，抽调专业人员协助主管局加强中心城区车行道提质改造施工管理，完成了2024年第二期、第三期共14条道路的沥青路面车行道整体提质改造，共改造车行道总长32千米，改造沥青路面140万平方米。</w:t>
      </w:r>
    </w:p>
    <w:p w14:paraId="0BDEF6D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FF0000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三是《政府工作报告》任务情况。根据2024年度市政府《政府工作报告》任务分解，我中心抽调人员到主管局成立了工作专班，协助主管局完成了G209高堰路至鸭嘴岩三段合一工程、高新区财富西路及舞水路高新区段、天星东路、刘塘路等道路延伸工程，以及云集路断头路段、中方滨江路、舞水路中方段、锦溪南路、正清路、顺天大道等道路提质改造建设任务；协助鹤城区政府、市城发集团完成了石门市场、太平桥市场的内涝点整治工作；协助鹤城区政府、怀化国际陆港开发区完成了主次干道、高速出入口，公铁车站等城市“窗口”治理和市政设施维护和更新等工作。</w:t>
      </w:r>
    </w:p>
    <w:p w14:paraId="110559A4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（2）质量完成情况</w:t>
      </w:r>
    </w:p>
    <w:p w14:paraId="1E9F5A6A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绩效目标达标完成率100%，完成目标。</w:t>
      </w:r>
    </w:p>
    <w:p w14:paraId="642AFA6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（3）完成及时情况</w:t>
      </w:r>
    </w:p>
    <w:p w14:paraId="49341839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整体工作在2024年12月底之前完成，完成目标。</w:t>
      </w:r>
    </w:p>
    <w:p w14:paraId="4FCFCC8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highlight w:val="none"/>
          <w:lang w:val="en-US" w:eastAsia="zh-CN" w:bidi="ar"/>
        </w:rPr>
        <w:t>7.履职效益情况</w:t>
      </w:r>
    </w:p>
    <w:p w14:paraId="0779F5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（1）社会效益</w:t>
      </w:r>
    </w:p>
    <w:p w14:paraId="336F794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改善城市市容形象，提升城市品味，保障城市文明出行。完成目标。</w:t>
      </w:r>
    </w:p>
    <w:p w14:paraId="2B8453F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（2）可持续影响效益</w:t>
      </w:r>
    </w:p>
    <w:p w14:paraId="6367839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持续提升市容形象、城市品味。完成目标。</w:t>
      </w:r>
    </w:p>
    <w:p w14:paraId="2EC2D9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（3）满意度</w:t>
      </w:r>
    </w:p>
    <w:p w14:paraId="57D98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人民群众满意度95%，基本完成目标。</w:t>
      </w:r>
    </w:p>
    <w:p w14:paraId="7943E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 w14:paraId="7C63B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年初绩效评价指标体系不完善，绩效目标设立不够细化。</w:t>
      </w:r>
    </w:p>
    <w:p w14:paraId="4F0F7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十、下一步改进措施</w:t>
      </w:r>
    </w:p>
    <w:p w14:paraId="75AD2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年初预算绩效目标设立要细化、量化。在布置预算绩效管理工作时，相关负责人要督促各项目负责人从预算编制开始，做好收集、汇总项目各个阶段的痕迹资料。</w:t>
      </w:r>
    </w:p>
    <w:p w14:paraId="6A2E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 w14:paraId="0261F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根据2024年本单位绩效自评结果进一步优化目标管理、改进履职效能、加强预算绩效管理等。绩效自评结果将按照怀化市财政局的要求，在相关网站予以公示。</w:t>
      </w:r>
    </w:p>
    <w:p w14:paraId="0D944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十二、其他需要说明的情况</w:t>
      </w:r>
    </w:p>
    <w:p w14:paraId="3A61D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无。</w:t>
      </w:r>
    </w:p>
    <w:p w14:paraId="35CF4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</w:p>
    <w:p w14:paraId="0B257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整体支出报告需要以下附件：</w:t>
      </w:r>
    </w:p>
    <w:p w14:paraId="28AC6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1.部门整体支出绩效评价基础数据表</w:t>
      </w:r>
    </w:p>
    <w:p w14:paraId="54EE2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2.部门整体支出绩效自评表</w:t>
      </w:r>
    </w:p>
    <w:p w14:paraId="70DDF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3.项目支出绩效自评表（每个一级项目支出一张表）</w:t>
      </w:r>
    </w:p>
    <w:p w14:paraId="095B5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如有政府性基金预算、国有资本经营预算和社会保险基金预算支出，还需对应提供以下附件：</w:t>
      </w:r>
    </w:p>
    <w:p w14:paraId="55D46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政府性基金预算支出情况表</w:t>
      </w:r>
    </w:p>
    <w:p w14:paraId="4873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国有资本经营预算支出情况表</w:t>
      </w:r>
    </w:p>
    <w:p w14:paraId="27085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both"/>
        <w:textAlignment w:val="auto"/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社会保险基金预算支出情况表</w:t>
      </w:r>
    </w:p>
    <w:p w14:paraId="3DF12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 w14:paraId="38945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 w14:paraId="3B83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2A2017-ED21-4681-A460-C14342878D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9F51785-6535-4FBE-896B-1AA1E17A76A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4AD60E7-6192-4030-9335-3A7A72C2186A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087E3191-CF14-4FB8-BD69-EE2AAF3B33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C232B40A-76D2-4AD3-B271-13AEC8C0D5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41EDE754-7BF1-44AE-88CF-7766CEB64D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603231F-441E-49E9-A078-DE9C00C5A26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FF29D878-96E4-4898-BF11-53B95E0E72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8C5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C83DA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C83DA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1F1D2C"/>
    <w:rsid w:val="002B247F"/>
    <w:rsid w:val="003F417C"/>
    <w:rsid w:val="005A7208"/>
    <w:rsid w:val="00ED3BD8"/>
    <w:rsid w:val="01145609"/>
    <w:rsid w:val="0119677B"/>
    <w:rsid w:val="013444C1"/>
    <w:rsid w:val="014063FE"/>
    <w:rsid w:val="01B36BD0"/>
    <w:rsid w:val="01B720FB"/>
    <w:rsid w:val="01E21263"/>
    <w:rsid w:val="021E7CE1"/>
    <w:rsid w:val="02581A3B"/>
    <w:rsid w:val="02691984"/>
    <w:rsid w:val="027A76EE"/>
    <w:rsid w:val="02F94AB6"/>
    <w:rsid w:val="031E198F"/>
    <w:rsid w:val="038A3960"/>
    <w:rsid w:val="03A03184"/>
    <w:rsid w:val="03E2379C"/>
    <w:rsid w:val="048B5BE2"/>
    <w:rsid w:val="05091901"/>
    <w:rsid w:val="052027CE"/>
    <w:rsid w:val="05D84E57"/>
    <w:rsid w:val="05E95AA6"/>
    <w:rsid w:val="063858F6"/>
    <w:rsid w:val="066E30C6"/>
    <w:rsid w:val="071A4FFB"/>
    <w:rsid w:val="074958E1"/>
    <w:rsid w:val="076D15CF"/>
    <w:rsid w:val="076F3599"/>
    <w:rsid w:val="079A613C"/>
    <w:rsid w:val="07AD40C1"/>
    <w:rsid w:val="07EA2C20"/>
    <w:rsid w:val="07F615C4"/>
    <w:rsid w:val="08513C0E"/>
    <w:rsid w:val="0854453D"/>
    <w:rsid w:val="08874912"/>
    <w:rsid w:val="08AF0544"/>
    <w:rsid w:val="08C43471"/>
    <w:rsid w:val="08CE2541"/>
    <w:rsid w:val="09931095"/>
    <w:rsid w:val="09B96D4E"/>
    <w:rsid w:val="09F2225F"/>
    <w:rsid w:val="09F26430"/>
    <w:rsid w:val="0A2A19F9"/>
    <w:rsid w:val="0B7F5D75"/>
    <w:rsid w:val="0BAE0408"/>
    <w:rsid w:val="0C180A78"/>
    <w:rsid w:val="0CE265BB"/>
    <w:rsid w:val="0CED0223"/>
    <w:rsid w:val="0D276746"/>
    <w:rsid w:val="0D305579"/>
    <w:rsid w:val="0D464D9C"/>
    <w:rsid w:val="0D550956"/>
    <w:rsid w:val="0DAE46EF"/>
    <w:rsid w:val="0DD52794"/>
    <w:rsid w:val="0DFF4F4B"/>
    <w:rsid w:val="0E5C239D"/>
    <w:rsid w:val="0E7771D7"/>
    <w:rsid w:val="0E8F4521"/>
    <w:rsid w:val="0E927B6D"/>
    <w:rsid w:val="0E956870"/>
    <w:rsid w:val="0FA94FB4"/>
    <w:rsid w:val="0FFD53DA"/>
    <w:rsid w:val="10142F30"/>
    <w:rsid w:val="10C666A5"/>
    <w:rsid w:val="10F44B0F"/>
    <w:rsid w:val="11072BC3"/>
    <w:rsid w:val="1154735C"/>
    <w:rsid w:val="11673533"/>
    <w:rsid w:val="116E02D9"/>
    <w:rsid w:val="119836EC"/>
    <w:rsid w:val="1223366A"/>
    <w:rsid w:val="12617F82"/>
    <w:rsid w:val="12B207DE"/>
    <w:rsid w:val="12EA61CA"/>
    <w:rsid w:val="13050588"/>
    <w:rsid w:val="132F0080"/>
    <w:rsid w:val="13A730B3"/>
    <w:rsid w:val="13B642FE"/>
    <w:rsid w:val="13E1581F"/>
    <w:rsid w:val="143877FD"/>
    <w:rsid w:val="1457163D"/>
    <w:rsid w:val="147C416C"/>
    <w:rsid w:val="14902DA1"/>
    <w:rsid w:val="149F165C"/>
    <w:rsid w:val="150D43F1"/>
    <w:rsid w:val="15A9771A"/>
    <w:rsid w:val="16353C00"/>
    <w:rsid w:val="165C118C"/>
    <w:rsid w:val="1695644C"/>
    <w:rsid w:val="173A2DBA"/>
    <w:rsid w:val="17FCFFF6"/>
    <w:rsid w:val="185F6D12"/>
    <w:rsid w:val="18874E40"/>
    <w:rsid w:val="18C1177B"/>
    <w:rsid w:val="18C179CD"/>
    <w:rsid w:val="191A70DD"/>
    <w:rsid w:val="19882298"/>
    <w:rsid w:val="19E805B2"/>
    <w:rsid w:val="1A604FC3"/>
    <w:rsid w:val="1B2A217A"/>
    <w:rsid w:val="1B9969DF"/>
    <w:rsid w:val="1B9E5DA3"/>
    <w:rsid w:val="1C042A47"/>
    <w:rsid w:val="1C60574F"/>
    <w:rsid w:val="1C611E93"/>
    <w:rsid w:val="1CB02232"/>
    <w:rsid w:val="1CBF872E"/>
    <w:rsid w:val="1CE65C54"/>
    <w:rsid w:val="1CF57C45"/>
    <w:rsid w:val="1D0E6058"/>
    <w:rsid w:val="1D3A1AFC"/>
    <w:rsid w:val="1D5113F8"/>
    <w:rsid w:val="1DA022A7"/>
    <w:rsid w:val="1E236A34"/>
    <w:rsid w:val="1E5110F7"/>
    <w:rsid w:val="1F7C3DDD"/>
    <w:rsid w:val="206F41B2"/>
    <w:rsid w:val="207417C9"/>
    <w:rsid w:val="20A0436C"/>
    <w:rsid w:val="22196184"/>
    <w:rsid w:val="227E06DD"/>
    <w:rsid w:val="227E692E"/>
    <w:rsid w:val="229E62F1"/>
    <w:rsid w:val="22C81958"/>
    <w:rsid w:val="22D84291"/>
    <w:rsid w:val="22FE234B"/>
    <w:rsid w:val="22FF7A6F"/>
    <w:rsid w:val="23111551"/>
    <w:rsid w:val="23413B6C"/>
    <w:rsid w:val="236C49D9"/>
    <w:rsid w:val="24397179"/>
    <w:rsid w:val="244B2840"/>
    <w:rsid w:val="24747FE9"/>
    <w:rsid w:val="2483647E"/>
    <w:rsid w:val="253B28B5"/>
    <w:rsid w:val="25761B3F"/>
    <w:rsid w:val="25E22D30"/>
    <w:rsid w:val="25EE2C31"/>
    <w:rsid w:val="263C68E5"/>
    <w:rsid w:val="26BD5C77"/>
    <w:rsid w:val="270A253F"/>
    <w:rsid w:val="275B5BDE"/>
    <w:rsid w:val="277E6F02"/>
    <w:rsid w:val="27AC1848"/>
    <w:rsid w:val="27C941A8"/>
    <w:rsid w:val="28537F15"/>
    <w:rsid w:val="28636AFF"/>
    <w:rsid w:val="286D7229"/>
    <w:rsid w:val="28AC5FA3"/>
    <w:rsid w:val="28BE1833"/>
    <w:rsid w:val="29693E94"/>
    <w:rsid w:val="29990575"/>
    <w:rsid w:val="29AF73CD"/>
    <w:rsid w:val="2A783B83"/>
    <w:rsid w:val="2AE449EF"/>
    <w:rsid w:val="2AEB394A"/>
    <w:rsid w:val="2AF05EF0"/>
    <w:rsid w:val="2AF6742D"/>
    <w:rsid w:val="2B5A14DA"/>
    <w:rsid w:val="2C5F332D"/>
    <w:rsid w:val="2CBC252D"/>
    <w:rsid w:val="2D542766"/>
    <w:rsid w:val="2D614E83"/>
    <w:rsid w:val="2D8755B3"/>
    <w:rsid w:val="2D964B2C"/>
    <w:rsid w:val="2DBE0ECB"/>
    <w:rsid w:val="2DEA30CA"/>
    <w:rsid w:val="2E150147"/>
    <w:rsid w:val="2F6F7D2B"/>
    <w:rsid w:val="2F8F217B"/>
    <w:rsid w:val="30073ABF"/>
    <w:rsid w:val="303926DC"/>
    <w:rsid w:val="30450A8C"/>
    <w:rsid w:val="308B46F0"/>
    <w:rsid w:val="30A47561"/>
    <w:rsid w:val="310C3703"/>
    <w:rsid w:val="31104BF6"/>
    <w:rsid w:val="312A2265"/>
    <w:rsid w:val="313A7EC4"/>
    <w:rsid w:val="318D4498"/>
    <w:rsid w:val="3220530C"/>
    <w:rsid w:val="3240775C"/>
    <w:rsid w:val="333252F7"/>
    <w:rsid w:val="333F3E43"/>
    <w:rsid w:val="33527747"/>
    <w:rsid w:val="33AD0E22"/>
    <w:rsid w:val="34050C5E"/>
    <w:rsid w:val="3498562E"/>
    <w:rsid w:val="35026F4B"/>
    <w:rsid w:val="35243365"/>
    <w:rsid w:val="35B20971"/>
    <w:rsid w:val="35BC359E"/>
    <w:rsid w:val="35D20A58"/>
    <w:rsid w:val="35FC7E3E"/>
    <w:rsid w:val="360867E3"/>
    <w:rsid w:val="36C00E6C"/>
    <w:rsid w:val="36E8395A"/>
    <w:rsid w:val="36FC0F5D"/>
    <w:rsid w:val="374B4BD9"/>
    <w:rsid w:val="375773F8"/>
    <w:rsid w:val="378679C0"/>
    <w:rsid w:val="39365415"/>
    <w:rsid w:val="393E32BB"/>
    <w:rsid w:val="397B107A"/>
    <w:rsid w:val="39B32F0A"/>
    <w:rsid w:val="39BD78E5"/>
    <w:rsid w:val="39D8471E"/>
    <w:rsid w:val="39EB4452"/>
    <w:rsid w:val="3AC85F3C"/>
    <w:rsid w:val="3AED5FA8"/>
    <w:rsid w:val="3B111C96"/>
    <w:rsid w:val="3B2A71FC"/>
    <w:rsid w:val="3B5F40A8"/>
    <w:rsid w:val="3B7F12F6"/>
    <w:rsid w:val="3BEB0739"/>
    <w:rsid w:val="3C94492D"/>
    <w:rsid w:val="3C9708C1"/>
    <w:rsid w:val="3CA54D8C"/>
    <w:rsid w:val="3CD92C87"/>
    <w:rsid w:val="3D393726"/>
    <w:rsid w:val="3D54230E"/>
    <w:rsid w:val="3DC47494"/>
    <w:rsid w:val="3E210442"/>
    <w:rsid w:val="3E5325C6"/>
    <w:rsid w:val="3E766D3B"/>
    <w:rsid w:val="3EB70DA6"/>
    <w:rsid w:val="3EFDDE87"/>
    <w:rsid w:val="3F797DA0"/>
    <w:rsid w:val="40050825"/>
    <w:rsid w:val="400C5122"/>
    <w:rsid w:val="40300E10"/>
    <w:rsid w:val="40552625"/>
    <w:rsid w:val="4114428E"/>
    <w:rsid w:val="4142704D"/>
    <w:rsid w:val="419B2857"/>
    <w:rsid w:val="41A43864"/>
    <w:rsid w:val="41D71DA8"/>
    <w:rsid w:val="41DD28D2"/>
    <w:rsid w:val="42186000"/>
    <w:rsid w:val="422E137F"/>
    <w:rsid w:val="4242307D"/>
    <w:rsid w:val="42BA2B33"/>
    <w:rsid w:val="431022E1"/>
    <w:rsid w:val="433F136A"/>
    <w:rsid w:val="4391606A"/>
    <w:rsid w:val="43AF64F0"/>
    <w:rsid w:val="43EC504E"/>
    <w:rsid w:val="43F87E97"/>
    <w:rsid w:val="43FB34E3"/>
    <w:rsid w:val="441A7E0D"/>
    <w:rsid w:val="44DC50C3"/>
    <w:rsid w:val="45554E75"/>
    <w:rsid w:val="45800144"/>
    <w:rsid w:val="45D71D2E"/>
    <w:rsid w:val="45E87A97"/>
    <w:rsid w:val="45F16A41"/>
    <w:rsid w:val="47E744AA"/>
    <w:rsid w:val="47F03402"/>
    <w:rsid w:val="48221986"/>
    <w:rsid w:val="4832149E"/>
    <w:rsid w:val="48335942"/>
    <w:rsid w:val="48441F90"/>
    <w:rsid w:val="489108BA"/>
    <w:rsid w:val="48B061BA"/>
    <w:rsid w:val="48C90054"/>
    <w:rsid w:val="49164517"/>
    <w:rsid w:val="491F1A22"/>
    <w:rsid w:val="49975A5C"/>
    <w:rsid w:val="49F66C27"/>
    <w:rsid w:val="4A547DF1"/>
    <w:rsid w:val="4A5E47CC"/>
    <w:rsid w:val="4A82495E"/>
    <w:rsid w:val="4AE5143A"/>
    <w:rsid w:val="4B83273C"/>
    <w:rsid w:val="4BA40904"/>
    <w:rsid w:val="4C080E93"/>
    <w:rsid w:val="4C6611ED"/>
    <w:rsid w:val="4CA84651"/>
    <w:rsid w:val="4CB66B41"/>
    <w:rsid w:val="4D16313C"/>
    <w:rsid w:val="4D243AAB"/>
    <w:rsid w:val="4D2B4E39"/>
    <w:rsid w:val="4D2C0BB1"/>
    <w:rsid w:val="4D5D3BD3"/>
    <w:rsid w:val="4DC62DB4"/>
    <w:rsid w:val="4DE05162"/>
    <w:rsid w:val="4E41243B"/>
    <w:rsid w:val="4EB3158A"/>
    <w:rsid w:val="4EB7F892"/>
    <w:rsid w:val="4EE31744"/>
    <w:rsid w:val="4F440434"/>
    <w:rsid w:val="4FBA24A4"/>
    <w:rsid w:val="4FC11A85"/>
    <w:rsid w:val="4FE63299"/>
    <w:rsid w:val="50304C03"/>
    <w:rsid w:val="507408A5"/>
    <w:rsid w:val="5080549C"/>
    <w:rsid w:val="50E40BCE"/>
    <w:rsid w:val="51453FF0"/>
    <w:rsid w:val="517D19DC"/>
    <w:rsid w:val="51AC22C1"/>
    <w:rsid w:val="51DC2BA6"/>
    <w:rsid w:val="51F83758"/>
    <w:rsid w:val="520D0FB1"/>
    <w:rsid w:val="521C7446"/>
    <w:rsid w:val="52320A18"/>
    <w:rsid w:val="527C7EE5"/>
    <w:rsid w:val="529214B7"/>
    <w:rsid w:val="539574B0"/>
    <w:rsid w:val="539F20DD"/>
    <w:rsid w:val="539F3E8B"/>
    <w:rsid w:val="53A476F3"/>
    <w:rsid w:val="53D578AD"/>
    <w:rsid w:val="53F71F19"/>
    <w:rsid w:val="5458228C"/>
    <w:rsid w:val="54790B80"/>
    <w:rsid w:val="54F94081"/>
    <w:rsid w:val="552A0475"/>
    <w:rsid w:val="552C5BF2"/>
    <w:rsid w:val="55BE25C3"/>
    <w:rsid w:val="561548D9"/>
    <w:rsid w:val="56244B1C"/>
    <w:rsid w:val="56674A08"/>
    <w:rsid w:val="566D0271"/>
    <w:rsid w:val="569F23F4"/>
    <w:rsid w:val="56CA56C3"/>
    <w:rsid w:val="578D10CB"/>
    <w:rsid w:val="57B41ECF"/>
    <w:rsid w:val="57CC546B"/>
    <w:rsid w:val="57E26A3C"/>
    <w:rsid w:val="588C69A8"/>
    <w:rsid w:val="58CE6FC1"/>
    <w:rsid w:val="58D740C7"/>
    <w:rsid w:val="58ED5FEB"/>
    <w:rsid w:val="59202368"/>
    <w:rsid w:val="59723DF0"/>
    <w:rsid w:val="5A4F5EDF"/>
    <w:rsid w:val="5A5915AC"/>
    <w:rsid w:val="5ABBC979"/>
    <w:rsid w:val="5AC05F56"/>
    <w:rsid w:val="5B360EAD"/>
    <w:rsid w:val="5B6E1D39"/>
    <w:rsid w:val="5BB84934"/>
    <w:rsid w:val="5BFC7B3B"/>
    <w:rsid w:val="5C25339C"/>
    <w:rsid w:val="5C7244D9"/>
    <w:rsid w:val="5CCB7A9F"/>
    <w:rsid w:val="5D6A1E31"/>
    <w:rsid w:val="5D6B29D0"/>
    <w:rsid w:val="5DC310BE"/>
    <w:rsid w:val="5E77C7C6"/>
    <w:rsid w:val="5FA26043"/>
    <w:rsid w:val="5FFFAAE0"/>
    <w:rsid w:val="6021053E"/>
    <w:rsid w:val="615C33BC"/>
    <w:rsid w:val="61A77FF5"/>
    <w:rsid w:val="61C80A51"/>
    <w:rsid w:val="61D278D5"/>
    <w:rsid w:val="61FB0E26"/>
    <w:rsid w:val="621F43E9"/>
    <w:rsid w:val="62404A8B"/>
    <w:rsid w:val="62582A4B"/>
    <w:rsid w:val="626A1B08"/>
    <w:rsid w:val="630C2BBF"/>
    <w:rsid w:val="631D6B7A"/>
    <w:rsid w:val="638C7AC3"/>
    <w:rsid w:val="64504D2E"/>
    <w:rsid w:val="64AD2180"/>
    <w:rsid w:val="64EA6F30"/>
    <w:rsid w:val="65243757"/>
    <w:rsid w:val="65D976D1"/>
    <w:rsid w:val="65F20792"/>
    <w:rsid w:val="660E6C4E"/>
    <w:rsid w:val="66347B2F"/>
    <w:rsid w:val="666176C6"/>
    <w:rsid w:val="667FD72C"/>
    <w:rsid w:val="66C85C97"/>
    <w:rsid w:val="66E005EB"/>
    <w:rsid w:val="6773320D"/>
    <w:rsid w:val="677D5E3A"/>
    <w:rsid w:val="677E60F9"/>
    <w:rsid w:val="67AE06E9"/>
    <w:rsid w:val="67F73E3E"/>
    <w:rsid w:val="682E35D8"/>
    <w:rsid w:val="68466B73"/>
    <w:rsid w:val="6852376A"/>
    <w:rsid w:val="68AD274F"/>
    <w:rsid w:val="691E53FA"/>
    <w:rsid w:val="69733998"/>
    <w:rsid w:val="697D65C5"/>
    <w:rsid w:val="69AE677E"/>
    <w:rsid w:val="69E62F37"/>
    <w:rsid w:val="6A12486A"/>
    <w:rsid w:val="6A941A4E"/>
    <w:rsid w:val="6A9E4A45"/>
    <w:rsid w:val="6A9F1EAC"/>
    <w:rsid w:val="6AB029CA"/>
    <w:rsid w:val="6ABE64BE"/>
    <w:rsid w:val="6B4C44A1"/>
    <w:rsid w:val="6B5F16C5"/>
    <w:rsid w:val="6B656D11"/>
    <w:rsid w:val="6C3D028D"/>
    <w:rsid w:val="6C663340"/>
    <w:rsid w:val="6C9500C9"/>
    <w:rsid w:val="6C9E6F7E"/>
    <w:rsid w:val="6CA468E0"/>
    <w:rsid w:val="6CF3EA5A"/>
    <w:rsid w:val="6D8F68C7"/>
    <w:rsid w:val="6DCC18C9"/>
    <w:rsid w:val="6E245261"/>
    <w:rsid w:val="6E6506EE"/>
    <w:rsid w:val="6E6E0BD2"/>
    <w:rsid w:val="6EA463A2"/>
    <w:rsid w:val="6EF530A1"/>
    <w:rsid w:val="6F086931"/>
    <w:rsid w:val="6F0F5F11"/>
    <w:rsid w:val="6F1C5A61"/>
    <w:rsid w:val="6FAB550E"/>
    <w:rsid w:val="702E23C7"/>
    <w:rsid w:val="70B34FC2"/>
    <w:rsid w:val="712511C4"/>
    <w:rsid w:val="71436346"/>
    <w:rsid w:val="716A1F47"/>
    <w:rsid w:val="71797598"/>
    <w:rsid w:val="71E82A49"/>
    <w:rsid w:val="71E955B4"/>
    <w:rsid w:val="71EF3DD8"/>
    <w:rsid w:val="72563E57"/>
    <w:rsid w:val="72691DDC"/>
    <w:rsid w:val="728C1627"/>
    <w:rsid w:val="72C2329A"/>
    <w:rsid w:val="72DF3E4C"/>
    <w:rsid w:val="72FA2A34"/>
    <w:rsid w:val="73351CBE"/>
    <w:rsid w:val="73530456"/>
    <w:rsid w:val="735C724B"/>
    <w:rsid w:val="73774085"/>
    <w:rsid w:val="73920EBF"/>
    <w:rsid w:val="73A82490"/>
    <w:rsid w:val="73D414D7"/>
    <w:rsid w:val="74031DBD"/>
    <w:rsid w:val="74082F2F"/>
    <w:rsid w:val="743B1556"/>
    <w:rsid w:val="748A428C"/>
    <w:rsid w:val="74CE06B6"/>
    <w:rsid w:val="74E4574A"/>
    <w:rsid w:val="753C4E9B"/>
    <w:rsid w:val="756B6CAA"/>
    <w:rsid w:val="757A60AE"/>
    <w:rsid w:val="75F23E97"/>
    <w:rsid w:val="769036A0"/>
    <w:rsid w:val="769B7804"/>
    <w:rsid w:val="76B92C06"/>
    <w:rsid w:val="76C83941"/>
    <w:rsid w:val="76E23F0B"/>
    <w:rsid w:val="779FCBF0"/>
    <w:rsid w:val="77F7E21B"/>
    <w:rsid w:val="781113A7"/>
    <w:rsid w:val="782A5B6A"/>
    <w:rsid w:val="786C6182"/>
    <w:rsid w:val="789809C3"/>
    <w:rsid w:val="78A91473"/>
    <w:rsid w:val="791E6510"/>
    <w:rsid w:val="793772DB"/>
    <w:rsid w:val="793D367B"/>
    <w:rsid w:val="79703A50"/>
    <w:rsid w:val="79A656C4"/>
    <w:rsid w:val="79DF2984"/>
    <w:rsid w:val="79E2F975"/>
    <w:rsid w:val="79FE65CA"/>
    <w:rsid w:val="7A3A1A31"/>
    <w:rsid w:val="7B166879"/>
    <w:rsid w:val="7B3A4316"/>
    <w:rsid w:val="7B3BDBF2"/>
    <w:rsid w:val="7C5E2286"/>
    <w:rsid w:val="7C857813"/>
    <w:rsid w:val="7C8D4A41"/>
    <w:rsid w:val="7CBB3234"/>
    <w:rsid w:val="7CC77E2B"/>
    <w:rsid w:val="7CFB7AD5"/>
    <w:rsid w:val="7D1666BD"/>
    <w:rsid w:val="7D2C4132"/>
    <w:rsid w:val="7D480840"/>
    <w:rsid w:val="7D8C4BD1"/>
    <w:rsid w:val="7D9B3066"/>
    <w:rsid w:val="7E16235D"/>
    <w:rsid w:val="7EBC14E6"/>
    <w:rsid w:val="7EBDCBBF"/>
    <w:rsid w:val="7EC74CC1"/>
    <w:rsid w:val="7ECF746B"/>
    <w:rsid w:val="7ED700CE"/>
    <w:rsid w:val="7EE6408F"/>
    <w:rsid w:val="7F264BB1"/>
    <w:rsid w:val="7F3EB32E"/>
    <w:rsid w:val="7F5F3F3B"/>
    <w:rsid w:val="7F5FE5E8"/>
    <w:rsid w:val="7F7FC8C5"/>
    <w:rsid w:val="7FDD5BB8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1904</Words>
  <Characters>2122</Characters>
  <Lines>0</Lines>
  <Paragraphs>0</Paragraphs>
  <TotalTime>3</TotalTime>
  <ScaleCrop>false</ScaleCrop>
  <LinksUpToDate>false</LinksUpToDate>
  <CharactersWithSpaces>2140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笔记</cp:lastModifiedBy>
  <cp:lastPrinted>2025-04-10T10:25:00Z</cp:lastPrinted>
  <dcterms:modified xsi:type="dcterms:W3CDTF">2025-06-17T11:51:29Z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eyJoZGlkIjoiNzBhNzFmNjRiNmQyNzA3ODI2ZTY5ZGExZWQ2MmQzNDEiLCJ1c2VySWQiOiIzNDQwMDQzNTQifQ==</vt:lpwstr>
  </property>
</Properties>
</file>