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83A75">
      <w:pPr>
        <w:spacing w:line="600" w:lineRule="exact"/>
        <w:jc w:val="center"/>
        <w:rPr>
          <w:rFonts w:hint="eastAsia" w:ascii="宋体" w:hAnsi="宋体" w:eastAsia="宋体" w:cs="宋体"/>
          <w:sz w:val="44"/>
          <w:szCs w:val="44"/>
        </w:rPr>
      </w:pPr>
    </w:p>
    <w:p w14:paraId="6969F7E6">
      <w:pPr>
        <w:pStyle w:val="11"/>
        <w:rPr>
          <w:rFonts w:hint="eastAsia" w:ascii="宋体" w:hAnsi="宋体" w:eastAsia="宋体" w:cs="宋体"/>
          <w:sz w:val="44"/>
          <w:szCs w:val="44"/>
        </w:rPr>
      </w:pPr>
    </w:p>
    <w:p w14:paraId="5A407B14">
      <w:pPr>
        <w:spacing w:line="600" w:lineRule="exact"/>
        <w:jc w:val="center"/>
        <w:outlineLvl w:val="0"/>
        <w:rPr>
          <w:rFonts w:hint="eastAsia" w:ascii="宋体" w:hAnsi="宋体" w:eastAsia="宋体" w:cs="宋体"/>
          <w:sz w:val="44"/>
          <w:szCs w:val="44"/>
        </w:rPr>
      </w:pPr>
      <w:bookmarkStart w:id="0" w:name="_Toc2539"/>
      <w:r>
        <w:rPr>
          <w:rFonts w:hint="eastAsia" w:ascii="宋体" w:hAnsi="宋体" w:eastAsia="宋体" w:cs="宋体"/>
          <w:sz w:val="44"/>
          <w:szCs w:val="44"/>
        </w:rPr>
        <w:t>公开竞争性遴选政策性农业保险承保机构</w:t>
      </w:r>
      <w:bookmarkEnd w:id="0"/>
    </w:p>
    <w:p w14:paraId="1A557B37">
      <w:pPr>
        <w:pStyle w:val="9"/>
        <w:spacing w:line="600" w:lineRule="exact"/>
        <w:rPr>
          <w:rFonts w:hint="eastAsia" w:ascii="宋体" w:hAnsi="宋体" w:eastAsia="宋体" w:cs="宋体"/>
        </w:rPr>
      </w:pPr>
    </w:p>
    <w:p w14:paraId="0A5D1368">
      <w:pPr>
        <w:pStyle w:val="9"/>
        <w:spacing w:line="600" w:lineRule="exact"/>
        <w:rPr>
          <w:rFonts w:hint="eastAsia" w:ascii="宋体" w:hAnsi="宋体" w:eastAsia="宋体" w:cs="宋体"/>
        </w:rPr>
      </w:pPr>
    </w:p>
    <w:p w14:paraId="7EA58AC7">
      <w:pPr>
        <w:pStyle w:val="9"/>
        <w:spacing w:line="600" w:lineRule="exact"/>
        <w:rPr>
          <w:rFonts w:hint="eastAsia" w:ascii="宋体" w:hAnsi="宋体" w:eastAsia="宋体" w:cs="宋体"/>
        </w:rPr>
      </w:pPr>
    </w:p>
    <w:p w14:paraId="176BF0F6">
      <w:pPr>
        <w:spacing w:line="1600" w:lineRule="exact"/>
        <w:jc w:val="center"/>
        <w:rPr>
          <w:rFonts w:hint="eastAsia" w:ascii="宋体" w:hAnsi="宋体" w:eastAsia="宋体" w:cs="宋体"/>
          <w:sz w:val="110"/>
          <w:szCs w:val="110"/>
        </w:rPr>
      </w:pPr>
      <w:r>
        <w:rPr>
          <w:rFonts w:hint="eastAsia" w:ascii="宋体" w:hAnsi="宋体" w:eastAsia="宋体" w:cs="宋体"/>
          <w:sz w:val="110"/>
          <w:szCs w:val="110"/>
        </w:rPr>
        <w:t>遴 选 文 件</w:t>
      </w:r>
    </w:p>
    <w:p w14:paraId="039CF153">
      <w:pPr>
        <w:spacing w:line="600" w:lineRule="exact"/>
        <w:rPr>
          <w:rFonts w:hint="eastAsia" w:ascii="宋体" w:hAnsi="宋体" w:eastAsia="宋体" w:cs="宋体"/>
          <w:sz w:val="44"/>
          <w:szCs w:val="44"/>
        </w:rPr>
      </w:pPr>
    </w:p>
    <w:p w14:paraId="14CE41A9">
      <w:pPr>
        <w:pStyle w:val="11"/>
        <w:rPr>
          <w:rFonts w:hint="eastAsia" w:ascii="宋体" w:hAnsi="宋体" w:eastAsia="宋体" w:cs="宋体"/>
        </w:rPr>
      </w:pPr>
    </w:p>
    <w:p w14:paraId="075DB02D">
      <w:pPr>
        <w:pStyle w:val="11"/>
        <w:rPr>
          <w:rFonts w:hint="eastAsia" w:ascii="宋体" w:hAnsi="宋体" w:eastAsia="宋体" w:cs="宋体"/>
        </w:rPr>
      </w:pPr>
    </w:p>
    <w:p w14:paraId="0F6DBF91">
      <w:pPr>
        <w:spacing w:line="600" w:lineRule="exact"/>
        <w:rPr>
          <w:rFonts w:hint="eastAsia" w:ascii="宋体" w:hAnsi="宋体" w:eastAsia="宋体" w:cs="宋体"/>
          <w:sz w:val="44"/>
          <w:szCs w:val="44"/>
        </w:rPr>
      </w:pPr>
    </w:p>
    <w:p w14:paraId="0987BF97">
      <w:pPr>
        <w:spacing w:line="600" w:lineRule="exact"/>
        <w:ind w:left="2440" w:leftChars="400" w:hanging="1600" w:hangingChars="500"/>
        <w:rPr>
          <w:rFonts w:hint="eastAsia" w:ascii="宋体" w:hAnsi="宋体" w:eastAsia="宋体" w:cs="宋体"/>
          <w:color w:val="auto"/>
          <w:sz w:val="32"/>
          <w:szCs w:val="32"/>
          <w:highlight w:val="none"/>
          <w:lang w:val="en-US" w:eastAsia="zh-CN"/>
        </w:rPr>
      </w:pPr>
      <w:r>
        <w:rPr>
          <w:rFonts w:hint="eastAsia" w:ascii="宋体" w:hAnsi="宋体" w:eastAsia="宋体" w:cs="宋体"/>
          <w:sz w:val="32"/>
          <w:szCs w:val="32"/>
        </w:rPr>
        <w:t>项目名称：</w:t>
      </w:r>
      <w:r>
        <w:rPr>
          <w:rFonts w:hint="eastAsia" w:ascii="宋体" w:hAnsi="宋体" w:eastAsia="宋体" w:cs="宋体"/>
          <w:color w:val="auto"/>
          <w:sz w:val="32"/>
          <w:szCs w:val="32"/>
          <w:highlight w:val="none"/>
          <w:lang w:val="en-US" w:eastAsia="zh-CN"/>
        </w:rPr>
        <w:t>怀化市</w:t>
      </w:r>
      <w:r>
        <w:rPr>
          <w:rFonts w:hint="eastAsia" w:ascii="宋体" w:hAnsi="宋体" w:cs="宋体"/>
          <w:color w:val="auto"/>
          <w:sz w:val="32"/>
          <w:szCs w:val="32"/>
          <w:highlight w:val="none"/>
          <w:lang w:val="en-US" w:eastAsia="zh-CN"/>
        </w:rPr>
        <w:t>洪江市</w:t>
      </w:r>
      <w:r>
        <w:rPr>
          <w:rFonts w:hint="eastAsia" w:ascii="宋体" w:hAnsi="宋体" w:eastAsia="宋体" w:cs="宋体"/>
          <w:color w:val="auto"/>
          <w:sz w:val="32"/>
          <w:szCs w:val="32"/>
          <w:highlight w:val="none"/>
          <w:lang w:val="en-US" w:eastAsia="zh-CN"/>
        </w:rPr>
        <w:t>2026—2028年政策性农业保险承保机构项目</w:t>
      </w:r>
    </w:p>
    <w:p w14:paraId="159828A1">
      <w:pPr>
        <w:spacing w:line="600" w:lineRule="exact"/>
        <w:ind w:left="2440" w:leftChars="400" w:hanging="1600" w:hangingChars="500"/>
        <w:rPr>
          <w:rFonts w:hint="eastAsia" w:ascii="宋体" w:hAnsi="宋体" w:eastAsia="宋体" w:cs="宋体"/>
          <w:color w:val="auto"/>
          <w:sz w:val="32"/>
          <w:szCs w:val="32"/>
          <w:highlight w:val="none"/>
        </w:rPr>
      </w:pPr>
    </w:p>
    <w:p w14:paraId="4276810F">
      <w:pPr>
        <w:spacing w:line="600" w:lineRule="exact"/>
        <w:ind w:left="840" w:leftChars="4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遴 选 人：</w:t>
      </w:r>
      <w:r>
        <w:rPr>
          <w:rFonts w:hint="eastAsia" w:ascii="宋体" w:hAnsi="宋体" w:eastAsia="宋体" w:cs="宋体"/>
          <w:color w:val="auto"/>
          <w:sz w:val="32"/>
          <w:szCs w:val="32"/>
          <w:highlight w:val="none"/>
          <w:lang w:val="en-US" w:eastAsia="zh-CN"/>
        </w:rPr>
        <w:t>怀化市</w:t>
      </w:r>
      <w:r>
        <w:rPr>
          <w:rFonts w:hint="eastAsia" w:ascii="宋体" w:hAnsi="宋体" w:eastAsia="宋体" w:cs="宋体"/>
          <w:color w:val="auto"/>
          <w:sz w:val="32"/>
          <w:szCs w:val="32"/>
          <w:highlight w:val="none"/>
        </w:rPr>
        <w:t>财政局</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lang w:val="en-US" w:eastAsia="zh-CN"/>
        </w:rPr>
        <w:t>怀化市农业农村局</w:t>
      </w:r>
    </w:p>
    <w:p w14:paraId="4A940616">
      <w:pPr>
        <w:spacing w:line="600" w:lineRule="exact"/>
        <w:rPr>
          <w:rFonts w:hint="eastAsia" w:ascii="宋体" w:hAnsi="宋体" w:eastAsia="宋体" w:cs="宋体"/>
          <w:sz w:val="32"/>
          <w:szCs w:val="32"/>
        </w:rPr>
      </w:pPr>
    </w:p>
    <w:p w14:paraId="7927F25D">
      <w:pPr>
        <w:spacing w:line="600" w:lineRule="exact"/>
        <w:rPr>
          <w:rFonts w:hint="eastAsia" w:ascii="宋体" w:hAnsi="宋体" w:eastAsia="宋体" w:cs="宋体"/>
          <w:sz w:val="32"/>
          <w:szCs w:val="32"/>
        </w:rPr>
      </w:pPr>
    </w:p>
    <w:p w14:paraId="4F585DD0">
      <w:pPr>
        <w:pStyle w:val="11"/>
        <w:rPr>
          <w:rFonts w:hint="eastAsia" w:ascii="宋体" w:hAnsi="宋体" w:eastAsia="宋体" w:cs="宋体"/>
          <w:sz w:val="32"/>
          <w:szCs w:val="32"/>
        </w:rPr>
      </w:pPr>
    </w:p>
    <w:p w14:paraId="24972326">
      <w:pPr>
        <w:pStyle w:val="11"/>
        <w:rPr>
          <w:rFonts w:hint="eastAsia" w:ascii="宋体" w:hAnsi="宋体" w:eastAsia="宋体" w:cs="宋体"/>
          <w:sz w:val="32"/>
          <w:szCs w:val="32"/>
        </w:rPr>
      </w:pPr>
    </w:p>
    <w:p w14:paraId="3CEF946F">
      <w:pPr>
        <w:spacing w:line="600" w:lineRule="exact"/>
        <w:jc w:val="center"/>
        <w:rPr>
          <w:rFonts w:hint="eastAsia" w:ascii="宋体" w:hAnsi="宋体" w:eastAsia="宋体" w:cs="宋体"/>
          <w:sz w:val="32"/>
          <w:szCs w:val="32"/>
        </w:rPr>
      </w:pPr>
      <w:r>
        <w:rPr>
          <w:rFonts w:hint="eastAsia" w:ascii="宋体" w:hAnsi="宋体" w:eastAsia="宋体" w:cs="宋体"/>
          <w:sz w:val="32"/>
          <w:szCs w:val="32"/>
        </w:rPr>
        <w:t>二0二</w:t>
      </w:r>
      <w:r>
        <w:rPr>
          <w:rFonts w:hint="eastAsia" w:ascii="宋体" w:hAnsi="宋体" w:eastAsia="宋体" w:cs="宋体"/>
          <w:sz w:val="32"/>
          <w:szCs w:val="32"/>
          <w:lang w:eastAsia="zh-CN"/>
        </w:rPr>
        <w:t>六</w:t>
      </w:r>
      <w:r>
        <w:rPr>
          <w:rFonts w:hint="eastAsia" w:ascii="宋体" w:hAnsi="宋体" w:eastAsia="宋体" w:cs="宋体"/>
          <w:sz w:val="32"/>
          <w:szCs w:val="32"/>
        </w:rPr>
        <w:t>年</w:t>
      </w:r>
      <w:r>
        <w:rPr>
          <w:rFonts w:hint="eastAsia" w:ascii="宋体" w:hAnsi="宋体" w:eastAsia="宋体" w:cs="宋体"/>
          <w:sz w:val="32"/>
          <w:szCs w:val="32"/>
          <w:lang w:val="en-US" w:eastAsia="zh-CN"/>
        </w:rPr>
        <w:t>一</w:t>
      </w:r>
      <w:r>
        <w:rPr>
          <w:rFonts w:hint="eastAsia" w:ascii="宋体" w:hAnsi="宋体" w:eastAsia="宋体" w:cs="宋体"/>
          <w:sz w:val="32"/>
          <w:szCs w:val="32"/>
        </w:rPr>
        <w:t>月</w:t>
      </w:r>
    </w:p>
    <w:p w14:paraId="465AF992">
      <w:pPr>
        <w:jc w:val="center"/>
        <w:rPr>
          <w:rFonts w:hint="eastAsia" w:ascii="宋体" w:hAnsi="宋体" w:eastAsia="宋体" w:cs="宋体"/>
          <w:sz w:val="44"/>
          <w:szCs w:val="44"/>
        </w:rPr>
      </w:pPr>
      <w:r>
        <w:rPr>
          <w:rFonts w:hint="eastAsia" w:ascii="宋体" w:hAnsi="宋体" w:eastAsia="宋体" w:cs="宋体"/>
          <w:sz w:val="44"/>
          <w:szCs w:val="44"/>
        </w:rPr>
        <w:br w:type="page"/>
      </w:r>
    </w:p>
    <w:p w14:paraId="0B5EBA1C">
      <w:pPr>
        <w:spacing w:line="600" w:lineRule="exact"/>
        <w:jc w:val="center"/>
        <w:rPr>
          <w:rFonts w:hint="eastAsia" w:ascii="宋体" w:hAnsi="宋体" w:eastAsia="宋体" w:cs="宋体"/>
          <w:sz w:val="44"/>
          <w:szCs w:val="44"/>
        </w:rPr>
      </w:pPr>
    </w:p>
    <w:p w14:paraId="2D4F7A12">
      <w:pPr>
        <w:pStyle w:val="9"/>
        <w:spacing w:line="600" w:lineRule="exact"/>
        <w:jc w:val="center"/>
        <w:rPr>
          <w:rFonts w:hint="eastAsia" w:ascii="宋体" w:hAnsi="宋体" w:eastAsia="宋体" w:cs="宋体"/>
          <w:b/>
          <w:bCs/>
          <w:sz w:val="44"/>
          <w:szCs w:val="44"/>
        </w:rPr>
      </w:pPr>
    </w:p>
    <w:p w14:paraId="01B9F63D">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ab/>
      </w:r>
    </w:p>
    <w:sdt>
      <w:sdtPr>
        <w:rPr>
          <w:rFonts w:hint="eastAsia" w:ascii="宋体" w:hAnsi="宋体" w:eastAsia="宋体" w:cs="宋体"/>
          <w:b/>
          <w:bCs/>
          <w:kern w:val="2"/>
          <w:sz w:val="44"/>
          <w:szCs w:val="44"/>
          <w:lang w:val="en-US" w:eastAsia="zh-CN" w:bidi="ar-SA"/>
        </w:rPr>
        <w:id w:val="147478455"/>
        <w15:color w:val="DBDBDB"/>
        <w:docPartObj>
          <w:docPartGallery w:val="Table of Contents"/>
          <w:docPartUnique/>
        </w:docPartObj>
      </w:sdtPr>
      <w:sdtEndPr>
        <w:rPr>
          <w:rFonts w:hint="eastAsia" w:ascii="宋体" w:hAnsi="宋体" w:eastAsia="宋体" w:cs="宋体"/>
          <w:b/>
          <w:bCs/>
          <w:kern w:val="2"/>
          <w:sz w:val="21"/>
          <w:szCs w:val="44"/>
          <w:lang w:val="en-US" w:eastAsia="zh-CN" w:bidi="ar-SA"/>
        </w:rPr>
      </w:sdtEndPr>
      <w:sdtContent>
        <w:p w14:paraId="2FC04631">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p>
        <w:p w14:paraId="7F4C49D6">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p>
        <w:p w14:paraId="2A09228F">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sz w:val="44"/>
              <w:szCs w:val="44"/>
              <w:lang w:eastAsia="zh-CN"/>
            </w:rPr>
          </w:pPr>
          <w:r>
            <w:rPr>
              <w:rFonts w:hint="eastAsia" w:ascii="宋体" w:hAnsi="宋体" w:eastAsia="宋体" w:cs="宋体"/>
              <w:b/>
              <w:bCs/>
              <w:sz w:val="44"/>
              <w:szCs w:val="44"/>
            </w:rPr>
            <w:t>目</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录</w:t>
          </w:r>
        </w:p>
        <w:p w14:paraId="27EFCF86">
          <w:pPr>
            <w:pStyle w:val="26"/>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TOC \o "1-3" \h \u </w:instrText>
          </w:r>
          <w:r>
            <w:rPr>
              <w:rFonts w:hint="eastAsia" w:ascii="宋体" w:hAnsi="宋体" w:eastAsia="宋体" w:cs="宋体"/>
              <w:b/>
              <w:bCs/>
              <w:sz w:val="28"/>
              <w:szCs w:val="28"/>
            </w:rPr>
            <w:fldChar w:fldCharType="separate"/>
          </w:r>
        </w:p>
        <w:p w14:paraId="55525F46">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_Toc23780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第一章　遴选邀请</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_Toc23780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7F4E0082">
          <w:pPr>
            <w:pStyle w:val="27"/>
            <w:tabs>
              <w:tab w:val="right" w:leader="dot" w:pos="8732"/>
            </w:tabs>
            <w:spacing w:line="480" w:lineRule="auto"/>
            <w:rPr>
              <w:rFonts w:hint="eastAsia" w:ascii="宋体" w:hAnsi="宋体" w:eastAsia="宋体" w:cs="宋体"/>
              <w:b/>
              <w:bCs/>
              <w:sz w:val="28"/>
              <w:szCs w:val="28"/>
            </w:rPr>
          </w:pPr>
        </w:p>
        <w:p w14:paraId="485739AF">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_Toc26056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第二章　遴选须知</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_Toc26056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5</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70EE47C8">
          <w:pPr>
            <w:pStyle w:val="27"/>
            <w:tabs>
              <w:tab w:val="right" w:leader="dot" w:pos="8732"/>
            </w:tabs>
            <w:spacing w:line="480" w:lineRule="auto"/>
            <w:rPr>
              <w:rFonts w:hint="eastAsia" w:ascii="宋体" w:hAnsi="宋体" w:eastAsia="宋体" w:cs="宋体"/>
              <w:b/>
              <w:bCs/>
              <w:sz w:val="28"/>
              <w:szCs w:val="28"/>
            </w:rPr>
          </w:pPr>
        </w:p>
        <w:p w14:paraId="14B6AA82">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_Toc31532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第三章　合同格式</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_Toc31532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23</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4B8F95D2">
          <w:pPr>
            <w:pStyle w:val="27"/>
            <w:tabs>
              <w:tab w:val="right" w:leader="dot" w:pos="8732"/>
            </w:tabs>
            <w:spacing w:line="480" w:lineRule="auto"/>
            <w:rPr>
              <w:rFonts w:hint="eastAsia" w:ascii="宋体" w:hAnsi="宋体" w:eastAsia="宋体" w:cs="宋体"/>
              <w:b/>
              <w:bCs/>
              <w:sz w:val="28"/>
              <w:szCs w:val="28"/>
            </w:rPr>
          </w:pPr>
        </w:p>
        <w:p w14:paraId="3109B846">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_Toc10861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第四章　遴选响应文件组成</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_Toc10861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24</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6F9B3C59">
          <w:pPr>
            <w:spacing w:before="156" w:beforeLines="50" w:after="156" w:afterLines="50" w:line="480" w:lineRule="auto"/>
            <w:rPr>
              <w:rFonts w:hint="eastAsia" w:ascii="宋体" w:hAnsi="宋体" w:eastAsia="宋体" w:cs="宋体"/>
              <w:sz w:val="44"/>
              <w:szCs w:val="44"/>
            </w:rPr>
          </w:pPr>
          <w:r>
            <w:rPr>
              <w:rFonts w:hint="eastAsia" w:ascii="宋体" w:hAnsi="宋体" w:eastAsia="宋体" w:cs="宋体"/>
              <w:b/>
              <w:bCs/>
              <w:sz w:val="28"/>
              <w:szCs w:val="28"/>
            </w:rPr>
            <w:fldChar w:fldCharType="end"/>
          </w:r>
        </w:p>
      </w:sdtContent>
    </w:sdt>
    <w:p w14:paraId="7476E753">
      <w:pPr>
        <w:spacing w:before="156" w:beforeLines="50" w:after="156" w:afterLines="50"/>
        <w:rPr>
          <w:rFonts w:hint="eastAsia" w:ascii="宋体" w:hAnsi="宋体" w:eastAsia="宋体" w:cs="宋体"/>
          <w:sz w:val="44"/>
          <w:szCs w:val="44"/>
        </w:rPr>
      </w:pPr>
    </w:p>
    <w:p w14:paraId="5929B93F">
      <w:pPr>
        <w:spacing w:before="156" w:beforeLines="50" w:after="156" w:afterLines="50"/>
        <w:rPr>
          <w:rFonts w:hint="eastAsia" w:ascii="宋体" w:hAnsi="宋体" w:eastAsia="宋体" w:cs="宋体"/>
          <w:sz w:val="44"/>
          <w:szCs w:val="44"/>
        </w:rPr>
      </w:pPr>
    </w:p>
    <w:p w14:paraId="1A53FF52">
      <w:pPr>
        <w:spacing w:before="156" w:beforeLines="50" w:after="156" w:afterLines="50"/>
        <w:rPr>
          <w:rFonts w:hint="eastAsia" w:ascii="宋体" w:hAnsi="宋体" w:eastAsia="宋体" w:cs="宋体"/>
          <w:sz w:val="44"/>
          <w:szCs w:val="44"/>
        </w:rPr>
      </w:pPr>
    </w:p>
    <w:p w14:paraId="3BBCE34D">
      <w:pPr>
        <w:spacing w:before="156" w:beforeLines="50" w:after="156" w:afterLines="50"/>
        <w:rPr>
          <w:rFonts w:hint="eastAsia" w:ascii="宋体" w:hAnsi="宋体" w:eastAsia="宋体" w:cs="宋体"/>
          <w:sz w:val="44"/>
          <w:szCs w:val="44"/>
        </w:rPr>
      </w:pPr>
    </w:p>
    <w:p w14:paraId="6B8EC43F">
      <w:pPr>
        <w:spacing w:before="156" w:beforeLines="50" w:after="156" w:afterLines="50"/>
        <w:rPr>
          <w:rFonts w:hint="eastAsia" w:ascii="宋体" w:hAnsi="宋体" w:eastAsia="宋体" w:cs="宋体"/>
          <w:sz w:val="44"/>
          <w:szCs w:val="44"/>
        </w:rPr>
      </w:pPr>
    </w:p>
    <w:p w14:paraId="78256738">
      <w:pPr>
        <w:pStyle w:val="2"/>
        <w:bidi w:val="0"/>
        <w:jc w:val="center"/>
        <w:rPr>
          <w:rFonts w:hint="eastAsia" w:ascii="宋体" w:hAnsi="宋体" w:eastAsia="宋体" w:cs="宋体"/>
        </w:rPr>
      </w:pPr>
      <w:bookmarkStart w:id="1" w:name="_Toc23780"/>
      <w:bookmarkStart w:id="2" w:name="遴选邀请"/>
      <w:bookmarkStart w:id="3" w:name="_遴选邀请"/>
      <w:r>
        <w:rPr>
          <w:rFonts w:hint="eastAsia" w:ascii="宋体" w:hAnsi="宋体" w:eastAsia="宋体" w:cs="宋体"/>
        </w:rPr>
        <w:t>第一章　遴选邀请</w:t>
      </w:r>
      <w:bookmarkEnd w:id="1"/>
      <w:bookmarkEnd w:id="2"/>
    </w:p>
    <w:bookmarkEnd w:id="3"/>
    <w:p w14:paraId="32D51057">
      <w:pPr>
        <w:bidi w:val="0"/>
        <w:ind w:firstLine="560" w:firstLineChars="200"/>
        <w:rPr>
          <w:rFonts w:hint="eastAsia" w:ascii="宋体" w:hAnsi="宋体" w:eastAsia="宋体" w:cs="宋体"/>
          <w:sz w:val="28"/>
          <w:szCs w:val="28"/>
          <w:lang w:eastAsia="zh-CN"/>
        </w:rPr>
      </w:pPr>
      <w:bookmarkStart w:id="4" w:name="_Toc14271"/>
      <w:r>
        <w:rPr>
          <w:rFonts w:hint="eastAsia" w:ascii="宋体" w:hAnsi="宋体" w:eastAsia="宋体" w:cs="宋体"/>
          <w:sz w:val="28"/>
          <w:szCs w:val="28"/>
          <w:u w:val="single"/>
          <w:lang w:eastAsia="zh-CN"/>
        </w:rPr>
        <w:t>湖南德信项目管理有限公司</w:t>
      </w:r>
      <w:r>
        <w:rPr>
          <w:rFonts w:hint="eastAsia" w:ascii="宋体" w:hAnsi="宋体" w:eastAsia="宋体" w:cs="宋体"/>
          <w:sz w:val="28"/>
          <w:szCs w:val="28"/>
          <w:lang w:eastAsia="zh-CN"/>
        </w:rPr>
        <w:t>受</w:t>
      </w:r>
      <w:r>
        <w:rPr>
          <w:rFonts w:hint="eastAsia" w:ascii="宋体" w:hAnsi="宋体" w:eastAsia="宋体" w:cs="宋体"/>
          <w:i w:val="0"/>
          <w:iCs w:val="0"/>
          <w:sz w:val="28"/>
          <w:szCs w:val="28"/>
          <w:u w:val="single"/>
          <w:lang w:val="en-US" w:eastAsia="zh-CN"/>
        </w:rPr>
        <w:t>怀化市财政局和</w:t>
      </w:r>
      <w:r>
        <w:rPr>
          <w:rFonts w:hint="eastAsia" w:ascii="宋体" w:hAnsi="宋体" w:eastAsia="宋体" w:cs="宋体"/>
          <w:sz w:val="28"/>
          <w:szCs w:val="28"/>
          <w:u w:val="single"/>
          <w:shd w:val="clear" w:color="auto" w:fill="FFFFFF"/>
          <w:lang w:val="en-US" w:eastAsia="zh-CN"/>
        </w:rPr>
        <w:t>怀化市农业农村局</w:t>
      </w:r>
      <w:r>
        <w:rPr>
          <w:rFonts w:hint="eastAsia" w:ascii="宋体" w:hAnsi="宋体" w:eastAsia="宋体" w:cs="宋体"/>
          <w:sz w:val="28"/>
          <w:szCs w:val="28"/>
          <w:lang w:eastAsia="zh-CN"/>
        </w:rPr>
        <w:t>的委托，根据湘财金〔202</w:t>
      </w:r>
      <w:r>
        <w:rPr>
          <w:rFonts w:hint="eastAsia" w:ascii="宋体" w:hAnsi="宋体" w:eastAsia="宋体" w:cs="宋体"/>
          <w:sz w:val="28"/>
          <w:szCs w:val="28"/>
          <w:lang w:val="en-US" w:eastAsia="zh-CN"/>
        </w:rPr>
        <w:t>6</w:t>
      </w:r>
      <w:r>
        <w:rPr>
          <w:rFonts w:hint="eastAsia" w:ascii="宋体" w:hAnsi="宋体" w:eastAsia="宋体" w:cs="宋体"/>
          <w:sz w:val="28"/>
          <w:szCs w:val="28"/>
          <w:lang w:eastAsia="zh-CN"/>
        </w:rPr>
        <w:t>〕4号文件的通知要求，对</w:t>
      </w:r>
      <w:r>
        <w:rPr>
          <w:rFonts w:hint="eastAsia" w:ascii="宋体" w:hAnsi="宋体" w:eastAsia="宋体" w:cs="宋体"/>
          <w:sz w:val="28"/>
          <w:szCs w:val="28"/>
          <w:u w:val="single"/>
          <w:lang w:eastAsia="zh-CN"/>
        </w:rPr>
        <w:t> 怀化市</w:t>
      </w:r>
      <w:r>
        <w:rPr>
          <w:rFonts w:hint="eastAsia" w:ascii="宋体" w:hAnsi="宋体" w:cs="宋体"/>
          <w:sz w:val="28"/>
          <w:szCs w:val="28"/>
          <w:u w:val="single"/>
          <w:lang w:eastAsia="zh-CN"/>
        </w:rPr>
        <w:t>洪江市</w:t>
      </w:r>
      <w:r>
        <w:rPr>
          <w:rFonts w:hint="eastAsia" w:ascii="宋体" w:hAnsi="宋体" w:eastAsia="宋体" w:cs="宋体"/>
          <w:sz w:val="28"/>
          <w:szCs w:val="28"/>
          <w:u w:val="single"/>
          <w:lang w:eastAsia="zh-CN"/>
        </w:rPr>
        <w:t>2026—2028年政策性农业保险承保机构项目 </w:t>
      </w:r>
      <w:r>
        <w:rPr>
          <w:rFonts w:hint="eastAsia" w:ascii="宋体" w:hAnsi="宋体" w:eastAsia="宋体" w:cs="宋体"/>
          <w:sz w:val="28"/>
          <w:szCs w:val="28"/>
          <w:lang w:eastAsia="zh-CN"/>
        </w:rPr>
        <w:t>进行公开竞争性遴选，现采用发布公告方式（在财政部门指定的媒体：</w:t>
      </w:r>
      <w:r>
        <w:rPr>
          <w:rFonts w:hint="eastAsia" w:ascii="宋体" w:hAnsi="宋体" w:eastAsia="宋体" w:cs="宋体"/>
          <w:sz w:val="28"/>
          <w:szCs w:val="28"/>
          <w:lang w:val="en-US" w:eastAsia="zh-CN"/>
        </w:rPr>
        <w:t>怀化市财政局官网</w:t>
      </w:r>
      <w:r>
        <w:rPr>
          <w:rFonts w:hint="eastAsia" w:ascii="宋体" w:hAnsi="宋体" w:eastAsia="宋体" w:cs="宋体"/>
          <w:sz w:val="28"/>
          <w:szCs w:val="28"/>
          <w:lang w:eastAsia="zh-CN"/>
        </w:rPr>
        <w:t>，网址：</w:t>
      </w:r>
      <w:r>
        <w:rPr>
          <w:rFonts w:hint="eastAsia" w:ascii="宋体" w:hAnsi="宋体" w:eastAsia="宋体" w:cs="宋体"/>
          <w:i w:val="0"/>
          <w:iCs w:val="0"/>
          <w:color w:val="auto"/>
          <w:sz w:val="28"/>
          <w:szCs w:val="28"/>
          <w:u w:val="none"/>
          <w:lang w:eastAsia="zh-CN"/>
        </w:rPr>
        <w:fldChar w:fldCharType="begin"/>
      </w:r>
      <w:r>
        <w:rPr>
          <w:rFonts w:hint="eastAsia" w:ascii="宋体" w:hAnsi="宋体" w:eastAsia="宋体" w:cs="宋体"/>
          <w:i w:val="0"/>
          <w:iCs w:val="0"/>
          <w:color w:val="auto"/>
          <w:sz w:val="28"/>
          <w:szCs w:val="28"/>
          <w:u w:val="none"/>
          <w:lang w:eastAsia="zh-CN"/>
        </w:rPr>
        <w:instrText xml:space="preserve"> HYPERLINK "https://www.huaihua.gov.cn/czj/），邀请符合资格条件的申请人参与公开竞争性遴选。" </w:instrText>
      </w:r>
      <w:r>
        <w:rPr>
          <w:rFonts w:hint="eastAsia" w:ascii="宋体" w:hAnsi="宋体" w:eastAsia="宋体" w:cs="宋体"/>
          <w:i w:val="0"/>
          <w:iCs w:val="0"/>
          <w:color w:val="auto"/>
          <w:sz w:val="28"/>
          <w:szCs w:val="28"/>
          <w:u w:val="none"/>
          <w:lang w:eastAsia="zh-CN"/>
        </w:rPr>
        <w:fldChar w:fldCharType="separate"/>
      </w:r>
      <w:r>
        <w:rPr>
          <w:rStyle w:val="16"/>
          <w:rFonts w:hint="eastAsia" w:ascii="宋体" w:hAnsi="宋体" w:eastAsia="宋体" w:cs="宋体"/>
          <w:i w:val="0"/>
          <w:iCs w:val="0"/>
          <w:color w:val="auto"/>
          <w:sz w:val="28"/>
          <w:szCs w:val="28"/>
          <w:u w:val="none"/>
          <w:lang w:eastAsia="zh-CN"/>
        </w:rPr>
        <w:t>https://www.huaihua.gov.cn/czj/），邀请符合资格条件的申请人参与公开竞争性遴选。</w:t>
      </w:r>
      <w:r>
        <w:rPr>
          <w:rFonts w:hint="eastAsia" w:ascii="宋体" w:hAnsi="宋体" w:eastAsia="宋体" w:cs="宋体"/>
          <w:i w:val="0"/>
          <w:iCs w:val="0"/>
          <w:color w:val="auto"/>
          <w:sz w:val="28"/>
          <w:szCs w:val="28"/>
          <w:u w:val="none"/>
          <w:lang w:eastAsia="zh-CN"/>
        </w:rPr>
        <w:fldChar w:fldCharType="end"/>
      </w:r>
    </w:p>
    <w:p w14:paraId="6C949CE4">
      <w:pPr>
        <w:pStyle w:val="10"/>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r>
        <w:rPr>
          <w:rFonts w:hint="eastAsia" w:ascii="宋体" w:hAnsi="宋体" w:eastAsia="宋体" w:cs="宋体"/>
          <w:b w:val="0"/>
          <w:bCs w:val="0"/>
          <w:color w:val="auto"/>
          <w:sz w:val="28"/>
          <w:szCs w:val="28"/>
          <w:shd w:val="clear" w:color="auto" w:fill="FFFFFF"/>
        </w:rPr>
        <w:t>一、遴选项目基本概况</w:t>
      </w:r>
      <w:bookmarkEnd w:id="4"/>
    </w:p>
    <w:p w14:paraId="4319810A">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1、遴选项目名称：</w:t>
      </w:r>
      <w:r>
        <w:rPr>
          <w:rFonts w:hint="eastAsia" w:ascii="宋体" w:hAnsi="宋体" w:eastAsia="宋体" w:cs="宋体"/>
          <w:b w:val="0"/>
          <w:bCs w:val="0"/>
          <w:color w:val="auto"/>
          <w:sz w:val="28"/>
          <w:szCs w:val="28"/>
          <w:u w:val="single"/>
          <w:shd w:val="clear" w:color="auto" w:fill="FFFFFF"/>
          <w:lang w:val="en-US" w:eastAsia="zh-CN"/>
        </w:rPr>
        <w:t>怀化市</w:t>
      </w:r>
      <w:r>
        <w:rPr>
          <w:rFonts w:hint="eastAsia" w:cs="宋体"/>
          <w:b w:val="0"/>
          <w:bCs w:val="0"/>
          <w:color w:val="auto"/>
          <w:sz w:val="28"/>
          <w:szCs w:val="28"/>
          <w:u w:val="single"/>
          <w:shd w:val="clear" w:color="auto" w:fill="FFFFFF"/>
          <w:lang w:val="en-US" w:eastAsia="zh-CN"/>
        </w:rPr>
        <w:t>洪江市</w:t>
      </w:r>
      <w:r>
        <w:rPr>
          <w:rFonts w:hint="eastAsia" w:ascii="宋体" w:hAnsi="宋体" w:eastAsia="宋体" w:cs="宋体"/>
          <w:b w:val="0"/>
          <w:bCs w:val="0"/>
          <w:color w:val="auto"/>
          <w:sz w:val="28"/>
          <w:szCs w:val="28"/>
          <w:u w:val="single"/>
          <w:shd w:val="clear" w:color="auto" w:fill="FFFFFF"/>
          <w:lang w:val="en-US" w:eastAsia="zh-CN"/>
        </w:rPr>
        <w:t>2026—2028年政策性农业保险承保机构项目</w:t>
      </w:r>
    </w:p>
    <w:p w14:paraId="412FB4D7">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2、遴选方式：</w:t>
      </w:r>
      <w:r>
        <w:rPr>
          <w:rFonts w:hint="eastAsia" w:ascii="宋体" w:hAnsi="宋体" w:eastAsia="宋体" w:cs="宋体"/>
          <w:b w:val="0"/>
          <w:bCs w:val="0"/>
          <w:color w:val="auto"/>
          <w:sz w:val="28"/>
          <w:szCs w:val="28"/>
          <w:u w:val="single"/>
          <w:shd w:val="clear" w:color="auto" w:fill="FFFFFF"/>
          <w:lang w:val="en-US" w:eastAsia="zh-CN"/>
        </w:rPr>
        <w:t>公开竞争性遴选</w:t>
      </w:r>
    </w:p>
    <w:p w14:paraId="2BB41A7C">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3、中选方式：</w:t>
      </w:r>
      <w:r>
        <w:rPr>
          <w:rFonts w:hint="eastAsia" w:ascii="宋体" w:hAnsi="宋体" w:eastAsia="宋体" w:cs="宋体"/>
          <w:b w:val="0"/>
          <w:bCs w:val="0"/>
          <w:color w:val="auto"/>
          <w:sz w:val="28"/>
          <w:szCs w:val="28"/>
          <w:u w:val="single"/>
          <w:shd w:val="clear" w:color="auto" w:fill="FFFFFF"/>
          <w:lang w:val="en-US" w:eastAsia="zh-CN"/>
        </w:rPr>
        <w:t>综合评分法</w:t>
      </w:r>
    </w:p>
    <w:p w14:paraId="5188AC74">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u w:val="single"/>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 xml:space="preserve">4、遴选项目预算: </w:t>
      </w:r>
      <w:r>
        <w:rPr>
          <w:rFonts w:hint="eastAsia" w:ascii="宋体" w:hAnsi="宋体" w:eastAsia="宋体" w:cs="宋体"/>
          <w:b w:val="0"/>
          <w:bCs w:val="0"/>
          <w:color w:val="auto"/>
          <w:sz w:val="28"/>
          <w:szCs w:val="28"/>
          <w:u w:val="single"/>
          <w:shd w:val="clear" w:color="auto" w:fill="FFFFFF"/>
          <w:lang w:val="en-US" w:eastAsia="zh-CN"/>
        </w:rPr>
        <w:t> </w:t>
      </w:r>
      <w:r>
        <w:rPr>
          <w:rFonts w:hint="eastAsia" w:cs="宋体"/>
          <w:b w:val="0"/>
          <w:bCs w:val="0"/>
          <w:color w:val="auto"/>
          <w:sz w:val="28"/>
          <w:szCs w:val="28"/>
          <w:u w:val="single"/>
          <w:shd w:val="clear" w:color="auto" w:fill="FFFFFF"/>
          <w:lang w:val="en-US" w:eastAsia="zh-CN"/>
        </w:rPr>
        <w:t>16420000.00</w:t>
      </w:r>
      <w:r>
        <w:rPr>
          <w:rFonts w:hint="eastAsia" w:ascii="宋体" w:hAnsi="宋体" w:eastAsia="宋体" w:cs="宋体"/>
          <w:b w:val="0"/>
          <w:bCs w:val="0"/>
          <w:color w:val="auto"/>
          <w:sz w:val="28"/>
          <w:szCs w:val="28"/>
          <w:u w:val="single"/>
          <w:shd w:val="clear" w:color="auto" w:fill="FFFFFF"/>
          <w:lang w:val="en-US" w:eastAsia="zh-CN"/>
        </w:rPr>
        <w:t>元</w:t>
      </w:r>
    </w:p>
    <w:tbl>
      <w:tblPr>
        <w:tblStyle w:val="12"/>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900"/>
        <w:gridCol w:w="5040"/>
        <w:gridCol w:w="1440"/>
        <w:gridCol w:w="1476"/>
      </w:tblGrid>
      <w:tr w14:paraId="1D45B6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9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46F0F9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包/品目号</w:t>
            </w:r>
          </w:p>
        </w:tc>
        <w:tc>
          <w:tcPr>
            <w:tcW w:w="50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BEBB44C">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标的名称</w:t>
            </w:r>
          </w:p>
        </w:tc>
        <w:tc>
          <w:tcPr>
            <w:tcW w:w="14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4F81D04">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数量</w:t>
            </w:r>
          </w:p>
          <w:p w14:paraId="3B3A0B3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（单位：项）</w:t>
            </w:r>
          </w:p>
        </w:tc>
        <w:tc>
          <w:tcPr>
            <w:tcW w:w="133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FF3C5E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预算（元）</w:t>
            </w:r>
          </w:p>
        </w:tc>
      </w:tr>
      <w:tr w14:paraId="718B48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90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F69FDC2">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整包</w:t>
            </w:r>
          </w:p>
        </w:tc>
        <w:tc>
          <w:tcPr>
            <w:tcW w:w="50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9417F0A">
            <w:pPr>
              <w:pStyle w:val="10"/>
              <w:spacing w:before="0" w:beforeAutospacing="0" w:after="0" w:afterAutospacing="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怀化市</w:t>
            </w:r>
            <w:r>
              <w:rPr>
                <w:rFonts w:hint="eastAsia" w:cs="宋体"/>
                <w:sz w:val="21"/>
                <w:szCs w:val="21"/>
                <w:lang w:eastAsia="zh-CN"/>
              </w:rPr>
              <w:t>洪江市</w:t>
            </w:r>
            <w:r>
              <w:rPr>
                <w:rFonts w:hint="eastAsia" w:ascii="宋体" w:hAnsi="宋体" w:eastAsia="宋体" w:cs="宋体"/>
                <w:sz w:val="21"/>
                <w:szCs w:val="21"/>
                <w:lang w:eastAsia="zh-CN"/>
              </w:rPr>
              <w:t>2026—2028年政策性农业保险承保机构项目</w:t>
            </w:r>
          </w:p>
        </w:tc>
        <w:tc>
          <w:tcPr>
            <w:tcW w:w="14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7D195FE">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1</w:t>
            </w:r>
          </w:p>
        </w:tc>
        <w:tc>
          <w:tcPr>
            <w:tcW w:w="133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A930BBF">
            <w:pPr>
              <w:pStyle w:val="10"/>
              <w:spacing w:before="0" w:beforeAutospacing="0" w:after="0" w:afterAutospacing="0"/>
              <w:jc w:val="center"/>
              <w:rPr>
                <w:rFonts w:hint="eastAsia" w:ascii="宋体" w:hAnsi="宋体" w:eastAsia="宋体" w:cs="宋体"/>
                <w:b w:val="0"/>
                <w:bCs w:val="0"/>
                <w:sz w:val="21"/>
                <w:szCs w:val="21"/>
                <w:lang w:val="en-US" w:eastAsia="zh-CN"/>
              </w:rPr>
            </w:pPr>
            <w:r>
              <w:rPr>
                <w:rFonts w:hint="eastAsia" w:cs="宋体"/>
                <w:b w:val="0"/>
                <w:bCs w:val="0"/>
                <w:sz w:val="21"/>
                <w:szCs w:val="21"/>
                <w:lang w:val="en-US" w:eastAsia="zh-CN"/>
              </w:rPr>
              <w:t> 16420000.00</w:t>
            </w:r>
          </w:p>
        </w:tc>
      </w:tr>
    </w:tbl>
    <w:p w14:paraId="1A94EE5A">
      <w:pPr>
        <w:pStyle w:val="10"/>
        <w:shd w:val="clear" w:color="auto" w:fill="FFFFFF"/>
        <w:spacing w:before="0" w:beforeAutospacing="0" w:after="0" w:afterAutospacing="0"/>
        <w:ind w:firstLine="420"/>
        <w:jc w:val="both"/>
        <w:rPr>
          <w:rFonts w:hint="eastAsia" w:ascii="宋体" w:hAnsi="宋体" w:eastAsia="宋体" w:cs="宋体"/>
          <w:color w:val="666666"/>
          <w:sz w:val="21"/>
          <w:szCs w:val="21"/>
          <w:shd w:val="clear" w:color="auto" w:fill="FFFFFF"/>
        </w:rPr>
      </w:pPr>
    </w:p>
    <w:p w14:paraId="23E86944">
      <w:pPr>
        <w:pStyle w:val="10"/>
        <w:shd w:val="clear" w:color="auto" w:fill="FFFFFF"/>
        <w:spacing w:before="0" w:beforeAutospacing="0" w:after="0" w:afterAutospacing="0"/>
        <w:ind w:firstLine="420"/>
        <w:jc w:val="both"/>
        <w:rPr>
          <w:rFonts w:hint="eastAsia" w:ascii="宋体" w:hAnsi="宋体" w:eastAsia="宋体" w:cs="宋体"/>
          <w:color w:val="666666"/>
          <w:sz w:val="21"/>
          <w:szCs w:val="21"/>
        </w:rPr>
      </w:pPr>
      <w:r>
        <w:rPr>
          <w:rFonts w:hint="eastAsia" w:ascii="宋体" w:hAnsi="宋体" w:eastAsia="宋体" w:cs="宋体"/>
          <w:color w:val="666666"/>
          <w:sz w:val="21"/>
          <w:szCs w:val="21"/>
          <w:shd w:val="clear" w:color="auto" w:fill="FFFFFF"/>
        </w:rPr>
        <w:t> </w:t>
      </w:r>
      <w:r>
        <w:rPr>
          <w:rFonts w:hint="eastAsia" w:ascii="宋体" w:hAnsi="宋体" w:eastAsia="宋体" w:cs="宋体"/>
          <w:b w:val="0"/>
          <w:bCs w:val="0"/>
          <w:color w:val="auto"/>
          <w:sz w:val="21"/>
          <w:szCs w:val="21"/>
          <w:shd w:val="clear" w:color="auto" w:fill="FFFFFF"/>
          <w:lang w:val="en-US" w:eastAsia="zh-CN"/>
        </w:rPr>
        <w:t>5、选项目分包设置</w:t>
      </w:r>
    </w:p>
    <w:tbl>
      <w:tblPr>
        <w:tblStyle w:val="12"/>
        <w:tblpPr w:leftFromText="180" w:rightFromText="180" w:vertAnchor="text" w:horzAnchor="page" w:tblpX="1125" w:tblpY="315"/>
        <w:tblOverlap w:val="never"/>
        <w:tblW w:w="98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3"/>
        <w:gridCol w:w="2467"/>
        <w:gridCol w:w="1316"/>
        <w:gridCol w:w="1334"/>
        <w:gridCol w:w="975"/>
        <w:gridCol w:w="1167"/>
        <w:gridCol w:w="1108"/>
        <w:gridCol w:w="983"/>
      </w:tblGrid>
      <w:tr w14:paraId="202E9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483" w:type="dxa"/>
            <w:tcBorders>
              <w:top w:val="single" w:color="000000" w:sz="4" w:space="0"/>
              <w:left w:val="single" w:color="000000" w:sz="4" w:space="0"/>
              <w:bottom w:val="nil"/>
              <w:right w:val="single" w:color="000000" w:sz="4" w:space="0"/>
            </w:tcBorders>
            <w:shd w:val="clear" w:color="auto" w:fill="auto"/>
            <w:vAlign w:val="center"/>
          </w:tcPr>
          <w:p w14:paraId="3BD21230">
            <w:pPr>
              <w:keepNext w:val="0"/>
              <w:keepLines w:val="0"/>
              <w:widowControl/>
              <w:suppressLineNumbers w:val="0"/>
              <w:jc w:val="center"/>
              <w:textAlignment w:val="center"/>
              <w:rPr>
                <w:rFonts w:ascii="仿宋_GB2312" w:hAnsi="宋体" w:eastAsia="仿宋_GB2312" w:cs="仿宋_GB2312"/>
                <w:b/>
                <w:bCs/>
                <w:i w:val="0"/>
                <w:iCs w:val="0"/>
                <w:color w:val="auto"/>
                <w:sz w:val="22"/>
                <w:szCs w:val="22"/>
                <w:u w:val="none"/>
              </w:rPr>
            </w:pPr>
            <w:r>
              <w:rPr>
                <w:rFonts w:hint="default" w:ascii="仿宋_GB2312" w:hAnsi="宋体" w:eastAsia="仿宋_GB2312" w:cs="仿宋_GB2312"/>
                <w:b/>
                <w:bCs/>
                <w:i w:val="0"/>
                <w:iCs w:val="0"/>
                <w:color w:val="auto"/>
                <w:kern w:val="0"/>
                <w:sz w:val="22"/>
                <w:szCs w:val="22"/>
                <w:u w:val="none"/>
                <w:lang w:val="en-US" w:eastAsia="zh-CN" w:bidi="ar"/>
              </w:rPr>
              <w:t>分包</w:t>
            </w:r>
          </w:p>
        </w:tc>
        <w:tc>
          <w:tcPr>
            <w:tcW w:w="2467" w:type="dxa"/>
            <w:tcBorders>
              <w:top w:val="single" w:color="000000" w:sz="4" w:space="0"/>
              <w:left w:val="single" w:color="000000" w:sz="4" w:space="0"/>
              <w:bottom w:val="nil"/>
              <w:right w:val="single" w:color="000000" w:sz="4" w:space="0"/>
            </w:tcBorders>
            <w:shd w:val="clear" w:color="auto" w:fill="auto"/>
            <w:vAlign w:val="center"/>
          </w:tcPr>
          <w:p w14:paraId="5C3637E5">
            <w:pPr>
              <w:keepNext w:val="0"/>
              <w:keepLines w:val="0"/>
              <w:widowControl/>
              <w:suppressLineNumbers w:val="0"/>
              <w:jc w:val="center"/>
              <w:textAlignment w:val="center"/>
              <w:rPr>
                <w:rFonts w:hint="default" w:ascii="仿宋_GB2312" w:hAnsi="宋体" w:eastAsia="仿宋_GB2312" w:cs="仿宋_GB2312"/>
                <w:b/>
                <w:bCs/>
                <w:i w:val="0"/>
                <w:iCs w:val="0"/>
                <w:color w:val="auto"/>
                <w:sz w:val="22"/>
                <w:szCs w:val="22"/>
                <w:u w:val="none"/>
              </w:rPr>
            </w:pPr>
            <w:r>
              <w:rPr>
                <w:rFonts w:hint="default" w:ascii="仿宋_GB2312" w:hAnsi="宋体" w:eastAsia="仿宋_GB2312" w:cs="仿宋_GB2312"/>
                <w:b/>
                <w:bCs/>
                <w:i w:val="0"/>
                <w:iCs w:val="0"/>
                <w:color w:val="auto"/>
                <w:kern w:val="0"/>
                <w:sz w:val="22"/>
                <w:szCs w:val="22"/>
                <w:u w:val="none"/>
                <w:lang w:val="en-US" w:eastAsia="zh-CN" w:bidi="ar"/>
              </w:rPr>
              <w:t>险种</w:t>
            </w:r>
          </w:p>
        </w:tc>
        <w:tc>
          <w:tcPr>
            <w:tcW w:w="1316" w:type="dxa"/>
            <w:tcBorders>
              <w:top w:val="single" w:color="000000" w:sz="4" w:space="0"/>
              <w:left w:val="single" w:color="000000" w:sz="4" w:space="0"/>
              <w:bottom w:val="nil"/>
              <w:right w:val="single" w:color="000000" w:sz="4" w:space="0"/>
            </w:tcBorders>
            <w:shd w:val="clear" w:color="auto" w:fill="auto"/>
            <w:vAlign w:val="center"/>
          </w:tcPr>
          <w:p w14:paraId="1689F2C0">
            <w:pPr>
              <w:keepNext w:val="0"/>
              <w:keepLines w:val="0"/>
              <w:widowControl/>
              <w:suppressLineNumbers w:val="0"/>
              <w:jc w:val="center"/>
              <w:textAlignment w:val="center"/>
              <w:rPr>
                <w:rFonts w:hint="default" w:ascii="仿宋_GB2312" w:hAnsi="宋体" w:eastAsia="仿宋_GB2312" w:cs="仿宋_GB2312"/>
                <w:b/>
                <w:bCs/>
                <w:i w:val="0"/>
                <w:iCs w:val="0"/>
                <w:color w:val="auto"/>
                <w:sz w:val="22"/>
                <w:szCs w:val="22"/>
                <w:u w:val="none"/>
              </w:rPr>
            </w:pPr>
            <w:r>
              <w:rPr>
                <w:rFonts w:hint="default" w:ascii="仿宋_GB2312" w:hAnsi="宋体" w:eastAsia="仿宋_GB2312" w:cs="仿宋_GB2312"/>
                <w:b/>
                <w:bCs/>
                <w:i w:val="0"/>
                <w:iCs w:val="0"/>
                <w:color w:val="auto"/>
                <w:sz w:val="22"/>
                <w:szCs w:val="22"/>
                <w:u w:val="none"/>
              </w:rPr>
              <w:t>预计保费(元）</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24738">
            <w:pPr>
              <w:keepNext w:val="0"/>
              <w:keepLines w:val="0"/>
              <w:widowControl/>
              <w:suppressLineNumbers w:val="0"/>
              <w:jc w:val="center"/>
              <w:textAlignment w:val="center"/>
              <w:rPr>
                <w:rFonts w:hint="default" w:ascii="仿宋_GB2312" w:hAnsi="宋体" w:eastAsia="仿宋_GB2312" w:cs="仿宋_GB2312"/>
                <w:b/>
                <w:bCs/>
                <w:i w:val="0"/>
                <w:iCs w:val="0"/>
                <w:color w:val="auto"/>
                <w:sz w:val="22"/>
                <w:szCs w:val="22"/>
                <w:u w:val="none"/>
              </w:rPr>
            </w:pPr>
            <w:r>
              <w:rPr>
                <w:rFonts w:hint="default" w:ascii="仿宋_GB2312" w:hAnsi="宋体" w:eastAsia="仿宋_GB2312" w:cs="仿宋_GB2312"/>
                <w:b/>
                <w:bCs/>
                <w:i w:val="0"/>
                <w:iCs w:val="0"/>
                <w:color w:val="auto"/>
                <w:kern w:val="0"/>
                <w:sz w:val="22"/>
                <w:szCs w:val="22"/>
                <w:u w:val="none"/>
                <w:lang w:val="en-US" w:eastAsia="zh-CN" w:bidi="ar"/>
              </w:rPr>
              <w:t>预计保费(元）</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F148">
            <w:pPr>
              <w:keepNext w:val="0"/>
              <w:keepLines w:val="0"/>
              <w:widowControl/>
              <w:suppressLineNumbers w:val="0"/>
              <w:jc w:val="center"/>
              <w:textAlignment w:val="center"/>
              <w:rPr>
                <w:rFonts w:hint="default" w:ascii="黑体" w:hAnsi="宋体" w:eastAsia="黑体" w:cs="黑体"/>
                <w:b/>
                <w:bCs/>
                <w:i w:val="0"/>
                <w:iCs w:val="0"/>
                <w:color w:val="000000"/>
                <w:kern w:val="2"/>
                <w:sz w:val="20"/>
                <w:szCs w:val="20"/>
                <w:u w:val="none"/>
                <w:lang w:val="en-US" w:eastAsia="zh-CN" w:bidi="ar-SA"/>
              </w:rPr>
            </w:pPr>
            <w:r>
              <w:rPr>
                <w:rFonts w:hint="eastAsia" w:ascii="黑体" w:hAnsi="宋体" w:eastAsia="黑体" w:cs="黑体"/>
                <w:b/>
                <w:bCs/>
                <w:i w:val="0"/>
                <w:iCs w:val="0"/>
                <w:color w:val="000000"/>
                <w:kern w:val="0"/>
                <w:sz w:val="20"/>
                <w:szCs w:val="20"/>
                <w:u w:val="none"/>
                <w:lang w:val="en-US" w:eastAsia="zh-CN" w:bidi="ar"/>
              </w:rPr>
              <w:t>乡镇</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8A03">
            <w:pPr>
              <w:keepNext w:val="0"/>
              <w:keepLines w:val="0"/>
              <w:widowControl/>
              <w:suppressLineNumbers w:val="0"/>
              <w:jc w:val="center"/>
              <w:textAlignment w:val="center"/>
              <w:rPr>
                <w:rFonts w:hint="default" w:ascii="黑体" w:hAnsi="宋体" w:eastAsia="黑体" w:cs="黑体"/>
                <w:b/>
                <w:bCs/>
                <w:i w:val="0"/>
                <w:iCs w:val="0"/>
                <w:color w:val="000000"/>
                <w:kern w:val="2"/>
                <w:sz w:val="20"/>
                <w:szCs w:val="20"/>
                <w:u w:val="none"/>
                <w:lang w:val="en-US" w:eastAsia="zh-CN" w:bidi="ar-SA"/>
              </w:rPr>
            </w:pPr>
            <w:r>
              <w:rPr>
                <w:rFonts w:hint="eastAsia" w:ascii="黑体" w:hAnsi="宋体" w:eastAsia="黑体" w:cs="黑体"/>
                <w:b/>
                <w:bCs/>
                <w:i w:val="0"/>
                <w:iCs w:val="0"/>
                <w:color w:val="000000"/>
                <w:kern w:val="0"/>
                <w:sz w:val="20"/>
                <w:szCs w:val="20"/>
                <w:u w:val="none"/>
                <w:lang w:val="en-US" w:eastAsia="zh-CN" w:bidi="ar"/>
              </w:rPr>
              <w:t>森林险</w:t>
            </w:r>
            <w:r>
              <w:rPr>
                <w:rFonts w:hint="eastAsia" w:ascii="黑体" w:hAnsi="宋体" w:eastAsia="黑体" w:cs="黑体"/>
                <w:b/>
                <w:bCs/>
                <w:i w:val="0"/>
                <w:iCs w:val="0"/>
                <w:color w:val="000000"/>
                <w:kern w:val="0"/>
                <w:sz w:val="20"/>
                <w:szCs w:val="20"/>
                <w:u w:val="none"/>
                <w:lang w:val="en-US" w:eastAsia="zh-CN" w:bidi="ar"/>
              </w:rPr>
              <w:br w:type="textWrapping"/>
            </w:r>
            <w:r>
              <w:rPr>
                <w:rFonts w:hint="eastAsia" w:ascii="黑体" w:hAnsi="宋体" w:eastAsia="黑体" w:cs="黑体"/>
                <w:b/>
                <w:bCs/>
                <w:i w:val="0"/>
                <w:iCs w:val="0"/>
                <w:color w:val="000000"/>
                <w:kern w:val="0"/>
                <w:sz w:val="20"/>
                <w:szCs w:val="20"/>
                <w:u w:val="none"/>
                <w:lang w:val="en-US" w:eastAsia="zh-CN" w:bidi="ar"/>
              </w:rPr>
              <w:t>（乡镇）</w:t>
            </w:r>
          </w:p>
        </w:tc>
        <w:tc>
          <w:tcPr>
            <w:tcW w:w="1108" w:type="dxa"/>
            <w:tcBorders>
              <w:top w:val="single" w:color="000000" w:sz="4" w:space="0"/>
              <w:left w:val="single" w:color="000000" w:sz="4" w:space="0"/>
              <w:bottom w:val="single" w:color="auto" w:sz="4" w:space="0"/>
              <w:right w:val="single" w:color="000000" w:sz="4" w:space="0"/>
            </w:tcBorders>
            <w:shd w:val="clear" w:color="auto" w:fill="auto"/>
            <w:vAlign w:val="center"/>
          </w:tcPr>
          <w:p w14:paraId="6CE1118F">
            <w:pPr>
              <w:keepNext w:val="0"/>
              <w:keepLines w:val="0"/>
              <w:widowControl/>
              <w:suppressLineNumbers w:val="0"/>
              <w:jc w:val="center"/>
              <w:textAlignment w:val="center"/>
              <w:rPr>
                <w:rFonts w:hint="eastAsia" w:ascii="黑体" w:hAnsi="宋体" w:eastAsia="黑体" w:cs="黑体"/>
                <w:b/>
                <w:bCs/>
                <w:i w:val="0"/>
                <w:iCs w:val="0"/>
                <w:color w:val="000000"/>
                <w:kern w:val="0"/>
                <w:sz w:val="20"/>
                <w:szCs w:val="20"/>
                <w:u w:val="none"/>
                <w:lang w:val="en-US" w:eastAsia="zh-CN" w:bidi="ar"/>
              </w:rPr>
            </w:pPr>
            <w:r>
              <w:rPr>
                <w:rFonts w:hint="default" w:ascii="仿宋_GB2312" w:hAnsi="宋体" w:eastAsia="仿宋_GB2312" w:cs="仿宋_GB2312"/>
                <w:b/>
                <w:bCs/>
                <w:i w:val="0"/>
                <w:iCs w:val="0"/>
                <w:color w:val="auto"/>
                <w:kern w:val="0"/>
                <w:sz w:val="22"/>
                <w:szCs w:val="22"/>
                <w:u w:val="none"/>
                <w:lang w:val="en-US" w:eastAsia="zh-CN" w:bidi="ar"/>
              </w:rPr>
              <w:t>预计保费(元）</w:t>
            </w:r>
          </w:p>
        </w:tc>
        <w:tc>
          <w:tcPr>
            <w:tcW w:w="983" w:type="dxa"/>
            <w:tcBorders>
              <w:top w:val="single" w:color="000000" w:sz="4" w:space="0"/>
              <w:left w:val="single" w:color="000000" w:sz="4" w:space="0"/>
              <w:bottom w:val="single" w:color="auto" w:sz="4" w:space="0"/>
              <w:right w:val="single" w:color="000000" w:sz="4" w:space="0"/>
            </w:tcBorders>
            <w:shd w:val="clear" w:color="auto" w:fill="auto"/>
            <w:vAlign w:val="center"/>
          </w:tcPr>
          <w:p w14:paraId="69BF1953">
            <w:pPr>
              <w:keepNext w:val="0"/>
              <w:keepLines w:val="0"/>
              <w:widowControl/>
              <w:suppressLineNumbers w:val="0"/>
              <w:jc w:val="center"/>
              <w:textAlignment w:val="center"/>
              <w:rPr>
                <w:rFonts w:hint="eastAsia" w:ascii="黑体" w:hAnsi="宋体" w:eastAsia="黑体" w:cs="黑体"/>
                <w:b/>
                <w:bCs/>
                <w:i w:val="0"/>
                <w:iCs w:val="0"/>
                <w:color w:val="000000"/>
                <w:kern w:val="2"/>
                <w:sz w:val="20"/>
                <w:szCs w:val="20"/>
                <w:u w:val="none"/>
                <w:lang w:val="en-US" w:eastAsia="zh-CN" w:bidi="ar-SA"/>
              </w:rPr>
            </w:pPr>
            <w:r>
              <w:rPr>
                <w:rFonts w:hint="eastAsia" w:ascii="黑体" w:hAnsi="宋体" w:eastAsia="黑体" w:cs="黑体"/>
                <w:b/>
                <w:bCs/>
                <w:i w:val="0"/>
                <w:iCs w:val="0"/>
                <w:color w:val="000000"/>
                <w:kern w:val="0"/>
                <w:sz w:val="20"/>
                <w:szCs w:val="20"/>
                <w:u w:val="none"/>
                <w:lang w:val="en-US" w:eastAsia="zh-CN" w:bidi="ar"/>
              </w:rPr>
              <w:t>备注</w:t>
            </w:r>
          </w:p>
        </w:tc>
      </w:tr>
      <w:tr w14:paraId="6964A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483" w:type="dxa"/>
            <w:vMerge w:val="restart"/>
            <w:tcBorders>
              <w:top w:val="single" w:color="000000" w:sz="4" w:space="0"/>
              <w:left w:val="single" w:color="000000" w:sz="4" w:space="0"/>
              <w:right w:val="single" w:color="000000" w:sz="4" w:space="0"/>
            </w:tcBorders>
            <w:shd w:val="clear" w:color="auto" w:fill="auto"/>
            <w:vAlign w:val="center"/>
          </w:tcPr>
          <w:p w14:paraId="2230E99B">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包1</w:t>
            </w:r>
          </w:p>
        </w:tc>
        <w:tc>
          <w:tcPr>
            <w:tcW w:w="246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502FED">
            <w:pPr>
              <w:keepNext w:val="0"/>
              <w:keepLines w:val="0"/>
              <w:widowControl/>
              <w:suppressLineNumbers w:val="0"/>
              <w:jc w:val="center"/>
              <w:textAlignment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水稻、水稻制种、油菜、玉米、育肥猪、能分母猪</w:t>
            </w:r>
          </w:p>
        </w:tc>
        <w:tc>
          <w:tcPr>
            <w:tcW w:w="1316" w:type="dxa"/>
            <w:tcBorders>
              <w:top w:val="single" w:color="000000" w:sz="4" w:space="0"/>
              <w:left w:val="single" w:color="000000" w:sz="4" w:space="0"/>
              <w:bottom w:val="single" w:color="auto" w:sz="4" w:space="0"/>
              <w:right w:val="single" w:color="000000" w:sz="4" w:space="0"/>
            </w:tcBorders>
            <w:shd w:val="clear" w:color="auto" w:fill="auto"/>
            <w:vAlign w:val="center"/>
          </w:tcPr>
          <w:p w14:paraId="03A84DBD">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 xml:space="preserve">1947643.89 </w:t>
            </w:r>
          </w:p>
        </w:tc>
        <w:tc>
          <w:tcPr>
            <w:tcW w:w="1334" w:type="dxa"/>
            <w:vMerge w:val="restart"/>
            <w:tcBorders>
              <w:top w:val="single" w:color="000000" w:sz="4" w:space="0"/>
              <w:left w:val="single" w:color="000000" w:sz="4" w:space="0"/>
              <w:right w:val="single" w:color="000000" w:sz="4" w:space="0"/>
            </w:tcBorders>
            <w:shd w:val="clear" w:color="auto" w:fill="auto"/>
            <w:vAlign w:val="center"/>
          </w:tcPr>
          <w:p w14:paraId="1272F828">
            <w:pPr>
              <w:keepNext w:val="0"/>
              <w:keepLines w:val="0"/>
              <w:widowControl/>
              <w:suppressLineNumbers w:val="0"/>
              <w:jc w:val="center"/>
              <w:textAlignment w:val="center"/>
              <w:rPr>
                <w:rFonts w:hint="default" w:ascii="宋体" w:hAnsi="宋体" w:eastAsia="宋体" w:cs="宋体"/>
                <w:b w:val="0"/>
                <w:bCs w:val="0"/>
                <w:i w:val="0"/>
                <w:iCs w:val="0"/>
                <w:color w:val="000000"/>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8991062.32 </w:t>
            </w:r>
          </w:p>
        </w:tc>
        <w:tc>
          <w:tcPr>
            <w:tcW w:w="975" w:type="dxa"/>
            <w:tcBorders>
              <w:top w:val="single" w:color="000000" w:sz="4" w:space="0"/>
              <w:left w:val="single" w:color="000000" w:sz="4" w:space="0"/>
              <w:bottom w:val="single" w:color="auto" w:sz="4" w:space="0"/>
              <w:right w:val="single" w:color="000000" w:sz="4" w:space="0"/>
            </w:tcBorders>
            <w:shd w:val="clear" w:color="auto" w:fill="auto"/>
            <w:vAlign w:val="center"/>
          </w:tcPr>
          <w:p w14:paraId="486004BE">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lang w:eastAsia="zh-CN"/>
              </w:rPr>
            </w:pPr>
            <w:r>
              <w:rPr>
                <w:rFonts w:hint="eastAsia" w:ascii="宋体" w:hAnsi="宋体" w:eastAsia="宋体" w:cs="宋体"/>
                <w:b w:val="0"/>
                <w:bCs w:val="0"/>
                <w:i w:val="0"/>
                <w:iCs w:val="0"/>
                <w:color w:val="000000"/>
                <w:kern w:val="0"/>
                <w:sz w:val="20"/>
                <w:szCs w:val="20"/>
                <w:u w:val="none"/>
                <w:lang w:val="en-US" w:eastAsia="zh-CN" w:bidi="ar"/>
              </w:rPr>
              <w:t>黔城镇</w:t>
            </w:r>
          </w:p>
        </w:tc>
        <w:tc>
          <w:tcPr>
            <w:tcW w:w="1167" w:type="dxa"/>
            <w:vMerge w:val="restart"/>
            <w:tcBorders>
              <w:top w:val="single" w:color="000000" w:sz="4" w:space="0"/>
              <w:left w:val="single" w:color="000000" w:sz="4" w:space="0"/>
              <w:right w:val="single" w:color="auto" w:sz="4" w:space="0"/>
            </w:tcBorders>
            <w:shd w:val="clear" w:color="auto" w:fill="auto"/>
            <w:vAlign w:val="center"/>
          </w:tcPr>
          <w:p w14:paraId="62D3116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（商品林）</w:t>
            </w:r>
          </w:p>
          <w:p w14:paraId="2AFC96C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黔城镇、江市镇、岩垅乡、深渡乡、龙船塘、沙湾乡、茅渡乡、塘湾镇、洗马乡、太平乡</w:t>
            </w:r>
          </w:p>
        </w:tc>
        <w:tc>
          <w:tcPr>
            <w:tcW w:w="1108" w:type="dxa"/>
            <w:vMerge w:val="restart"/>
            <w:tcBorders>
              <w:top w:val="single" w:color="auto" w:sz="4" w:space="0"/>
              <w:left w:val="single" w:color="auto" w:sz="4" w:space="0"/>
              <w:right w:val="single" w:color="auto" w:sz="4" w:space="0"/>
            </w:tcBorders>
            <w:shd w:val="clear" w:color="auto" w:fill="auto"/>
            <w:vAlign w:val="center"/>
          </w:tcPr>
          <w:p w14:paraId="44071C6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907315</w:t>
            </w:r>
          </w:p>
        </w:tc>
        <w:tc>
          <w:tcPr>
            <w:tcW w:w="983" w:type="dxa"/>
            <w:vMerge w:val="restart"/>
            <w:tcBorders>
              <w:top w:val="single" w:color="auto" w:sz="4" w:space="0"/>
              <w:left w:val="single" w:color="auto" w:sz="4" w:space="0"/>
              <w:right w:val="single" w:color="auto" w:sz="4" w:space="0"/>
            </w:tcBorders>
            <w:shd w:val="clear" w:color="auto" w:fill="auto"/>
            <w:vAlign w:val="center"/>
          </w:tcPr>
          <w:p w14:paraId="46D67A9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包</w:t>
            </w:r>
            <w:r>
              <w:rPr>
                <w:rFonts w:hint="eastAsia" w:ascii="宋体" w:hAnsi="宋体" w:cs="宋体"/>
                <w:b w:val="0"/>
                <w:bCs w:val="0"/>
                <w:i w:val="0"/>
                <w:iCs w:val="0"/>
                <w:color w:val="000000"/>
                <w:kern w:val="0"/>
                <w:sz w:val="20"/>
                <w:szCs w:val="20"/>
                <w:u w:val="none"/>
                <w:lang w:val="en-US" w:eastAsia="zh-CN" w:bidi="ar"/>
              </w:rPr>
              <w:t>1</w:t>
            </w:r>
            <w:r>
              <w:rPr>
                <w:rFonts w:hint="eastAsia" w:ascii="宋体" w:hAnsi="宋体" w:eastAsia="宋体" w:cs="宋体"/>
                <w:b w:val="0"/>
                <w:bCs w:val="0"/>
                <w:i w:val="0"/>
                <w:iCs w:val="0"/>
                <w:color w:val="000000"/>
                <w:kern w:val="0"/>
                <w:sz w:val="20"/>
                <w:szCs w:val="20"/>
                <w:u w:val="none"/>
                <w:lang w:val="en-US" w:eastAsia="zh-CN" w:bidi="ar"/>
              </w:rPr>
              <w:t>：899万元＋商品林90.7 万元=989.7万元</w:t>
            </w:r>
          </w:p>
          <w:p w14:paraId="7972954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占比：60.2%左右</w:t>
            </w:r>
          </w:p>
        </w:tc>
      </w:tr>
      <w:tr w14:paraId="22DA6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483" w:type="dxa"/>
            <w:vMerge w:val="continue"/>
            <w:tcBorders>
              <w:left w:val="single" w:color="000000" w:sz="4" w:space="0"/>
              <w:right w:val="single" w:color="000000" w:sz="4" w:space="0"/>
            </w:tcBorders>
            <w:shd w:val="clear" w:color="auto" w:fill="auto"/>
            <w:vAlign w:val="center"/>
          </w:tcPr>
          <w:p w14:paraId="2CD557F9">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024234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eastAsia="zh-CN"/>
              </w:rPr>
              <w:t>水稻、水稻制种、油菜、玉米、育肥猪、能分母猪</w:t>
            </w:r>
          </w:p>
        </w:tc>
        <w:tc>
          <w:tcPr>
            <w:tcW w:w="1316" w:type="dxa"/>
            <w:tcBorders>
              <w:top w:val="single" w:color="auto" w:sz="4" w:space="0"/>
              <w:left w:val="single" w:color="000000" w:sz="4" w:space="0"/>
              <w:bottom w:val="single" w:color="auto" w:sz="4" w:space="0"/>
              <w:right w:val="single" w:color="000000" w:sz="4" w:space="0"/>
            </w:tcBorders>
            <w:shd w:val="clear" w:color="auto" w:fill="auto"/>
            <w:vAlign w:val="center"/>
          </w:tcPr>
          <w:p w14:paraId="5DE619CD">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1518566.39 </w:t>
            </w:r>
          </w:p>
        </w:tc>
        <w:tc>
          <w:tcPr>
            <w:tcW w:w="1334" w:type="dxa"/>
            <w:vMerge w:val="continue"/>
            <w:tcBorders>
              <w:left w:val="single" w:color="000000" w:sz="4" w:space="0"/>
              <w:right w:val="single" w:color="000000" w:sz="4" w:space="0"/>
            </w:tcBorders>
            <w:shd w:val="clear" w:color="auto" w:fill="auto"/>
            <w:vAlign w:val="center"/>
          </w:tcPr>
          <w:p w14:paraId="506AB14C">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p>
        </w:tc>
        <w:tc>
          <w:tcPr>
            <w:tcW w:w="975" w:type="dxa"/>
            <w:tcBorders>
              <w:top w:val="single" w:color="auto" w:sz="4" w:space="0"/>
              <w:left w:val="single" w:color="000000" w:sz="4" w:space="0"/>
              <w:bottom w:val="single" w:color="auto" w:sz="4" w:space="0"/>
              <w:right w:val="single" w:color="000000" w:sz="4" w:space="0"/>
            </w:tcBorders>
            <w:shd w:val="clear" w:color="auto" w:fill="auto"/>
            <w:vAlign w:val="center"/>
          </w:tcPr>
          <w:p w14:paraId="3EEEB699">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安江镇</w:t>
            </w:r>
          </w:p>
        </w:tc>
        <w:tc>
          <w:tcPr>
            <w:tcW w:w="1167" w:type="dxa"/>
            <w:vMerge w:val="continue"/>
            <w:tcBorders>
              <w:left w:val="single" w:color="000000" w:sz="4" w:space="0"/>
              <w:right w:val="single" w:color="auto" w:sz="4" w:space="0"/>
            </w:tcBorders>
            <w:shd w:val="clear" w:color="auto" w:fill="auto"/>
            <w:vAlign w:val="center"/>
          </w:tcPr>
          <w:p w14:paraId="4263986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1108" w:type="dxa"/>
            <w:vMerge w:val="continue"/>
            <w:tcBorders>
              <w:left w:val="single" w:color="auto" w:sz="4" w:space="0"/>
              <w:right w:val="single" w:color="auto" w:sz="4" w:space="0"/>
            </w:tcBorders>
            <w:shd w:val="clear" w:color="auto" w:fill="auto"/>
            <w:vAlign w:val="center"/>
          </w:tcPr>
          <w:p w14:paraId="4CF41A4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983" w:type="dxa"/>
            <w:vMerge w:val="continue"/>
            <w:tcBorders>
              <w:left w:val="single" w:color="auto" w:sz="4" w:space="0"/>
              <w:right w:val="single" w:color="auto" w:sz="4" w:space="0"/>
            </w:tcBorders>
            <w:shd w:val="clear" w:color="auto" w:fill="auto"/>
            <w:vAlign w:val="center"/>
          </w:tcPr>
          <w:p w14:paraId="7D4FF95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r>
      <w:tr w14:paraId="07568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483" w:type="dxa"/>
            <w:vMerge w:val="continue"/>
            <w:tcBorders>
              <w:left w:val="single" w:color="000000" w:sz="4" w:space="0"/>
              <w:right w:val="single" w:color="000000" w:sz="4" w:space="0"/>
            </w:tcBorders>
            <w:shd w:val="clear" w:color="auto" w:fill="auto"/>
            <w:vAlign w:val="center"/>
          </w:tcPr>
          <w:p w14:paraId="1D23AE9A">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5E61E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eastAsia="zh-CN"/>
              </w:rPr>
              <w:t>水稻、水稻制种、油菜、玉米、育肥猪、能分母猪</w:t>
            </w:r>
          </w:p>
        </w:tc>
        <w:tc>
          <w:tcPr>
            <w:tcW w:w="1316" w:type="dxa"/>
            <w:tcBorders>
              <w:top w:val="single" w:color="auto" w:sz="4" w:space="0"/>
              <w:left w:val="single" w:color="000000" w:sz="4" w:space="0"/>
              <w:bottom w:val="single" w:color="auto" w:sz="4" w:space="0"/>
              <w:right w:val="single" w:color="000000" w:sz="4" w:space="0"/>
            </w:tcBorders>
            <w:shd w:val="clear" w:color="auto" w:fill="auto"/>
            <w:vAlign w:val="center"/>
          </w:tcPr>
          <w:p w14:paraId="61EEC196">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460465.86 </w:t>
            </w:r>
          </w:p>
        </w:tc>
        <w:tc>
          <w:tcPr>
            <w:tcW w:w="1334" w:type="dxa"/>
            <w:vMerge w:val="continue"/>
            <w:tcBorders>
              <w:left w:val="single" w:color="000000" w:sz="4" w:space="0"/>
              <w:right w:val="single" w:color="000000" w:sz="4" w:space="0"/>
            </w:tcBorders>
            <w:shd w:val="clear" w:color="auto" w:fill="auto"/>
            <w:vAlign w:val="center"/>
          </w:tcPr>
          <w:p w14:paraId="0DDCFA52">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p>
        </w:tc>
        <w:tc>
          <w:tcPr>
            <w:tcW w:w="975" w:type="dxa"/>
            <w:tcBorders>
              <w:top w:val="single" w:color="auto" w:sz="4" w:space="0"/>
              <w:left w:val="single" w:color="000000" w:sz="4" w:space="0"/>
              <w:bottom w:val="single" w:color="auto" w:sz="4" w:space="0"/>
              <w:right w:val="single" w:color="000000" w:sz="4" w:space="0"/>
            </w:tcBorders>
            <w:shd w:val="clear" w:color="auto" w:fill="auto"/>
            <w:vAlign w:val="center"/>
          </w:tcPr>
          <w:p w14:paraId="19DB7109">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沅河镇</w:t>
            </w:r>
          </w:p>
        </w:tc>
        <w:tc>
          <w:tcPr>
            <w:tcW w:w="1167" w:type="dxa"/>
            <w:vMerge w:val="continue"/>
            <w:tcBorders>
              <w:left w:val="single" w:color="000000" w:sz="4" w:space="0"/>
              <w:right w:val="single" w:color="auto" w:sz="4" w:space="0"/>
            </w:tcBorders>
            <w:shd w:val="clear" w:color="auto" w:fill="auto"/>
            <w:vAlign w:val="center"/>
          </w:tcPr>
          <w:p w14:paraId="02665F1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1108" w:type="dxa"/>
            <w:vMerge w:val="continue"/>
            <w:tcBorders>
              <w:left w:val="single" w:color="auto" w:sz="4" w:space="0"/>
              <w:right w:val="single" w:color="auto" w:sz="4" w:space="0"/>
            </w:tcBorders>
            <w:shd w:val="clear" w:color="auto" w:fill="auto"/>
            <w:vAlign w:val="center"/>
          </w:tcPr>
          <w:p w14:paraId="5757200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983" w:type="dxa"/>
            <w:vMerge w:val="continue"/>
            <w:tcBorders>
              <w:left w:val="single" w:color="auto" w:sz="4" w:space="0"/>
              <w:right w:val="single" w:color="auto" w:sz="4" w:space="0"/>
            </w:tcBorders>
            <w:shd w:val="clear" w:color="auto" w:fill="auto"/>
            <w:vAlign w:val="center"/>
          </w:tcPr>
          <w:p w14:paraId="7A1463A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r>
      <w:tr w14:paraId="1C291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483" w:type="dxa"/>
            <w:vMerge w:val="continue"/>
            <w:tcBorders>
              <w:left w:val="single" w:color="000000" w:sz="4" w:space="0"/>
              <w:right w:val="single" w:color="000000" w:sz="4" w:space="0"/>
            </w:tcBorders>
            <w:shd w:val="clear" w:color="auto" w:fill="auto"/>
            <w:vAlign w:val="center"/>
          </w:tcPr>
          <w:p w14:paraId="629C6AFB">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0EACE1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eastAsia="zh-CN"/>
              </w:rPr>
              <w:t>水稻、水稻制种、油菜、玉米、育肥猪、能分母猪</w:t>
            </w:r>
          </w:p>
        </w:tc>
        <w:tc>
          <w:tcPr>
            <w:tcW w:w="1316" w:type="dxa"/>
            <w:tcBorders>
              <w:top w:val="single" w:color="auto" w:sz="4" w:space="0"/>
              <w:left w:val="single" w:color="000000" w:sz="4" w:space="0"/>
              <w:bottom w:val="single" w:color="auto" w:sz="4" w:space="0"/>
              <w:right w:val="single" w:color="000000" w:sz="4" w:space="0"/>
            </w:tcBorders>
            <w:shd w:val="clear" w:color="auto" w:fill="auto"/>
            <w:vAlign w:val="center"/>
          </w:tcPr>
          <w:p w14:paraId="49EB5C40">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588881.95 </w:t>
            </w:r>
          </w:p>
        </w:tc>
        <w:tc>
          <w:tcPr>
            <w:tcW w:w="1334" w:type="dxa"/>
            <w:vMerge w:val="continue"/>
            <w:tcBorders>
              <w:left w:val="single" w:color="000000" w:sz="4" w:space="0"/>
              <w:right w:val="single" w:color="000000" w:sz="4" w:space="0"/>
            </w:tcBorders>
            <w:shd w:val="clear" w:color="auto" w:fill="auto"/>
            <w:vAlign w:val="center"/>
          </w:tcPr>
          <w:p w14:paraId="26C9D544">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p>
        </w:tc>
        <w:tc>
          <w:tcPr>
            <w:tcW w:w="975" w:type="dxa"/>
            <w:tcBorders>
              <w:top w:val="single" w:color="auto" w:sz="4" w:space="0"/>
              <w:left w:val="single" w:color="000000" w:sz="4" w:space="0"/>
              <w:bottom w:val="single" w:color="auto" w:sz="4" w:space="0"/>
              <w:right w:val="single" w:color="000000" w:sz="4" w:space="0"/>
            </w:tcBorders>
            <w:shd w:val="clear" w:color="auto" w:fill="auto"/>
            <w:vAlign w:val="center"/>
          </w:tcPr>
          <w:p w14:paraId="26154F89">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岩垅乡</w:t>
            </w:r>
          </w:p>
        </w:tc>
        <w:tc>
          <w:tcPr>
            <w:tcW w:w="1167" w:type="dxa"/>
            <w:vMerge w:val="continue"/>
            <w:tcBorders>
              <w:left w:val="single" w:color="000000" w:sz="4" w:space="0"/>
              <w:right w:val="single" w:color="auto" w:sz="4" w:space="0"/>
            </w:tcBorders>
            <w:shd w:val="clear" w:color="auto" w:fill="auto"/>
            <w:vAlign w:val="center"/>
          </w:tcPr>
          <w:p w14:paraId="5C867E9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1108" w:type="dxa"/>
            <w:vMerge w:val="continue"/>
            <w:tcBorders>
              <w:left w:val="single" w:color="auto" w:sz="4" w:space="0"/>
              <w:right w:val="single" w:color="auto" w:sz="4" w:space="0"/>
            </w:tcBorders>
            <w:shd w:val="clear" w:color="auto" w:fill="auto"/>
            <w:vAlign w:val="center"/>
          </w:tcPr>
          <w:p w14:paraId="185E5D2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983" w:type="dxa"/>
            <w:vMerge w:val="continue"/>
            <w:tcBorders>
              <w:left w:val="single" w:color="auto" w:sz="4" w:space="0"/>
              <w:right w:val="single" w:color="auto" w:sz="4" w:space="0"/>
            </w:tcBorders>
            <w:shd w:val="clear" w:color="auto" w:fill="auto"/>
            <w:vAlign w:val="center"/>
          </w:tcPr>
          <w:p w14:paraId="46D4EAD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r>
      <w:tr w14:paraId="149FC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483" w:type="dxa"/>
            <w:vMerge w:val="continue"/>
            <w:tcBorders>
              <w:left w:val="single" w:color="000000" w:sz="4" w:space="0"/>
              <w:right w:val="single" w:color="000000" w:sz="4" w:space="0"/>
            </w:tcBorders>
            <w:shd w:val="clear" w:color="auto" w:fill="auto"/>
            <w:vAlign w:val="center"/>
          </w:tcPr>
          <w:p w14:paraId="3F14F2D7">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14E4A3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eastAsia="zh-CN"/>
              </w:rPr>
              <w:t>水稻、水稻制种、油菜、玉米、育肥猪、能分母猪</w:t>
            </w:r>
          </w:p>
        </w:tc>
        <w:tc>
          <w:tcPr>
            <w:tcW w:w="1316" w:type="dxa"/>
            <w:tcBorders>
              <w:top w:val="single" w:color="auto" w:sz="4" w:space="0"/>
              <w:left w:val="single" w:color="000000" w:sz="4" w:space="0"/>
              <w:bottom w:val="single" w:color="auto" w:sz="4" w:space="0"/>
              <w:right w:val="single" w:color="000000" w:sz="4" w:space="0"/>
            </w:tcBorders>
            <w:shd w:val="clear" w:color="auto" w:fill="auto"/>
            <w:vAlign w:val="center"/>
          </w:tcPr>
          <w:p w14:paraId="1C28A325">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987289.10 </w:t>
            </w:r>
          </w:p>
        </w:tc>
        <w:tc>
          <w:tcPr>
            <w:tcW w:w="1334" w:type="dxa"/>
            <w:vMerge w:val="continue"/>
            <w:tcBorders>
              <w:left w:val="single" w:color="000000" w:sz="4" w:space="0"/>
              <w:right w:val="single" w:color="000000" w:sz="4" w:space="0"/>
            </w:tcBorders>
            <w:shd w:val="clear" w:color="auto" w:fill="auto"/>
            <w:vAlign w:val="center"/>
          </w:tcPr>
          <w:p w14:paraId="6660917E">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p>
        </w:tc>
        <w:tc>
          <w:tcPr>
            <w:tcW w:w="975" w:type="dxa"/>
            <w:tcBorders>
              <w:top w:val="single" w:color="auto" w:sz="4" w:space="0"/>
              <w:left w:val="single" w:color="000000" w:sz="4" w:space="0"/>
              <w:bottom w:val="single" w:color="auto" w:sz="4" w:space="0"/>
              <w:right w:val="single" w:color="000000" w:sz="4" w:space="0"/>
            </w:tcBorders>
            <w:shd w:val="clear" w:color="auto" w:fill="auto"/>
            <w:vAlign w:val="center"/>
          </w:tcPr>
          <w:p w14:paraId="72A81213">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塘湾镇</w:t>
            </w:r>
          </w:p>
        </w:tc>
        <w:tc>
          <w:tcPr>
            <w:tcW w:w="1167" w:type="dxa"/>
            <w:vMerge w:val="continue"/>
            <w:tcBorders>
              <w:left w:val="single" w:color="000000" w:sz="4" w:space="0"/>
              <w:right w:val="single" w:color="auto" w:sz="4" w:space="0"/>
            </w:tcBorders>
            <w:shd w:val="clear" w:color="auto" w:fill="auto"/>
            <w:vAlign w:val="center"/>
          </w:tcPr>
          <w:p w14:paraId="02B6C6D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1108" w:type="dxa"/>
            <w:vMerge w:val="continue"/>
            <w:tcBorders>
              <w:left w:val="single" w:color="auto" w:sz="4" w:space="0"/>
              <w:right w:val="single" w:color="auto" w:sz="4" w:space="0"/>
            </w:tcBorders>
            <w:shd w:val="clear" w:color="auto" w:fill="auto"/>
            <w:vAlign w:val="center"/>
          </w:tcPr>
          <w:p w14:paraId="42DCF78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983" w:type="dxa"/>
            <w:vMerge w:val="continue"/>
            <w:tcBorders>
              <w:left w:val="single" w:color="auto" w:sz="4" w:space="0"/>
              <w:right w:val="single" w:color="auto" w:sz="4" w:space="0"/>
            </w:tcBorders>
            <w:shd w:val="clear" w:color="auto" w:fill="auto"/>
            <w:vAlign w:val="center"/>
          </w:tcPr>
          <w:p w14:paraId="193F257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r>
      <w:tr w14:paraId="55472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483" w:type="dxa"/>
            <w:vMerge w:val="continue"/>
            <w:tcBorders>
              <w:left w:val="single" w:color="000000" w:sz="4" w:space="0"/>
              <w:right w:val="single" w:color="000000" w:sz="4" w:space="0"/>
            </w:tcBorders>
            <w:shd w:val="clear" w:color="auto" w:fill="auto"/>
            <w:vAlign w:val="center"/>
          </w:tcPr>
          <w:p w14:paraId="40CAD8F7">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6F46F4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eastAsia="zh-CN"/>
              </w:rPr>
              <w:t>水稻、水稻制种、油菜、玉米、育肥猪、能分母猪</w:t>
            </w:r>
          </w:p>
        </w:tc>
        <w:tc>
          <w:tcPr>
            <w:tcW w:w="1316" w:type="dxa"/>
            <w:tcBorders>
              <w:top w:val="single" w:color="auto" w:sz="4" w:space="0"/>
              <w:left w:val="single" w:color="000000" w:sz="4" w:space="0"/>
              <w:bottom w:val="single" w:color="auto" w:sz="4" w:space="0"/>
              <w:right w:val="single" w:color="000000" w:sz="4" w:space="0"/>
            </w:tcBorders>
            <w:shd w:val="clear" w:color="auto" w:fill="auto"/>
            <w:vAlign w:val="center"/>
          </w:tcPr>
          <w:p w14:paraId="2B009251">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1851628.47 </w:t>
            </w:r>
          </w:p>
        </w:tc>
        <w:tc>
          <w:tcPr>
            <w:tcW w:w="1334" w:type="dxa"/>
            <w:vMerge w:val="continue"/>
            <w:tcBorders>
              <w:left w:val="single" w:color="000000" w:sz="4" w:space="0"/>
              <w:right w:val="single" w:color="000000" w:sz="4" w:space="0"/>
            </w:tcBorders>
            <w:shd w:val="clear" w:color="auto" w:fill="auto"/>
            <w:vAlign w:val="center"/>
          </w:tcPr>
          <w:p w14:paraId="44770C92">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p>
        </w:tc>
        <w:tc>
          <w:tcPr>
            <w:tcW w:w="975" w:type="dxa"/>
            <w:tcBorders>
              <w:top w:val="single" w:color="auto" w:sz="4" w:space="0"/>
              <w:left w:val="single" w:color="000000" w:sz="4" w:space="0"/>
              <w:bottom w:val="single" w:color="auto" w:sz="4" w:space="0"/>
              <w:right w:val="single" w:color="000000" w:sz="4" w:space="0"/>
            </w:tcBorders>
            <w:shd w:val="clear" w:color="auto" w:fill="auto"/>
            <w:vAlign w:val="center"/>
          </w:tcPr>
          <w:p w14:paraId="41362B9A">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洗马乡</w:t>
            </w:r>
          </w:p>
        </w:tc>
        <w:tc>
          <w:tcPr>
            <w:tcW w:w="1167" w:type="dxa"/>
            <w:vMerge w:val="continue"/>
            <w:tcBorders>
              <w:left w:val="single" w:color="000000" w:sz="4" w:space="0"/>
              <w:right w:val="single" w:color="auto" w:sz="4" w:space="0"/>
            </w:tcBorders>
            <w:shd w:val="clear" w:color="auto" w:fill="auto"/>
            <w:vAlign w:val="center"/>
          </w:tcPr>
          <w:p w14:paraId="22447E3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1108" w:type="dxa"/>
            <w:vMerge w:val="continue"/>
            <w:tcBorders>
              <w:left w:val="single" w:color="auto" w:sz="4" w:space="0"/>
              <w:right w:val="single" w:color="auto" w:sz="4" w:space="0"/>
            </w:tcBorders>
            <w:shd w:val="clear" w:color="auto" w:fill="auto"/>
            <w:vAlign w:val="center"/>
          </w:tcPr>
          <w:p w14:paraId="024D693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983" w:type="dxa"/>
            <w:vMerge w:val="continue"/>
            <w:tcBorders>
              <w:left w:val="single" w:color="auto" w:sz="4" w:space="0"/>
              <w:right w:val="single" w:color="auto" w:sz="4" w:space="0"/>
            </w:tcBorders>
            <w:shd w:val="clear" w:color="auto" w:fill="auto"/>
            <w:vAlign w:val="center"/>
          </w:tcPr>
          <w:p w14:paraId="2126C15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r>
      <w:tr w14:paraId="00862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483" w:type="dxa"/>
            <w:vMerge w:val="continue"/>
            <w:tcBorders>
              <w:left w:val="single" w:color="000000" w:sz="4" w:space="0"/>
              <w:bottom w:val="single" w:color="000000" w:sz="4" w:space="0"/>
              <w:right w:val="single" w:color="000000" w:sz="4" w:space="0"/>
            </w:tcBorders>
            <w:shd w:val="clear" w:color="auto" w:fill="auto"/>
            <w:vAlign w:val="center"/>
          </w:tcPr>
          <w:p w14:paraId="437F672E">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A8F842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eastAsia="zh-CN"/>
              </w:rPr>
              <w:t>水稻、水稻制种、油菜、玉米、育肥猪、能分母猪</w:t>
            </w:r>
          </w:p>
        </w:tc>
        <w:tc>
          <w:tcPr>
            <w:tcW w:w="1316" w:type="dxa"/>
            <w:tcBorders>
              <w:top w:val="single" w:color="auto" w:sz="4" w:space="0"/>
              <w:left w:val="single" w:color="000000" w:sz="4" w:space="0"/>
              <w:bottom w:val="single" w:color="auto" w:sz="4" w:space="0"/>
              <w:right w:val="single" w:color="000000" w:sz="4" w:space="0"/>
            </w:tcBorders>
            <w:shd w:val="clear" w:color="auto" w:fill="auto"/>
            <w:vAlign w:val="center"/>
          </w:tcPr>
          <w:p w14:paraId="64876F3E">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1205667.96 </w:t>
            </w:r>
          </w:p>
        </w:tc>
        <w:tc>
          <w:tcPr>
            <w:tcW w:w="1334" w:type="dxa"/>
            <w:vMerge w:val="continue"/>
            <w:tcBorders>
              <w:left w:val="single" w:color="000000" w:sz="4" w:space="0"/>
              <w:right w:val="single" w:color="000000" w:sz="4" w:space="0"/>
            </w:tcBorders>
            <w:shd w:val="clear" w:color="auto" w:fill="auto"/>
            <w:vAlign w:val="center"/>
          </w:tcPr>
          <w:p w14:paraId="47158F9D">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p>
        </w:tc>
        <w:tc>
          <w:tcPr>
            <w:tcW w:w="975" w:type="dxa"/>
            <w:tcBorders>
              <w:top w:val="single" w:color="auto" w:sz="4" w:space="0"/>
              <w:left w:val="single" w:color="000000" w:sz="4" w:space="0"/>
              <w:bottom w:val="single" w:color="auto" w:sz="4" w:space="0"/>
              <w:right w:val="single" w:color="000000" w:sz="4" w:space="0"/>
            </w:tcBorders>
            <w:shd w:val="clear" w:color="auto" w:fill="auto"/>
            <w:vAlign w:val="center"/>
          </w:tcPr>
          <w:p w14:paraId="39C878F9">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茅渡乡</w:t>
            </w:r>
          </w:p>
        </w:tc>
        <w:tc>
          <w:tcPr>
            <w:tcW w:w="1167" w:type="dxa"/>
            <w:vMerge w:val="continue"/>
            <w:tcBorders>
              <w:left w:val="single" w:color="000000" w:sz="4" w:space="0"/>
              <w:right w:val="single" w:color="auto" w:sz="4" w:space="0"/>
            </w:tcBorders>
            <w:shd w:val="clear" w:color="auto" w:fill="auto"/>
            <w:vAlign w:val="center"/>
          </w:tcPr>
          <w:p w14:paraId="2C968FB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1108" w:type="dxa"/>
            <w:vMerge w:val="continue"/>
            <w:tcBorders>
              <w:left w:val="single" w:color="auto" w:sz="4" w:space="0"/>
              <w:right w:val="single" w:color="auto" w:sz="4" w:space="0"/>
            </w:tcBorders>
            <w:shd w:val="clear" w:color="auto" w:fill="auto"/>
            <w:vAlign w:val="center"/>
          </w:tcPr>
          <w:p w14:paraId="505480B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983" w:type="dxa"/>
            <w:vMerge w:val="continue"/>
            <w:tcBorders>
              <w:left w:val="single" w:color="auto" w:sz="4" w:space="0"/>
              <w:right w:val="single" w:color="auto" w:sz="4" w:space="0"/>
            </w:tcBorders>
            <w:shd w:val="clear" w:color="auto" w:fill="auto"/>
            <w:vAlign w:val="center"/>
          </w:tcPr>
          <w:p w14:paraId="61B5047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r>
      <w:tr w14:paraId="29BA9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483" w:type="dxa"/>
            <w:vMerge w:val="continue"/>
            <w:tcBorders>
              <w:left w:val="single" w:color="000000" w:sz="4" w:space="0"/>
              <w:bottom w:val="single" w:color="000000" w:sz="4" w:space="0"/>
              <w:right w:val="single" w:color="000000" w:sz="4" w:space="0"/>
            </w:tcBorders>
            <w:shd w:val="clear" w:color="auto" w:fill="auto"/>
            <w:vAlign w:val="center"/>
          </w:tcPr>
          <w:p w14:paraId="06F1F6C9">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54835BB6">
            <w:pPr>
              <w:keepNext w:val="0"/>
              <w:keepLines w:val="0"/>
              <w:widowControl/>
              <w:suppressLineNumbers w:val="0"/>
              <w:jc w:val="center"/>
              <w:textAlignment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水稻、水稻制种、油菜、玉米、育肥猪、能分母猪</w:t>
            </w:r>
          </w:p>
        </w:tc>
        <w:tc>
          <w:tcPr>
            <w:tcW w:w="1316" w:type="dxa"/>
            <w:tcBorders>
              <w:top w:val="single" w:color="auto" w:sz="4" w:space="0"/>
              <w:left w:val="single" w:color="000000" w:sz="4" w:space="0"/>
              <w:bottom w:val="single" w:color="auto" w:sz="4" w:space="0"/>
              <w:right w:val="single" w:color="000000" w:sz="4" w:space="0"/>
            </w:tcBorders>
            <w:shd w:val="clear" w:color="auto" w:fill="auto"/>
            <w:vAlign w:val="center"/>
          </w:tcPr>
          <w:p w14:paraId="602ABB5E">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315912.20 </w:t>
            </w:r>
          </w:p>
        </w:tc>
        <w:tc>
          <w:tcPr>
            <w:tcW w:w="1334" w:type="dxa"/>
            <w:vMerge w:val="continue"/>
            <w:tcBorders>
              <w:left w:val="single" w:color="000000" w:sz="4" w:space="0"/>
              <w:right w:val="single" w:color="000000" w:sz="4" w:space="0"/>
            </w:tcBorders>
            <w:shd w:val="clear" w:color="auto" w:fill="auto"/>
            <w:vAlign w:val="center"/>
          </w:tcPr>
          <w:p w14:paraId="722597F1">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p>
        </w:tc>
        <w:tc>
          <w:tcPr>
            <w:tcW w:w="975" w:type="dxa"/>
            <w:tcBorders>
              <w:top w:val="single" w:color="auto" w:sz="4" w:space="0"/>
              <w:left w:val="single" w:color="000000" w:sz="4" w:space="0"/>
              <w:bottom w:val="single" w:color="auto" w:sz="4" w:space="0"/>
              <w:right w:val="single" w:color="000000" w:sz="4" w:space="0"/>
            </w:tcBorders>
            <w:shd w:val="clear" w:color="auto" w:fill="auto"/>
            <w:vAlign w:val="center"/>
          </w:tcPr>
          <w:p w14:paraId="11F64E8E">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群峰乡</w:t>
            </w:r>
          </w:p>
        </w:tc>
        <w:tc>
          <w:tcPr>
            <w:tcW w:w="1167" w:type="dxa"/>
            <w:vMerge w:val="continue"/>
            <w:tcBorders>
              <w:left w:val="single" w:color="000000" w:sz="4" w:space="0"/>
              <w:right w:val="single" w:color="auto" w:sz="4" w:space="0"/>
            </w:tcBorders>
            <w:shd w:val="clear" w:color="auto" w:fill="auto"/>
            <w:vAlign w:val="center"/>
          </w:tcPr>
          <w:p w14:paraId="597C7FD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1108" w:type="dxa"/>
            <w:vMerge w:val="continue"/>
            <w:tcBorders>
              <w:left w:val="single" w:color="auto" w:sz="4" w:space="0"/>
              <w:right w:val="single" w:color="auto" w:sz="4" w:space="0"/>
            </w:tcBorders>
            <w:shd w:val="clear" w:color="auto" w:fill="auto"/>
            <w:vAlign w:val="center"/>
          </w:tcPr>
          <w:p w14:paraId="2C28A92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983" w:type="dxa"/>
            <w:vMerge w:val="continue"/>
            <w:tcBorders>
              <w:left w:val="single" w:color="auto" w:sz="4" w:space="0"/>
              <w:right w:val="single" w:color="auto" w:sz="4" w:space="0"/>
            </w:tcBorders>
            <w:shd w:val="clear" w:color="auto" w:fill="auto"/>
            <w:vAlign w:val="center"/>
          </w:tcPr>
          <w:p w14:paraId="3681866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r>
      <w:tr w14:paraId="42BB8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483" w:type="dxa"/>
            <w:vMerge w:val="continue"/>
            <w:tcBorders>
              <w:left w:val="single" w:color="000000" w:sz="4" w:space="0"/>
              <w:bottom w:val="single" w:color="000000" w:sz="4" w:space="0"/>
              <w:right w:val="single" w:color="000000" w:sz="4" w:space="0"/>
            </w:tcBorders>
            <w:shd w:val="clear" w:color="auto" w:fill="auto"/>
            <w:vAlign w:val="center"/>
          </w:tcPr>
          <w:p w14:paraId="7486B994">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DB5602D">
            <w:pPr>
              <w:keepNext w:val="0"/>
              <w:keepLines w:val="0"/>
              <w:widowControl/>
              <w:suppressLineNumbers w:val="0"/>
              <w:jc w:val="center"/>
              <w:textAlignment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水稻、水稻制种、油菜、玉米、育肥猪、能分母猪</w:t>
            </w:r>
          </w:p>
        </w:tc>
        <w:tc>
          <w:tcPr>
            <w:tcW w:w="1316" w:type="dxa"/>
            <w:tcBorders>
              <w:top w:val="single" w:color="auto" w:sz="4" w:space="0"/>
              <w:left w:val="single" w:color="000000" w:sz="4" w:space="0"/>
              <w:bottom w:val="single" w:color="000000" w:sz="4" w:space="0"/>
              <w:right w:val="single" w:color="000000" w:sz="4" w:space="0"/>
            </w:tcBorders>
            <w:shd w:val="clear" w:color="auto" w:fill="auto"/>
            <w:vAlign w:val="center"/>
          </w:tcPr>
          <w:p w14:paraId="0FE04280">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115006.50 </w:t>
            </w:r>
          </w:p>
        </w:tc>
        <w:tc>
          <w:tcPr>
            <w:tcW w:w="1334" w:type="dxa"/>
            <w:vMerge w:val="continue"/>
            <w:tcBorders>
              <w:left w:val="single" w:color="000000" w:sz="4" w:space="0"/>
              <w:bottom w:val="single" w:color="000000" w:sz="4" w:space="0"/>
              <w:right w:val="single" w:color="000000" w:sz="4" w:space="0"/>
            </w:tcBorders>
            <w:shd w:val="clear" w:color="auto" w:fill="auto"/>
            <w:vAlign w:val="center"/>
          </w:tcPr>
          <w:p w14:paraId="376BBC9F">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p>
        </w:tc>
        <w:tc>
          <w:tcPr>
            <w:tcW w:w="975" w:type="dxa"/>
            <w:tcBorders>
              <w:top w:val="single" w:color="auto" w:sz="4" w:space="0"/>
              <w:left w:val="single" w:color="000000" w:sz="4" w:space="0"/>
              <w:bottom w:val="single" w:color="000000" w:sz="4" w:space="0"/>
              <w:right w:val="single" w:color="000000" w:sz="4" w:space="0"/>
            </w:tcBorders>
            <w:shd w:val="clear" w:color="auto" w:fill="auto"/>
            <w:vAlign w:val="center"/>
          </w:tcPr>
          <w:p w14:paraId="7E68A07E">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大崇乡</w:t>
            </w:r>
          </w:p>
        </w:tc>
        <w:tc>
          <w:tcPr>
            <w:tcW w:w="1167" w:type="dxa"/>
            <w:vMerge w:val="continue"/>
            <w:tcBorders>
              <w:left w:val="single" w:color="000000" w:sz="4" w:space="0"/>
              <w:bottom w:val="single" w:color="000000" w:sz="4" w:space="0"/>
              <w:right w:val="single" w:color="auto" w:sz="4" w:space="0"/>
            </w:tcBorders>
            <w:shd w:val="clear" w:color="auto" w:fill="auto"/>
            <w:vAlign w:val="center"/>
          </w:tcPr>
          <w:p w14:paraId="1505E77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1108" w:type="dxa"/>
            <w:vMerge w:val="continue"/>
            <w:tcBorders>
              <w:left w:val="single" w:color="auto" w:sz="4" w:space="0"/>
              <w:bottom w:val="single" w:color="auto" w:sz="4" w:space="0"/>
              <w:right w:val="single" w:color="auto" w:sz="4" w:space="0"/>
            </w:tcBorders>
            <w:shd w:val="clear" w:color="auto" w:fill="auto"/>
            <w:vAlign w:val="center"/>
          </w:tcPr>
          <w:p w14:paraId="3B40CA8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983" w:type="dxa"/>
            <w:vMerge w:val="continue"/>
            <w:tcBorders>
              <w:left w:val="single" w:color="auto" w:sz="4" w:space="0"/>
              <w:bottom w:val="single" w:color="auto" w:sz="4" w:space="0"/>
              <w:right w:val="single" w:color="auto" w:sz="4" w:space="0"/>
            </w:tcBorders>
            <w:shd w:val="clear" w:color="auto" w:fill="auto"/>
            <w:vAlign w:val="center"/>
          </w:tcPr>
          <w:p w14:paraId="526C453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r>
      <w:tr w14:paraId="01EEA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483" w:type="dxa"/>
            <w:vMerge w:val="restart"/>
            <w:tcBorders>
              <w:top w:val="single" w:color="000000" w:sz="4" w:space="0"/>
              <w:left w:val="single" w:color="000000" w:sz="4" w:space="0"/>
              <w:right w:val="single" w:color="000000" w:sz="4" w:space="0"/>
            </w:tcBorders>
            <w:shd w:val="clear" w:color="auto" w:fill="auto"/>
            <w:vAlign w:val="center"/>
          </w:tcPr>
          <w:p w14:paraId="0F4EB75C">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包2</w:t>
            </w:r>
          </w:p>
        </w:tc>
        <w:tc>
          <w:tcPr>
            <w:tcW w:w="2467" w:type="dxa"/>
            <w:tcBorders>
              <w:top w:val="single" w:color="000000" w:sz="4" w:space="0"/>
              <w:left w:val="single" w:color="000000" w:sz="4" w:space="0"/>
              <w:bottom w:val="single" w:color="auto" w:sz="4" w:space="0"/>
              <w:right w:val="single" w:color="000000" w:sz="4" w:space="0"/>
            </w:tcBorders>
            <w:shd w:val="clear" w:color="auto" w:fill="auto"/>
            <w:vAlign w:val="center"/>
          </w:tcPr>
          <w:p w14:paraId="1C71AF9F">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316" w:type="dxa"/>
            <w:tcBorders>
              <w:top w:val="single" w:color="000000" w:sz="4" w:space="0"/>
              <w:left w:val="single" w:color="000000" w:sz="4" w:space="0"/>
              <w:bottom w:val="single" w:color="auto" w:sz="4" w:space="0"/>
              <w:right w:val="single" w:color="000000" w:sz="4" w:space="0"/>
            </w:tcBorders>
            <w:shd w:val="clear" w:color="auto" w:fill="auto"/>
            <w:vAlign w:val="center"/>
          </w:tcPr>
          <w:p w14:paraId="63286382">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566041.62 </w:t>
            </w:r>
          </w:p>
        </w:tc>
        <w:tc>
          <w:tcPr>
            <w:tcW w:w="1334" w:type="dxa"/>
            <w:vMerge w:val="restart"/>
            <w:tcBorders>
              <w:top w:val="single" w:color="000000" w:sz="4" w:space="0"/>
              <w:left w:val="single" w:color="000000" w:sz="4" w:space="0"/>
              <w:right w:val="single" w:color="000000" w:sz="4" w:space="0"/>
            </w:tcBorders>
            <w:shd w:val="clear" w:color="auto" w:fill="auto"/>
            <w:vAlign w:val="center"/>
          </w:tcPr>
          <w:p w14:paraId="1143E4E2">
            <w:pPr>
              <w:keepNext w:val="0"/>
              <w:keepLines w:val="0"/>
              <w:widowControl/>
              <w:suppressLineNumbers w:val="0"/>
              <w:jc w:val="center"/>
              <w:textAlignment w:val="center"/>
              <w:rPr>
                <w:rFonts w:hint="default" w:ascii="宋体" w:hAnsi="宋体" w:eastAsia="宋体" w:cs="宋体"/>
                <w:b w:val="0"/>
                <w:bCs w:val="0"/>
                <w:i w:val="0"/>
                <w:iCs w:val="0"/>
                <w:color w:val="000000"/>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3279481.44 </w:t>
            </w:r>
          </w:p>
        </w:tc>
        <w:tc>
          <w:tcPr>
            <w:tcW w:w="975" w:type="dxa"/>
            <w:tcBorders>
              <w:top w:val="single" w:color="000000" w:sz="4" w:space="0"/>
              <w:left w:val="single" w:color="000000" w:sz="4" w:space="0"/>
              <w:bottom w:val="single" w:color="auto" w:sz="4" w:space="0"/>
              <w:right w:val="single" w:color="000000" w:sz="4" w:space="0"/>
            </w:tcBorders>
            <w:shd w:val="clear" w:color="auto" w:fill="auto"/>
            <w:vAlign w:val="center"/>
          </w:tcPr>
          <w:p w14:paraId="35B4B320">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熟坪乡</w:t>
            </w:r>
          </w:p>
        </w:tc>
        <w:tc>
          <w:tcPr>
            <w:tcW w:w="1167" w:type="dxa"/>
            <w:vMerge w:val="restart"/>
            <w:tcBorders>
              <w:top w:val="single" w:color="000000" w:sz="4" w:space="0"/>
              <w:left w:val="single" w:color="000000" w:sz="4" w:space="0"/>
              <w:right w:val="single" w:color="000000" w:sz="4" w:space="0"/>
            </w:tcBorders>
            <w:shd w:val="clear" w:color="auto" w:fill="auto"/>
            <w:vAlign w:val="center"/>
          </w:tcPr>
          <w:p w14:paraId="3937182A">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无森林险</w:t>
            </w:r>
          </w:p>
        </w:tc>
        <w:tc>
          <w:tcPr>
            <w:tcW w:w="1108" w:type="dxa"/>
            <w:vMerge w:val="restart"/>
            <w:tcBorders>
              <w:top w:val="single" w:color="auto" w:sz="4" w:space="0"/>
              <w:left w:val="single" w:color="000000" w:sz="4" w:space="0"/>
              <w:right w:val="single" w:color="000000" w:sz="4" w:space="0"/>
            </w:tcBorders>
            <w:shd w:val="clear" w:color="auto" w:fill="auto"/>
            <w:vAlign w:val="center"/>
          </w:tcPr>
          <w:p w14:paraId="7F3A2C9A">
            <w:pPr>
              <w:jc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0</w:t>
            </w:r>
          </w:p>
        </w:tc>
        <w:tc>
          <w:tcPr>
            <w:tcW w:w="983" w:type="dxa"/>
            <w:vMerge w:val="restart"/>
            <w:tcBorders>
              <w:top w:val="single" w:color="auto" w:sz="4" w:space="0"/>
              <w:left w:val="single" w:color="000000" w:sz="4" w:space="0"/>
              <w:right w:val="single" w:color="000000" w:sz="4" w:space="0"/>
            </w:tcBorders>
            <w:shd w:val="clear" w:color="auto" w:fill="auto"/>
            <w:vAlign w:val="center"/>
          </w:tcPr>
          <w:p w14:paraId="551E7135">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包</w:t>
            </w: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：保费预计327.9万元左右占比20%左右</w:t>
            </w:r>
          </w:p>
        </w:tc>
      </w:tr>
      <w:tr w14:paraId="4EA6F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 w:hRule="atLeast"/>
        </w:trPr>
        <w:tc>
          <w:tcPr>
            <w:tcW w:w="483" w:type="dxa"/>
            <w:vMerge w:val="continue"/>
            <w:tcBorders>
              <w:left w:val="single" w:color="000000" w:sz="4" w:space="0"/>
              <w:bottom w:val="single" w:color="000000" w:sz="4" w:space="0"/>
              <w:right w:val="single" w:color="000000" w:sz="4" w:space="0"/>
            </w:tcBorders>
            <w:shd w:val="clear" w:color="auto" w:fill="auto"/>
            <w:vAlign w:val="center"/>
          </w:tcPr>
          <w:p w14:paraId="3836FB3A">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bottom w:val="single" w:color="auto" w:sz="4" w:space="0"/>
              <w:right w:val="single" w:color="000000" w:sz="4" w:space="0"/>
            </w:tcBorders>
            <w:shd w:val="clear" w:color="auto" w:fill="auto"/>
            <w:vAlign w:val="center"/>
          </w:tcPr>
          <w:p w14:paraId="72632438">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316" w:type="dxa"/>
            <w:tcBorders>
              <w:top w:val="single" w:color="auto" w:sz="4" w:space="0"/>
              <w:left w:val="single" w:color="000000" w:sz="4" w:space="0"/>
              <w:bottom w:val="single" w:color="auto" w:sz="4" w:space="0"/>
              <w:right w:val="single" w:color="000000" w:sz="4" w:space="0"/>
            </w:tcBorders>
            <w:shd w:val="clear" w:color="auto" w:fill="auto"/>
            <w:vAlign w:val="center"/>
          </w:tcPr>
          <w:p w14:paraId="24E72A61">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1426976.29 </w:t>
            </w:r>
          </w:p>
        </w:tc>
        <w:tc>
          <w:tcPr>
            <w:tcW w:w="1334" w:type="dxa"/>
            <w:vMerge w:val="continue"/>
            <w:tcBorders>
              <w:left w:val="single" w:color="000000" w:sz="4" w:space="0"/>
              <w:right w:val="single" w:color="000000" w:sz="4" w:space="0"/>
            </w:tcBorders>
            <w:shd w:val="clear" w:color="auto" w:fill="auto"/>
            <w:vAlign w:val="center"/>
          </w:tcPr>
          <w:p w14:paraId="7274F4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975" w:type="dxa"/>
            <w:tcBorders>
              <w:top w:val="single" w:color="auto" w:sz="4" w:space="0"/>
              <w:left w:val="single" w:color="000000" w:sz="4" w:space="0"/>
              <w:bottom w:val="single" w:color="auto" w:sz="4" w:space="0"/>
              <w:right w:val="single" w:color="000000" w:sz="4" w:space="0"/>
            </w:tcBorders>
            <w:shd w:val="clear" w:color="auto" w:fill="auto"/>
            <w:vAlign w:val="center"/>
          </w:tcPr>
          <w:p w14:paraId="2016E7B7">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江市镇</w:t>
            </w:r>
          </w:p>
        </w:tc>
        <w:tc>
          <w:tcPr>
            <w:tcW w:w="1167" w:type="dxa"/>
            <w:vMerge w:val="continue"/>
            <w:tcBorders>
              <w:left w:val="single" w:color="000000" w:sz="4" w:space="0"/>
              <w:right w:val="single" w:color="000000" w:sz="4" w:space="0"/>
            </w:tcBorders>
            <w:shd w:val="clear" w:color="auto" w:fill="auto"/>
            <w:vAlign w:val="center"/>
          </w:tcPr>
          <w:p w14:paraId="07A473BF">
            <w:pPr>
              <w:jc w:val="center"/>
              <w:rPr>
                <w:rFonts w:hint="eastAsia" w:ascii="宋体" w:hAnsi="宋体" w:eastAsia="宋体" w:cs="宋体"/>
                <w:i w:val="0"/>
                <w:iCs w:val="0"/>
                <w:color w:val="auto"/>
                <w:sz w:val="18"/>
                <w:szCs w:val="18"/>
                <w:u w:val="none"/>
              </w:rPr>
            </w:pPr>
          </w:p>
        </w:tc>
        <w:tc>
          <w:tcPr>
            <w:tcW w:w="1108" w:type="dxa"/>
            <w:vMerge w:val="continue"/>
            <w:tcBorders>
              <w:left w:val="single" w:color="000000" w:sz="4" w:space="0"/>
              <w:right w:val="single" w:color="000000" w:sz="4" w:space="0"/>
            </w:tcBorders>
            <w:shd w:val="clear" w:color="auto" w:fill="auto"/>
            <w:vAlign w:val="center"/>
          </w:tcPr>
          <w:p w14:paraId="7CE61C63">
            <w:pPr>
              <w:jc w:val="center"/>
              <w:rPr>
                <w:rFonts w:hint="eastAsia" w:ascii="宋体" w:hAnsi="宋体" w:eastAsia="宋体" w:cs="宋体"/>
                <w:i w:val="0"/>
                <w:iCs w:val="0"/>
                <w:color w:val="auto"/>
                <w:sz w:val="18"/>
                <w:szCs w:val="18"/>
                <w:u w:val="none"/>
              </w:rPr>
            </w:pPr>
          </w:p>
        </w:tc>
        <w:tc>
          <w:tcPr>
            <w:tcW w:w="983" w:type="dxa"/>
            <w:vMerge w:val="continue"/>
            <w:tcBorders>
              <w:left w:val="single" w:color="000000" w:sz="4" w:space="0"/>
              <w:right w:val="single" w:color="000000" w:sz="4" w:space="0"/>
            </w:tcBorders>
            <w:shd w:val="clear" w:color="auto" w:fill="auto"/>
            <w:vAlign w:val="center"/>
          </w:tcPr>
          <w:p w14:paraId="468F2B23">
            <w:pPr>
              <w:jc w:val="center"/>
              <w:rPr>
                <w:rFonts w:hint="eastAsia" w:ascii="宋体" w:hAnsi="宋体" w:eastAsia="宋体" w:cs="宋体"/>
                <w:i w:val="0"/>
                <w:iCs w:val="0"/>
                <w:color w:val="auto"/>
                <w:sz w:val="18"/>
                <w:szCs w:val="18"/>
                <w:u w:val="none"/>
              </w:rPr>
            </w:pPr>
          </w:p>
        </w:tc>
      </w:tr>
      <w:tr w14:paraId="38C8D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83" w:type="dxa"/>
            <w:vMerge w:val="continue"/>
            <w:tcBorders>
              <w:left w:val="single" w:color="000000" w:sz="4" w:space="0"/>
              <w:bottom w:val="single" w:color="000000" w:sz="4" w:space="0"/>
              <w:right w:val="single" w:color="000000" w:sz="4" w:space="0"/>
            </w:tcBorders>
            <w:shd w:val="clear" w:color="auto" w:fill="auto"/>
            <w:vAlign w:val="center"/>
          </w:tcPr>
          <w:p w14:paraId="59EA219F">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bottom w:val="single" w:color="auto" w:sz="4" w:space="0"/>
              <w:right w:val="single" w:color="000000" w:sz="4" w:space="0"/>
            </w:tcBorders>
            <w:shd w:val="clear" w:color="auto" w:fill="auto"/>
            <w:vAlign w:val="center"/>
          </w:tcPr>
          <w:p w14:paraId="761723E1">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316" w:type="dxa"/>
            <w:tcBorders>
              <w:top w:val="single" w:color="auto" w:sz="4" w:space="0"/>
              <w:left w:val="single" w:color="000000" w:sz="4" w:space="0"/>
              <w:bottom w:val="single" w:color="auto" w:sz="4" w:space="0"/>
              <w:right w:val="single" w:color="000000" w:sz="4" w:space="0"/>
            </w:tcBorders>
            <w:shd w:val="clear" w:color="auto" w:fill="auto"/>
            <w:vAlign w:val="center"/>
          </w:tcPr>
          <w:p w14:paraId="4DF8408C">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753805.24 </w:t>
            </w:r>
          </w:p>
        </w:tc>
        <w:tc>
          <w:tcPr>
            <w:tcW w:w="1334" w:type="dxa"/>
            <w:vMerge w:val="continue"/>
            <w:tcBorders>
              <w:left w:val="single" w:color="000000" w:sz="4" w:space="0"/>
              <w:right w:val="single" w:color="000000" w:sz="4" w:space="0"/>
            </w:tcBorders>
            <w:shd w:val="clear" w:color="auto" w:fill="auto"/>
            <w:vAlign w:val="center"/>
          </w:tcPr>
          <w:p w14:paraId="67E0A88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975" w:type="dxa"/>
            <w:tcBorders>
              <w:top w:val="single" w:color="auto" w:sz="4" w:space="0"/>
              <w:left w:val="single" w:color="000000" w:sz="4" w:space="0"/>
              <w:bottom w:val="single" w:color="auto" w:sz="4" w:space="0"/>
              <w:right w:val="single" w:color="000000" w:sz="4" w:space="0"/>
            </w:tcBorders>
            <w:shd w:val="clear" w:color="auto" w:fill="auto"/>
            <w:vAlign w:val="center"/>
          </w:tcPr>
          <w:p w14:paraId="1B14C006">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龙船塘</w:t>
            </w:r>
          </w:p>
        </w:tc>
        <w:tc>
          <w:tcPr>
            <w:tcW w:w="1167" w:type="dxa"/>
            <w:vMerge w:val="continue"/>
            <w:tcBorders>
              <w:left w:val="single" w:color="000000" w:sz="4" w:space="0"/>
              <w:right w:val="single" w:color="000000" w:sz="4" w:space="0"/>
            </w:tcBorders>
            <w:shd w:val="clear" w:color="auto" w:fill="auto"/>
            <w:vAlign w:val="center"/>
          </w:tcPr>
          <w:p w14:paraId="090C42A4">
            <w:pPr>
              <w:jc w:val="center"/>
              <w:rPr>
                <w:rFonts w:hint="eastAsia" w:ascii="宋体" w:hAnsi="宋体" w:eastAsia="宋体" w:cs="宋体"/>
                <w:i w:val="0"/>
                <w:iCs w:val="0"/>
                <w:color w:val="auto"/>
                <w:sz w:val="18"/>
                <w:szCs w:val="18"/>
                <w:u w:val="none"/>
              </w:rPr>
            </w:pPr>
          </w:p>
        </w:tc>
        <w:tc>
          <w:tcPr>
            <w:tcW w:w="1108" w:type="dxa"/>
            <w:vMerge w:val="continue"/>
            <w:tcBorders>
              <w:left w:val="single" w:color="000000" w:sz="4" w:space="0"/>
              <w:right w:val="single" w:color="000000" w:sz="4" w:space="0"/>
            </w:tcBorders>
            <w:shd w:val="clear" w:color="auto" w:fill="auto"/>
            <w:vAlign w:val="center"/>
          </w:tcPr>
          <w:p w14:paraId="2F67D932">
            <w:pPr>
              <w:jc w:val="center"/>
              <w:rPr>
                <w:rFonts w:hint="eastAsia" w:ascii="宋体" w:hAnsi="宋体" w:eastAsia="宋体" w:cs="宋体"/>
                <w:i w:val="0"/>
                <w:iCs w:val="0"/>
                <w:color w:val="auto"/>
                <w:sz w:val="18"/>
                <w:szCs w:val="18"/>
                <w:u w:val="none"/>
              </w:rPr>
            </w:pPr>
          </w:p>
        </w:tc>
        <w:tc>
          <w:tcPr>
            <w:tcW w:w="983" w:type="dxa"/>
            <w:vMerge w:val="continue"/>
            <w:tcBorders>
              <w:left w:val="single" w:color="000000" w:sz="4" w:space="0"/>
              <w:right w:val="single" w:color="000000" w:sz="4" w:space="0"/>
            </w:tcBorders>
            <w:shd w:val="clear" w:color="auto" w:fill="auto"/>
            <w:vAlign w:val="center"/>
          </w:tcPr>
          <w:p w14:paraId="3FD65E3C">
            <w:pPr>
              <w:jc w:val="center"/>
              <w:rPr>
                <w:rFonts w:hint="eastAsia" w:ascii="宋体" w:hAnsi="宋体" w:eastAsia="宋体" w:cs="宋体"/>
                <w:i w:val="0"/>
                <w:iCs w:val="0"/>
                <w:color w:val="auto"/>
                <w:sz w:val="18"/>
                <w:szCs w:val="18"/>
                <w:u w:val="none"/>
              </w:rPr>
            </w:pPr>
          </w:p>
        </w:tc>
      </w:tr>
      <w:tr w14:paraId="5E7E4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483" w:type="dxa"/>
            <w:vMerge w:val="continue"/>
            <w:tcBorders>
              <w:left w:val="single" w:color="000000" w:sz="4" w:space="0"/>
              <w:bottom w:val="single" w:color="000000" w:sz="4" w:space="0"/>
              <w:right w:val="single" w:color="000000" w:sz="4" w:space="0"/>
            </w:tcBorders>
            <w:shd w:val="clear" w:color="auto" w:fill="auto"/>
            <w:vAlign w:val="center"/>
          </w:tcPr>
          <w:p w14:paraId="25A98DC4">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bottom w:val="single" w:color="auto" w:sz="4" w:space="0"/>
              <w:right w:val="single" w:color="000000" w:sz="4" w:space="0"/>
            </w:tcBorders>
            <w:shd w:val="clear" w:color="auto" w:fill="auto"/>
            <w:vAlign w:val="center"/>
          </w:tcPr>
          <w:p w14:paraId="31189B56">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316" w:type="dxa"/>
            <w:tcBorders>
              <w:top w:val="single" w:color="auto" w:sz="4" w:space="0"/>
              <w:left w:val="single" w:color="000000" w:sz="4" w:space="0"/>
              <w:bottom w:val="single" w:color="auto" w:sz="4" w:space="0"/>
              <w:right w:val="single" w:color="000000" w:sz="4" w:space="0"/>
            </w:tcBorders>
            <w:shd w:val="clear" w:color="auto" w:fill="auto"/>
            <w:vAlign w:val="center"/>
          </w:tcPr>
          <w:p w14:paraId="72900D42">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329710.35 </w:t>
            </w:r>
          </w:p>
        </w:tc>
        <w:tc>
          <w:tcPr>
            <w:tcW w:w="1334" w:type="dxa"/>
            <w:vMerge w:val="continue"/>
            <w:tcBorders>
              <w:left w:val="single" w:color="000000" w:sz="4" w:space="0"/>
              <w:right w:val="single" w:color="000000" w:sz="4" w:space="0"/>
            </w:tcBorders>
            <w:shd w:val="clear" w:color="auto" w:fill="auto"/>
            <w:vAlign w:val="center"/>
          </w:tcPr>
          <w:p w14:paraId="139F6F3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975" w:type="dxa"/>
            <w:tcBorders>
              <w:top w:val="single" w:color="auto" w:sz="4" w:space="0"/>
              <w:left w:val="single" w:color="000000" w:sz="4" w:space="0"/>
              <w:bottom w:val="single" w:color="auto" w:sz="4" w:space="0"/>
              <w:right w:val="single" w:color="000000" w:sz="4" w:space="0"/>
            </w:tcBorders>
            <w:shd w:val="clear" w:color="auto" w:fill="auto"/>
            <w:vAlign w:val="center"/>
          </w:tcPr>
          <w:p w14:paraId="162E12B2">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太平乡</w:t>
            </w:r>
          </w:p>
        </w:tc>
        <w:tc>
          <w:tcPr>
            <w:tcW w:w="1167" w:type="dxa"/>
            <w:vMerge w:val="continue"/>
            <w:tcBorders>
              <w:left w:val="single" w:color="000000" w:sz="4" w:space="0"/>
              <w:right w:val="single" w:color="000000" w:sz="4" w:space="0"/>
            </w:tcBorders>
            <w:shd w:val="clear" w:color="auto" w:fill="auto"/>
            <w:vAlign w:val="center"/>
          </w:tcPr>
          <w:p w14:paraId="292B794C">
            <w:pPr>
              <w:jc w:val="center"/>
              <w:rPr>
                <w:rFonts w:hint="eastAsia" w:ascii="宋体" w:hAnsi="宋体" w:eastAsia="宋体" w:cs="宋体"/>
                <w:i w:val="0"/>
                <w:iCs w:val="0"/>
                <w:color w:val="auto"/>
                <w:sz w:val="18"/>
                <w:szCs w:val="18"/>
                <w:u w:val="none"/>
              </w:rPr>
            </w:pPr>
          </w:p>
        </w:tc>
        <w:tc>
          <w:tcPr>
            <w:tcW w:w="1108" w:type="dxa"/>
            <w:vMerge w:val="continue"/>
            <w:tcBorders>
              <w:left w:val="single" w:color="000000" w:sz="4" w:space="0"/>
              <w:right w:val="single" w:color="000000" w:sz="4" w:space="0"/>
            </w:tcBorders>
            <w:shd w:val="clear" w:color="auto" w:fill="auto"/>
            <w:vAlign w:val="center"/>
          </w:tcPr>
          <w:p w14:paraId="4FB011BA">
            <w:pPr>
              <w:jc w:val="center"/>
              <w:rPr>
                <w:rFonts w:hint="eastAsia" w:ascii="宋体" w:hAnsi="宋体" w:eastAsia="宋体" w:cs="宋体"/>
                <w:i w:val="0"/>
                <w:iCs w:val="0"/>
                <w:color w:val="auto"/>
                <w:sz w:val="18"/>
                <w:szCs w:val="18"/>
                <w:u w:val="none"/>
              </w:rPr>
            </w:pPr>
          </w:p>
        </w:tc>
        <w:tc>
          <w:tcPr>
            <w:tcW w:w="983" w:type="dxa"/>
            <w:vMerge w:val="continue"/>
            <w:tcBorders>
              <w:left w:val="single" w:color="000000" w:sz="4" w:space="0"/>
              <w:right w:val="single" w:color="000000" w:sz="4" w:space="0"/>
            </w:tcBorders>
            <w:shd w:val="clear" w:color="auto" w:fill="auto"/>
            <w:vAlign w:val="center"/>
          </w:tcPr>
          <w:p w14:paraId="5AFF5B3B">
            <w:pPr>
              <w:jc w:val="center"/>
              <w:rPr>
                <w:rFonts w:hint="eastAsia" w:ascii="宋体" w:hAnsi="宋体" w:eastAsia="宋体" w:cs="宋体"/>
                <w:i w:val="0"/>
                <w:iCs w:val="0"/>
                <w:color w:val="auto"/>
                <w:sz w:val="18"/>
                <w:szCs w:val="18"/>
                <w:u w:val="none"/>
              </w:rPr>
            </w:pPr>
          </w:p>
        </w:tc>
      </w:tr>
      <w:tr w14:paraId="22FCF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483" w:type="dxa"/>
            <w:vMerge w:val="continue"/>
            <w:tcBorders>
              <w:left w:val="single" w:color="000000" w:sz="4" w:space="0"/>
              <w:bottom w:val="single" w:color="000000" w:sz="4" w:space="0"/>
              <w:right w:val="single" w:color="000000" w:sz="4" w:space="0"/>
            </w:tcBorders>
            <w:shd w:val="clear" w:color="auto" w:fill="auto"/>
            <w:vAlign w:val="center"/>
          </w:tcPr>
          <w:p w14:paraId="4F2CF78D">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right w:val="single" w:color="000000" w:sz="4" w:space="0"/>
            </w:tcBorders>
            <w:shd w:val="clear" w:color="auto" w:fill="auto"/>
            <w:vAlign w:val="center"/>
          </w:tcPr>
          <w:p w14:paraId="17F71D95">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316" w:type="dxa"/>
            <w:tcBorders>
              <w:top w:val="single" w:color="auto" w:sz="4" w:space="0"/>
              <w:left w:val="single" w:color="000000" w:sz="4" w:space="0"/>
              <w:right w:val="single" w:color="000000" w:sz="4" w:space="0"/>
            </w:tcBorders>
            <w:shd w:val="clear" w:color="auto" w:fill="auto"/>
            <w:vAlign w:val="center"/>
          </w:tcPr>
          <w:p w14:paraId="4A7D7FE1">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202947.94 </w:t>
            </w:r>
          </w:p>
        </w:tc>
        <w:tc>
          <w:tcPr>
            <w:tcW w:w="1334" w:type="dxa"/>
            <w:vMerge w:val="continue"/>
            <w:tcBorders>
              <w:left w:val="single" w:color="000000" w:sz="4" w:space="0"/>
              <w:right w:val="single" w:color="000000" w:sz="4" w:space="0"/>
            </w:tcBorders>
            <w:shd w:val="clear" w:color="auto" w:fill="auto"/>
            <w:vAlign w:val="center"/>
          </w:tcPr>
          <w:p w14:paraId="18C6B6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975" w:type="dxa"/>
            <w:tcBorders>
              <w:top w:val="single" w:color="auto" w:sz="4" w:space="0"/>
              <w:left w:val="single" w:color="000000" w:sz="4" w:space="0"/>
              <w:right w:val="single" w:color="000000" w:sz="4" w:space="0"/>
            </w:tcBorders>
            <w:shd w:val="clear" w:color="auto" w:fill="auto"/>
            <w:vAlign w:val="center"/>
          </w:tcPr>
          <w:p w14:paraId="1DF5862F">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沙湾乡</w:t>
            </w:r>
          </w:p>
        </w:tc>
        <w:tc>
          <w:tcPr>
            <w:tcW w:w="1167" w:type="dxa"/>
            <w:vMerge w:val="continue"/>
            <w:tcBorders>
              <w:left w:val="single" w:color="000000" w:sz="4" w:space="0"/>
              <w:right w:val="single" w:color="000000" w:sz="4" w:space="0"/>
            </w:tcBorders>
            <w:shd w:val="clear" w:color="auto" w:fill="auto"/>
            <w:vAlign w:val="center"/>
          </w:tcPr>
          <w:p w14:paraId="66823F2B">
            <w:pPr>
              <w:jc w:val="center"/>
              <w:rPr>
                <w:rFonts w:hint="eastAsia" w:ascii="宋体" w:hAnsi="宋体" w:eastAsia="宋体" w:cs="宋体"/>
                <w:i w:val="0"/>
                <w:iCs w:val="0"/>
                <w:color w:val="auto"/>
                <w:sz w:val="18"/>
                <w:szCs w:val="18"/>
                <w:u w:val="none"/>
              </w:rPr>
            </w:pPr>
          </w:p>
        </w:tc>
        <w:tc>
          <w:tcPr>
            <w:tcW w:w="1108" w:type="dxa"/>
            <w:vMerge w:val="continue"/>
            <w:tcBorders>
              <w:left w:val="single" w:color="000000" w:sz="4" w:space="0"/>
              <w:right w:val="single" w:color="000000" w:sz="4" w:space="0"/>
            </w:tcBorders>
            <w:shd w:val="clear" w:color="auto" w:fill="auto"/>
            <w:vAlign w:val="center"/>
          </w:tcPr>
          <w:p w14:paraId="6CCD4E6C">
            <w:pPr>
              <w:jc w:val="center"/>
              <w:rPr>
                <w:rFonts w:hint="eastAsia" w:ascii="宋体" w:hAnsi="宋体" w:eastAsia="宋体" w:cs="宋体"/>
                <w:i w:val="0"/>
                <w:iCs w:val="0"/>
                <w:color w:val="auto"/>
                <w:sz w:val="18"/>
                <w:szCs w:val="18"/>
                <w:u w:val="none"/>
              </w:rPr>
            </w:pPr>
          </w:p>
        </w:tc>
        <w:tc>
          <w:tcPr>
            <w:tcW w:w="983" w:type="dxa"/>
            <w:vMerge w:val="continue"/>
            <w:tcBorders>
              <w:left w:val="single" w:color="000000" w:sz="4" w:space="0"/>
              <w:bottom w:val="single" w:color="000000" w:sz="4" w:space="0"/>
              <w:right w:val="single" w:color="000000" w:sz="4" w:space="0"/>
            </w:tcBorders>
            <w:shd w:val="clear" w:color="auto" w:fill="auto"/>
            <w:vAlign w:val="center"/>
          </w:tcPr>
          <w:p w14:paraId="385CFFD1">
            <w:pPr>
              <w:jc w:val="center"/>
              <w:rPr>
                <w:rFonts w:hint="eastAsia" w:ascii="宋体" w:hAnsi="宋体" w:eastAsia="宋体" w:cs="宋体"/>
                <w:i w:val="0"/>
                <w:iCs w:val="0"/>
                <w:color w:val="auto"/>
                <w:sz w:val="18"/>
                <w:szCs w:val="18"/>
                <w:u w:val="none"/>
              </w:rPr>
            </w:pPr>
          </w:p>
        </w:tc>
      </w:tr>
      <w:tr w14:paraId="2C1B8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 w:hRule="atLeast"/>
        </w:trPr>
        <w:tc>
          <w:tcPr>
            <w:tcW w:w="483" w:type="dxa"/>
            <w:vMerge w:val="restart"/>
            <w:tcBorders>
              <w:top w:val="single" w:color="000000" w:sz="4" w:space="0"/>
              <w:left w:val="single" w:color="000000" w:sz="4" w:space="0"/>
              <w:right w:val="single" w:color="000000" w:sz="4" w:space="0"/>
            </w:tcBorders>
            <w:shd w:val="clear" w:color="auto" w:fill="auto"/>
            <w:vAlign w:val="center"/>
          </w:tcPr>
          <w:p w14:paraId="4C949F1F">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包3</w:t>
            </w:r>
          </w:p>
        </w:tc>
        <w:tc>
          <w:tcPr>
            <w:tcW w:w="2467" w:type="dxa"/>
            <w:tcBorders>
              <w:top w:val="single" w:color="000000" w:sz="4" w:space="0"/>
              <w:left w:val="single" w:color="000000" w:sz="4" w:space="0"/>
              <w:bottom w:val="single" w:color="auto" w:sz="4" w:space="0"/>
              <w:right w:val="single" w:color="000000" w:sz="4" w:space="0"/>
            </w:tcBorders>
            <w:shd w:val="clear" w:color="auto" w:fill="auto"/>
            <w:vAlign w:val="center"/>
          </w:tcPr>
          <w:p w14:paraId="19F83F73">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316" w:type="dxa"/>
            <w:tcBorders>
              <w:top w:val="single" w:color="000000" w:sz="4" w:space="0"/>
              <w:left w:val="single" w:color="000000" w:sz="4" w:space="0"/>
              <w:bottom w:val="single" w:color="auto" w:sz="4" w:space="0"/>
              <w:right w:val="single" w:color="000000" w:sz="4" w:space="0"/>
            </w:tcBorders>
            <w:shd w:val="clear" w:color="auto" w:fill="auto"/>
            <w:vAlign w:val="center"/>
          </w:tcPr>
          <w:p w14:paraId="4C2D58DF">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238586.45 </w:t>
            </w:r>
          </w:p>
        </w:tc>
        <w:tc>
          <w:tcPr>
            <w:tcW w:w="1334" w:type="dxa"/>
            <w:vMerge w:val="restart"/>
            <w:tcBorders>
              <w:top w:val="single" w:color="auto" w:sz="4" w:space="0"/>
              <w:left w:val="single" w:color="000000" w:sz="4" w:space="0"/>
              <w:right w:val="single" w:color="000000" w:sz="4" w:space="0"/>
            </w:tcBorders>
            <w:shd w:val="clear" w:color="auto" w:fill="auto"/>
            <w:vAlign w:val="center"/>
          </w:tcPr>
          <w:p w14:paraId="3FFE6A20">
            <w:pPr>
              <w:keepNext w:val="0"/>
              <w:keepLines w:val="0"/>
              <w:widowControl/>
              <w:suppressLineNumbers w:val="0"/>
              <w:jc w:val="center"/>
              <w:textAlignment w:val="center"/>
              <w:rPr>
                <w:rFonts w:hint="default" w:ascii="宋体" w:hAnsi="宋体" w:eastAsia="宋体" w:cs="宋体"/>
                <w:b w:val="0"/>
                <w:bCs w:val="0"/>
                <w:i w:val="0"/>
                <w:iCs w:val="0"/>
                <w:color w:val="000000"/>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785236.46 </w:t>
            </w:r>
          </w:p>
        </w:tc>
        <w:tc>
          <w:tcPr>
            <w:tcW w:w="975" w:type="dxa"/>
            <w:tcBorders>
              <w:top w:val="single" w:color="000000" w:sz="4" w:space="0"/>
              <w:left w:val="single" w:color="000000" w:sz="4" w:space="0"/>
              <w:bottom w:val="single" w:color="auto" w:sz="4" w:space="0"/>
              <w:right w:val="single" w:color="000000" w:sz="4" w:space="0"/>
            </w:tcBorders>
            <w:shd w:val="clear" w:color="auto" w:fill="auto"/>
            <w:vAlign w:val="center"/>
          </w:tcPr>
          <w:p w14:paraId="2E068050">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雪峰镇</w:t>
            </w:r>
          </w:p>
        </w:tc>
        <w:tc>
          <w:tcPr>
            <w:tcW w:w="1167" w:type="dxa"/>
            <w:vMerge w:val="restart"/>
            <w:tcBorders>
              <w:top w:val="single" w:color="000000" w:sz="4" w:space="0"/>
              <w:left w:val="single" w:color="000000" w:sz="4" w:space="0"/>
              <w:right w:val="single" w:color="000000" w:sz="4" w:space="0"/>
            </w:tcBorders>
            <w:shd w:val="clear" w:color="auto" w:fill="auto"/>
            <w:vAlign w:val="center"/>
          </w:tcPr>
          <w:p w14:paraId="44893B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（商品林）</w:t>
            </w:r>
          </w:p>
          <w:p w14:paraId="0335EE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大崇乡、安江镇、岔头乡、雪峰镇、铁山乡、群峰乡、湾溪乡、熟坪乡、沅河镇、托口镇</w:t>
            </w:r>
          </w:p>
        </w:tc>
        <w:tc>
          <w:tcPr>
            <w:tcW w:w="1108" w:type="dxa"/>
            <w:vMerge w:val="restart"/>
            <w:tcBorders>
              <w:top w:val="single" w:color="000000" w:sz="4" w:space="0"/>
              <w:left w:val="single" w:color="000000" w:sz="4" w:space="0"/>
              <w:right w:val="single" w:color="000000" w:sz="4" w:space="0"/>
            </w:tcBorders>
            <w:shd w:val="clear" w:color="auto" w:fill="auto"/>
            <w:vAlign w:val="center"/>
          </w:tcPr>
          <w:p w14:paraId="55ADA0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892807.2</w:t>
            </w:r>
          </w:p>
        </w:tc>
        <w:tc>
          <w:tcPr>
            <w:tcW w:w="983" w:type="dxa"/>
            <w:vMerge w:val="restart"/>
            <w:tcBorders>
              <w:top w:val="single" w:color="000000" w:sz="4" w:space="0"/>
              <w:left w:val="single" w:color="000000" w:sz="4" w:space="0"/>
              <w:right w:val="single" w:color="000000" w:sz="4" w:space="0"/>
            </w:tcBorders>
            <w:shd w:val="clear" w:color="auto" w:fill="auto"/>
            <w:vAlign w:val="center"/>
          </w:tcPr>
          <w:p w14:paraId="591E9D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w:t>
            </w:r>
            <w:r>
              <w:rPr>
                <w:rFonts w:hint="eastAsia" w:ascii="宋体" w:hAnsi="宋体" w:cs="宋体"/>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：保费78.52+商品林89.28万元=167.8万元</w:t>
            </w:r>
          </w:p>
          <w:p w14:paraId="69F693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占比：10.2%左右</w:t>
            </w:r>
          </w:p>
        </w:tc>
      </w:tr>
      <w:tr w14:paraId="23F7F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483" w:type="dxa"/>
            <w:vMerge w:val="continue"/>
            <w:tcBorders>
              <w:left w:val="single" w:color="000000" w:sz="4" w:space="0"/>
              <w:right w:val="single" w:color="000000" w:sz="4" w:space="0"/>
            </w:tcBorders>
            <w:shd w:val="clear" w:color="auto" w:fill="auto"/>
            <w:vAlign w:val="center"/>
          </w:tcPr>
          <w:p w14:paraId="567C9E19">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right w:val="single" w:color="000000" w:sz="4" w:space="0"/>
            </w:tcBorders>
            <w:shd w:val="clear" w:color="auto" w:fill="auto"/>
            <w:vAlign w:val="center"/>
          </w:tcPr>
          <w:p w14:paraId="3B6D6F1E">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316" w:type="dxa"/>
            <w:tcBorders>
              <w:top w:val="single" w:color="auto" w:sz="4" w:space="0"/>
              <w:left w:val="single" w:color="000000" w:sz="4" w:space="0"/>
              <w:right w:val="single" w:color="000000" w:sz="4" w:space="0"/>
            </w:tcBorders>
            <w:shd w:val="clear" w:color="auto" w:fill="auto"/>
            <w:vAlign w:val="center"/>
          </w:tcPr>
          <w:p w14:paraId="6733E650">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546650.01 </w:t>
            </w:r>
          </w:p>
        </w:tc>
        <w:tc>
          <w:tcPr>
            <w:tcW w:w="1334" w:type="dxa"/>
            <w:vMerge w:val="continue"/>
            <w:tcBorders>
              <w:left w:val="single" w:color="000000" w:sz="4" w:space="0"/>
              <w:right w:val="single" w:color="000000" w:sz="4" w:space="0"/>
            </w:tcBorders>
            <w:shd w:val="clear" w:color="auto" w:fill="auto"/>
            <w:vAlign w:val="center"/>
          </w:tcPr>
          <w:p w14:paraId="750BE3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975" w:type="dxa"/>
            <w:tcBorders>
              <w:top w:val="single" w:color="auto" w:sz="4" w:space="0"/>
              <w:left w:val="single" w:color="000000" w:sz="4" w:space="0"/>
              <w:right w:val="single" w:color="000000" w:sz="4" w:space="0"/>
            </w:tcBorders>
            <w:shd w:val="clear" w:color="auto" w:fill="auto"/>
            <w:vAlign w:val="center"/>
          </w:tcPr>
          <w:p w14:paraId="46123E36">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岔头乡</w:t>
            </w:r>
          </w:p>
        </w:tc>
        <w:tc>
          <w:tcPr>
            <w:tcW w:w="1167" w:type="dxa"/>
            <w:vMerge w:val="continue"/>
            <w:tcBorders>
              <w:left w:val="single" w:color="000000" w:sz="4" w:space="0"/>
              <w:right w:val="single" w:color="000000" w:sz="4" w:space="0"/>
            </w:tcBorders>
            <w:shd w:val="clear" w:color="auto" w:fill="auto"/>
            <w:vAlign w:val="center"/>
          </w:tcPr>
          <w:p w14:paraId="14C13E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08" w:type="dxa"/>
            <w:vMerge w:val="continue"/>
            <w:tcBorders>
              <w:left w:val="single" w:color="000000" w:sz="4" w:space="0"/>
              <w:right w:val="single" w:color="000000" w:sz="4" w:space="0"/>
            </w:tcBorders>
            <w:shd w:val="clear" w:color="auto" w:fill="auto"/>
            <w:vAlign w:val="center"/>
          </w:tcPr>
          <w:p w14:paraId="5264D2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83" w:type="dxa"/>
            <w:vMerge w:val="continue"/>
            <w:tcBorders>
              <w:left w:val="single" w:color="000000" w:sz="4" w:space="0"/>
              <w:right w:val="single" w:color="000000" w:sz="4" w:space="0"/>
            </w:tcBorders>
            <w:shd w:val="clear" w:color="auto" w:fill="auto"/>
            <w:vAlign w:val="center"/>
          </w:tcPr>
          <w:p w14:paraId="71AF16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D65C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483" w:type="dxa"/>
            <w:vMerge w:val="restart"/>
            <w:tcBorders>
              <w:top w:val="single" w:color="000000" w:sz="4" w:space="0"/>
              <w:left w:val="single" w:color="000000" w:sz="4" w:space="0"/>
              <w:right w:val="single" w:color="000000" w:sz="4" w:space="0"/>
            </w:tcBorders>
            <w:shd w:val="clear" w:color="auto" w:fill="auto"/>
            <w:vAlign w:val="center"/>
          </w:tcPr>
          <w:p w14:paraId="5D00F93D">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包</w:t>
            </w:r>
            <w:r>
              <w:rPr>
                <w:rFonts w:hint="eastAsia" w:ascii="宋体" w:hAnsi="宋体" w:cs="宋体"/>
                <w:b w:val="0"/>
                <w:bCs w:val="0"/>
                <w:i w:val="0"/>
                <w:iCs w:val="0"/>
                <w:color w:val="auto"/>
                <w:kern w:val="0"/>
                <w:sz w:val="20"/>
                <w:szCs w:val="20"/>
                <w:u w:val="none"/>
                <w:lang w:val="en-US" w:eastAsia="zh-CN" w:bidi="ar"/>
              </w:rPr>
              <w:t>4</w:t>
            </w:r>
          </w:p>
        </w:tc>
        <w:tc>
          <w:tcPr>
            <w:tcW w:w="2467" w:type="dxa"/>
            <w:tcBorders>
              <w:top w:val="single" w:color="000000" w:sz="4" w:space="0"/>
              <w:left w:val="single" w:color="000000" w:sz="4" w:space="0"/>
              <w:bottom w:val="single" w:color="auto" w:sz="4" w:space="0"/>
              <w:right w:val="single" w:color="000000" w:sz="4" w:space="0"/>
            </w:tcBorders>
            <w:shd w:val="clear" w:color="auto" w:fill="auto"/>
            <w:vAlign w:val="center"/>
          </w:tcPr>
          <w:p w14:paraId="1E01C614">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316" w:type="dxa"/>
            <w:tcBorders>
              <w:top w:val="single" w:color="000000" w:sz="4" w:space="0"/>
              <w:left w:val="single" w:color="000000" w:sz="4" w:space="0"/>
              <w:bottom w:val="single" w:color="auto" w:sz="4" w:space="0"/>
              <w:right w:val="single" w:color="000000" w:sz="4" w:space="0"/>
            </w:tcBorders>
            <w:shd w:val="clear" w:color="auto" w:fill="auto"/>
            <w:vAlign w:val="center"/>
          </w:tcPr>
          <w:p w14:paraId="56F809DD">
            <w:pPr>
              <w:keepNext w:val="0"/>
              <w:keepLines w:val="0"/>
              <w:widowControl/>
              <w:suppressLineNumbers w:val="0"/>
              <w:jc w:val="center"/>
              <w:textAlignment w:val="center"/>
              <w:rPr>
                <w:rFonts w:hint="default"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 xml:space="preserve">325066.40 </w:t>
            </w:r>
          </w:p>
        </w:tc>
        <w:tc>
          <w:tcPr>
            <w:tcW w:w="1334" w:type="dxa"/>
            <w:vMerge w:val="restart"/>
            <w:tcBorders>
              <w:top w:val="single" w:color="auto" w:sz="4" w:space="0"/>
              <w:left w:val="single" w:color="000000" w:sz="4" w:space="0"/>
              <w:right w:val="single" w:color="000000" w:sz="4" w:space="0"/>
            </w:tcBorders>
            <w:shd w:val="clear" w:color="auto" w:fill="auto"/>
            <w:vAlign w:val="center"/>
          </w:tcPr>
          <w:p w14:paraId="03B7972C">
            <w:pPr>
              <w:keepNext w:val="0"/>
              <w:keepLines w:val="0"/>
              <w:widowControl/>
              <w:suppressLineNumbers w:val="0"/>
              <w:jc w:val="center"/>
              <w:textAlignment w:val="center"/>
              <w:rPr>
                <w:rFonts w:hint="default" w:ascii="宋体" w:hAnsi="宋体" w:eastAsia="宋体" w:cs="宋体"/>
                <w:b w:val="0"/>
                <w:bCs w:val="0"/>
                <w:i w:val="0"/>
                <w:iCs w:val="0"/>
                <w:color w:val="000000"/>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742417.64 </w:t>
            </w:r>
          </w:p>
        </w:tc>
        <w:tc>
          <w:tcPr>
            <w:tcW w:w="975" w:type="dxa"/>
            <w:tcBorders>
              <w:top w:val="single" w:color="000000" w:sz="4" w:space="0"/>
              <w:left w:val="single" w:color="000000" w:sz="4" w:space="0"/>
              <w:bottom w:val="single" w:color="auto" w:sz="4" w:space="0"/>
              <w:right w:val="single" w:color="000000" w:sz="4" w:space="0"/>
            </w:tcBorders>
            <w:shd w:val="clear" w:color="auto" w:fill="auto"/>
            <w:vAlign w:val="center"/>
          </w:tcPr>
          <w:p w14:paraId="6B241E69">
            <w:pPr>
              <w:keepNext w:val="0"/>
              <w:keepLines w:val="0"/>
              <w:widowControl/>
              <w:suppressLineNumbers w:val="0"/>
              <w:jc w:val="center"/>
              <w:textAlignment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深渡乡</w:t>
            </w:r>
          </w:p>
        </w:tc>
        <w:tc>
          <w:tcPr>
            <w:tcW w:w="1167" w:type="dxa"/>
            <w:vMerge w:val="restart"/>
            <w:tcBorders>
              <w:top w:val="single" w:color="000000" w:sz="4" w:space="0"/>
              <w:left w:val="single" w:color="000000" w:sz="4" w:space="0"/>
              <w:right w:val="single" w:color="000000" w:sz="4" w:space="0"/>
            </w:tcBorders>
            <w:shd w:val="clear" w:color="auto" w:fill="auto"/>
            <w:vAlign w:val="center"/>
          </w:tcPr>
          <w:p w14:paraId="38A851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全市公益林</w:t>
            </w:r>
          </w:p>
        </w:tc>
        <w:tc>
          <w:tcPr>
            <w:tcW w:w="1108" w:type="dxa"/>
            <w:vMerge w:val="restart"/>
            <w:tcBorders>
              <w:top w:val="single" w:color="000000" w:sz="4" w:space="0"/>
              <w:left w:val="single" w:color="000000" w:sz="4" w:space="0"/>
              <w:right w:val="single" w:color="000000" w:sz="4" w:space="0"/>
            </w:tcBorders>
            <w:shd w:val="clear" w:color="auto" w:fill="auto"/>
            <w:vAlign w:val="center"/>
          </w:tcPr>
          <w:p w14:paraId="6F0D96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588349.56</w:t>
            </w:r>
          </w:p>
        </w:tc>
        <w:tc>
          <w:tcPr>
            <w:tcW w:w="983" w:type="dxa"/>
            <w:vMerge w:val="restart"/>
            <w:tcBorders>
              <w:top w:val="single" w:color="000000" w:sz="4" w:space="0"/>
              <w:left w:val="single" w:color="000000" w:sz="4" w:space="0"/>
              <w:right w:val="single" w:color="000000" w:sz="4" w:space="0"/>
            </w:tcBorders>
            <w:shd w:val="clear" w:color="auto" w:fill="auto"/>
            <w:vAlign w:val="center"/>
          </w:tcPr>
          <w:p w14:paraId="161B80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w:t>
            </w:r>
            <w:r>
              <w:rPr>
                <w:rFonts w:hint="eastAsia" w:ascii="宋体" w:hAnsi="宋体" w:cs="宋体"/>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：保费74.24+公益林58.83=133.07万元</w:t>
            </w:r>
          </w:p>
          <w:p w14:paraId="64F96C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占比8.1%左右</w:t>
            </w:r>
          </w:p>
        </w:tc>
      </w:tr>
      <w:tr w14:paraId="4AF2B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 w:hRule="atLeast"/>
        </w:trPr>
        <w:tc>
          <w:tcPr>
            <w:tcW w:w="483" w:type="dxa"/>
            <w:vMerge w:val="continue"/>
            <w:tcBorders>
              <w:left w:val="single" w:color="000000" w:sz="4" w:space="0"/>
              <w:bottom w:val="single" w:color="000000" w:sz="4" w:space="0"/>
              <w:right w:val="single" w:color="000000" w:sz="4" w:space="0"/>
            </w:tcBorders>
            <w:shd w:val="clear" w:color="auto" w:fill="auto"/>
            <w:vAlign w:val="center"/>
          </w:tcPr>
          <w:p w14:paraId="5D527F84">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auto" w:sz="4" w:space="0"/>
              <w:left w:val="single" w:color="000000" w:sz="4" w:space="0"/>
              <w:right w:val="single" w:color="000000" w:sz="4" w:space="0"/>
            </w:tcBorders>
            <w:shd w:val="clear" w:color="auto" w:fill="auto"/>
            <w:vAlign w:val="center"/>
          </w:tcPr>
          <w:p w14:paraId="3E45E850">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316" w:type="dxa"/>
            <w:tcBorders>
              <w:top w:val="single" w:color="auto" w:sz="4" w:space="0"/>
              <w:left w:val="single" w:color="000000" w:sz="4" w:space="0"/>
              <w:right w:val="single" w:color="000000" w:sz="4" w:space="0"/>
            </w:tcBorders>
            <w:shd w:val="clear" w:color="auto" w:fill="auto"/>
            <w:vAlign w:val="center"/>
          </w:tcPr>
          <w:p w14:paraId="71B3173D">
            <w:pPr>
              <w:keepNext w:val="0"/>
              <w:keepLines w:val="0"/>
              <w:widowControl/>
              <w:suppressLineNumbers w:val="0"/>
              <w:jc w:val="center"/>
              <w:textAlignment w:val="center"/>
              <w:rPr>
                <w:rFonts w:hint="default"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 xml:space="preserve">417351.24 </w:t>
            </w:r>
          </w:p>
        </w:tc>
        <w:tc>
          <w:tcPr>
            <w:tcW w:w="1334" w:type="dxa"/>
            <w:vMerge w:val="continue"/>
            <w:tcBorders>
              <w:left w:val="single" w:color="000000" w:sz="4" w:space="0"/>
              <w:right w:val="single" w:color="000000" w:sz="4" w:space="0"/>
            </w:tcBorders>
            <w:shd w:val="clear" w:color="auto" w:fill="auto"/>
            <w:vAlign w:val="center"/>
          </w:tcPr>
          <w:p w14:paraId="3A9C61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975" w:type="dxa"/>
            <w:tcBorders>
              <w:top w:val="single" w:color="auto" w:sz="4" w:space="0"/>
              <w:left w:val="single" w:color="000000" w:sz="4" w:space="0"/>
              <w:right w:val="single" w:color="000000" w:sz="4" w:space="0"/>
            </w:tcBorders>
            <w:shd w:val="clear" w:color="auto" w:fill="auto"/>
            <w:vAlign w:val="center"/>
          </w:tcPr>
          <w:p w14:paraId="42720D55">
            <w:pPr>
              <w:keepNext w:val="0"/>
              <w:keepLines w:val="0"/>
              <w:widowControl/>
              <w:suppressLineNumbers w:val="0"/>
              <w:jc w:val="center"/>
              <w:textAlignment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湾溪乡</w:t>
            </w:r>
          </w:p>
        </w:tc>
        <w:tc>
          <w:tcPr>
            <w:tcW w:w="1167" w:type="dxa"/>
            <w:vMerge w:val="continue"/>
            <w:tcBorders>
              <w:left w:val="single" w:color="000000" w:sz="4" w:space="0"/>
              <w:right w:val="single" w:color="000000" w:sz="4" w:space="0"/>
            </w:tcBorders>
            <w:shd w:val="clear" w:color="auto" w:fill="auto"/>
            <w:vAlign w:val="center"/>
          </w:tcPr>
          <w:p w14:paraId="54C9E9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08" w:type="dxa"/>
            <w:vMerge w:val="continue"/>
            <w:tcBorders>
              <w:left w:val="single" w:color="000000" w:sz="4" w:space="0"/>
              <w:right w:val="single" w:color="000000" w:sz="4" w:space="0"/>
            </w:tcBorders>
            <w:shd w:val="clear" w:color="auto" w:fill="auto"/>
            <w:vAlign w:val="center"/>
          </w:tcPr>
          <w:p w14:paraId="7B328E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83" w:type="dxa"/>
            <w:vMerge w:val="continue"/>
            <w:tcBorders>
              <w:left w:val="single" w:color="000000" w:sz="4" w:space="0"/>
              <w:right w:val="single" w:color="000000" w:sz="4" w:space="0"/>
            </w:tcBorders>
            <w:shd w:val="clear" w:color="auto" w:fill="auto"/>
            <w:vAlign w:val="center"/>
          </w:tcPr>
          <w:p w14:paraId="1D4178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BC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483" w:type="dxa"/>
            <w:vMerge w:val="restart"/>
            <w:tcBorders>
              <w:top w:val="single" w:color="000000" w:sz="4" w:space="0"/>
              <w:left w:val="single" w:color="000000" w:sz="4" w:space="0"/>
              <w:right w:val="single" w:color="000000" w:sz="4" w:space="0"/>
            </w:tcBorders>
            <w:shd w:val="clear" w:color="auto" w:fill="auto"/>
            <w:vAlign w:val="center"/>
          </w:tcPr>
          <w:p w14:paraId="7C436B64">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rPr>
            </w:pPr>
            <w:r>
              <w:rPr>
                <w:rFonts w:hint="eastAsia" w:ascii="宋体" w:hAnsi="宋体" w:eastAsia="宋体" w:cs="宋体"/>
                <w:b w:val="0"/>
                <w:bCs w:val="0"/>
                <w:i w:val="0"/>
                <w:iCs w:val="0"/>
                <w:color w:val="auto"/>
                <w:kern w:val="0"/>
                <w:sz w:val="20"/>
                <w:szCs w:val="20"/>
                <w:u w:val="none"/>
                <w:lang w:val="en-US" w:eastAsia="zh-CN" w:bidi="ar"/>
              </w:rPr>
              <w:t>包</w:t>
            </w:r>
            <w:r>
              <w:rPr>
                <w:rFonts w:hint="eastAsia" w:ascii="宋体" w:hAnsi="宋体" w:cs="宋体"/>
                <w:b w:val="0"/>
                <w:bCs w:val="0"/>
                <w:i w:val="0"/>
                <w:iCs w:val="0"/>
                <w:color w:val="auto"/>
                <w:kern w:val="0"/>
                <w:sz w:val="20"/>
                <w:szCs w:val="20"/>
                <w:u w:val="none"/>
                <w:lang w:val="en-US" w:eastAsia="zh-CN" w:bidi="ar"/>
              </w:rPr>
              <w:t>5</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ABB6">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6377">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131949.20 </w:t>
            </w:r>
          </w:p>
        </w:tc>
        <w:tc>
          <w:tcPr>
            <w:tcW w:w="1334" w:type="dxa"/>
            <w:vMerge w:val="restart"/>
            <w:tcBorders>
              <w:top w:val="single" w:color="000000" w:sz="4" w:space="0"/>
              <w:left w:val="single" w:color="000000" w:sz="4" w:space="0"/>
              <w:right w:val="single" w:color="000000" w:sz="4" w:space="0"/>
            </w:tcBorders>
            <w:shd w:val="clear" w:color="auto" w:fill="auto"/>
            <w:vAlign w:val="center"/>
          </w:tcPr>
          <w:p w14:paraId="1E22E5E3">
            <w:pPr>
              <w:keepNext w:val="0"/>
              <w:keepLines w:val="0"/>
              <w:widowControl/>
              <w:suppressLineNumbers w:val="0"/>
              <w:jc w:val="center"/>
              <w:textAlignment w:val="center"/>
              <w:rPr>
                <w:rFonts w:hint="eastAsia" w:ascii="宋体" w:hAnsi="宋体" w:eastAsia="宋体" w:cs="宋体"/>
                <w:b w:val="0"/>
                <w:bCs w:val="0"/>
                <w:i w:val="0"/>
                <w:iCs w:val="0"/>
                <w:color w:val="000000"/>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241106.50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998B">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托口镇</w:t>
            </w:r>
          </w:p>
        </w:tc>
        <w:tc>
          <w:tcPr>
            <w:tcW w:w="1167" w:type="dxa"/>
            <w:vMerge w:val="restart"/>
            <w:tcBorders>
              <w:top w:val="single" w:color="000000" w:sz="4" w:space="0"/>
              <w:left w:val="single" w:color="000000" w:sz="4" w:space="0"/>
              <w:right w:val="single" w:color="000000" w:sz="4" w:space="0"/>
            </w:tcBorders>
            <w:shd w:val="clear" w:color="auto" w:fill="auto"/>
            <w:vAlign w:val="center"/>
          </w:tcPr>
          <w:p w14:paraId="43E307B6">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无森林险</w:t>
            </w:r>
          </w:p>
        </w:tc>
        <w:tc>
          <w:tcPr>
            <w:tcW w:w="1108" w:type="dxa"/>
            <w:vMerge w:val="restart"/>
            <w:tcBorders>
              <w:top w:val="single" w:color="000000" w:sz="4" w:space="0"/>
              <w:left w:val="single" w:color="000000" w:sz="4" w:space="0"/>
              <w:right w:val="single" w:color="000000" w:sz="4" w:space="0"/>
            </w:tcBorders>
            <w:shd w:val="clear" w:color="auto" w:fill="auto"/>
            <w:vAlign w:val="center"/>
          </w:tcPr>
          <w:p w14:paraId="0A4E805B">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0</w:t>
            </w:r>
          </w:p>
        </w:tc>
        <w:tc>
          <w:tcPr>
            <w:tcW w:w="983" w:type="dxa"/>
            <w:vMerge w:val="restart"/>
            <w:tcBorders>
              <w:top w:val="single" w:color="000000" w:sz="4" w:space="0"/>
              <w:left w:val="single" w:color="000000" w:sz="4" w:space="0"/>
              <w:right w:val="single" w:color="000000" w:sz="4" w:space="0"/>
            </w:tcBorders>
            <w:shd w:val="clear" w:color="auto" w:fill="auto"/>
            <w:vAlign w:val="center"/>
          </w:tcPr>
          <w:p w14:paraId="35B7C953">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包</w:t>
            </w: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rPr>
              <w:t>：保费24.11万元</w:t>
            </w:r>
          </w:p>
          <w:p w14:paraId="7F957E7C">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占比1.5%左右</w:t>
            </w:r>
          </w:p>
        </w:tc>
      </w:tr>
      <w:tr w14:paraId="47ACD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483" w:type="dxa"/>
            <w:vMerge w:val="continue"/>
            <w:tcBorders>
              <w:left w:val="single" w:color="000000" w:sz="4" w:space="0"/>
              <w:bottom w:val="single" w:color="000000" w:sz="4" w:space="0"/>
              <w:right w:val="single" w:color="000000" w:sz="4" w:space="0"/>
            </w:tcBorders>
            <w:shd w:val="clear" w:color="auto" w:fill="auto"/>
            <w:vAlign w:val="center"/>
          </w:tcPr>
          <w:p w14:paraId="6597CD62">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7C38">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77D3">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109157.30 </w:t>
            </w:r>
          </w:p>
        </w:tc>
        <w:tc>
          <w:tcPr>
            <w:tcW w:w="1334" w:type="dxa"/>
            <w:vMerge w:val="continue"/>
            <w:tcBorders>
              <w:left w:val="single" w:color="000000" w:sz="4" w:space="0"/>
              <w:bottom w:val="single" w:color="000000" w:sz="4" w:space="0"/>
              <w:right w:val="single" w:color="000000" w:sz="4" w:space="0"/>
            </w:tcBorders>
            <w:shd w:val="clear" w:color="auto" w:fill="auto"/>
            <w:vAlign w:val="center"/>
          </w:tcPr>
          <w:p w14:paraId="63BFF33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853A">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铁山乡</w:t>
            </w:r>
          </w:p>
        </w:tc>
        <w:tc>
          <w:tcPr>
            <w:tcW w:w="1167" w:type="dxa"/>
            <w:vMerge w:val="continue"/>
            <w:tcBorders>
              <w:left w:val="single" w:color="000000" w:sz="4" w:space="0"/>
              <w:bottom w:val="single" w:color="000000" w:sz="4" w:space="0"/>
              <w:right w:val="single" w:color="000000" w:sz="4" w:space="0"/>
            </w:tcBorders>
            <w:shd w:val="clear" w:color="auto" w:fill="auto"/>
            <w:vAlign w:val="center"/>
          </w:tcPr>
          <w:p w14:paraId="6DF2C15C">
            <w:pPr>
              <w:jc w:val="center"/>
              <w:rPr>
                <w:rFonts w:hint="eastAsia" w:ascii="宋体" w:hAnsi="宋体" w:eastAsia="宋体" w:cs="宋体"/>
                <w:i w:val="0"/>
                <w:iCs w:val="0"/>
                <w:color w:val="auto"/>
                <w:sz w:val="18"/>
                <w:szCs w:val="18"/>
                <w:u w:val="none"/>
              </w:rPr>
            </w:pPr>
          </w:p>
        </w:tc>
        <w:tc>
          <w:tcPr>
            <w:tcW w:w="1108" w:type="dxa"/>
            <w:vMerge w:val="continue"/>
            <w:tcBorders>
              <w:left w:val="single" w:color="000000" w:sz="4" w:space="0"/>
              <w:bottom w:val="single" w:color="000000" w:sz="4" w:space="0"/>
              <w:right w:val="single" w:color="000000" w:sz="4" w:space="0"/>
            </w:tcBorders>
            <w:shd w:val="clear" w:color="auto" w:fill="auto"/>
            <w:vAlign w:val="center"/>
          </w:tcPr>
          <w:p w14:paraId="590E0295">
            <w:pPr>
              <w:jc w:val="center"/>
              <w:rPr>
                <w:rFonts w:hint="eastAsia" w:ascii="宋体" w:hAnsi="宋体" w:eastAsia="宋体" w:cs="宋体"/>
                <w:i w:val="0"/>
                <w:iCs w:val="0"/>
                <w:color w:val="auto"/>
                <w:sz w:val="18"/>
                <w:szCs w:val="18"/>
                <w:u w:val="none"/>
              </w:rPr>
            </w:pPr>
          </w:p>
        </w:tc>
        <w:tc>
          <w:tcPr>
            <w:tcW w:w="983" w:type="dxa"/>
            <w:vMerge w:val="continue"/>
            <w:tcBorders>
              <w:left w:val="single" w:color="000000" w:sz="4" w:space="0"/>
              <w:bottom w:val="single" w:color="000000" w:sz="4" w:space="0"/>
              <w:right w:val="single" w:color="000000" w:sz="4" w:space="0"/>
            </w:tcBorders>
            <w:shd w:val="clear" w:color="auto" w:fill="auto"/>
            <w:vAlign w:val="center"/>
          </w:tcPr>
          <w:p w14:paraId="30F05B6F">
            <w:pPr>
              <w:jc w:val="center"/>
              <w:rPr>
                <w:rFonts w:hint="eastAsia" w:ascii="宋体" w:hAnsi="宋体" w:eastAsia="宋体" w:cs="宋体"/>
                <w:i w:val="0"/>
                <w:iCs w:val="0"/>
                <w:color w:val="auto"/>
                <w:sz w:val="18"/>
                <w:szCs w:val="18"/>
                <w:u w:val="none"/>
              </w:rPr>
            </w:pPr>
          </w:p>
        </w:tc>
      </w:tr>
    </w:tbl>
    <w:p w14:paraId="0E74F0DD">
      <w:pPr>
        <w:pStyle w:val="10"/>
        <w:numPr>
          <w:ilvl w:val="0"/>
          <w:numId w:val="0"/>
        </w:numPr>
        <w:shd w:val="clear" w:color="auto" w:fill="FFFFFF"/>
        <w:spacing w:before="0" w:beforeAutospacing="0" w:after="0" w:afterAutospacing="0"/>
        <w:jc w:val="both"/>
        <w:rPr>
          <w:rFonts w:hint="eastAsia" w:ascii="宋体" w:hAnsi="宋体" w:eastAsia="宋体" w:cs="宋体"/>
          <w:color w:val="666666"/>
          <w:sz w:val="21"/>
          <w:szCs w:val="21"/>
          <w:shd w:val="clear" w:color="auto" w:fill="FFFFFF"/>
        </w:rPr>
      </w:pPr>
    </w:p>
    <w:p w14:paraId="3E7647EE">
      <w:pPr>
        <w:pStyle w:val="10"/>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r>
        <w:rPr>
          <w:rFonts w:hint="eastAsia" w:ascii="宋体" w:hAnsi="宋体" w:eastAsia="宋体" w:cs="宋体"/>
          <w:b w:val="0"/>
          <w:bCs w:val="0"/>
          <w:color w:val="auto"/>
          <w:sz w:val="28"/>
          <w:szCs w:val="28"/>
          <w:shd w:val="clear" w:color="auto" w:fill="FFFFFF"/>
        </w:rPr>
        <w:t> 二、遴选项目的主要需求</w:t>
      </w:r>
    </w:p>
    <w:tbl>
      <w:tblPr>
        <w:tblStyle w:val="12"/>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879"/>
        <w:gridCol w:w="2841"/>
        <w:gridCol w:w="1524"/>
        <w:gridCol w:w="1535"/>
        <w:gridCol w:w="1650"/>
      </w:tblGrid>
      <w:tr w14:paraId="5CF442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20" w:hRule="atLeast"/>
          <w:jc w:val="center"/>
        </w:trPr>
        <w:tc>
          <w:tcPr>
            <w:tcW w:w="879" w:type="dxa"/>
            <w:vMerge w:val="restar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2C11CF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包/品目号</w:t>
            </w:r>
          </w:p>
        </w:tc>
        <w:tc>
          <w:tcPr>
            <w:tcW w:w="2841" w:type="dxa"/>
            <w:vMerge w:val="restart"/>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31E550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标的物名称</w:t>
            </w:r>
          </w:p>
        </w:tc>
        <w:tc>
          <w:tcPr>
            <w:tcW w:w="4709" w:type="dxa"/>
            <w:gridSpan w:val="3"/>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108ABBA7">
            <w:pPr>
              <w:pStyle w:val="10"/>
              <w:spacing w:before="0" w:beforeAutospacing="0" w:after="0" w:afterAutospacing="0"/>
              <w:jc w:val="center"/>
              <w:rPr>
                <w:rFonts w:hint="eastAsia" w:ascii="宋体" w:hAnsi="宋体" w:eastAsia="宋体" w:cs="宋体"/>
              </w:rPr>
            </w:pPr>
            <w:r>
              <w:rPr>
                <w:rFonts w:hint="eastAsia" w:ascii="宋体" w:hAnsi="宋体" w:eastAsia="宋体" w:cs="宋体"/>
                <w:b/>
                <w:sz w:val="21"/>
                <w:szCs w:val="21"/>
              </w:rPr>
              <w:t>标的主要需求</w:t>
            </w:r>
            <w:r>
              <w:rPr>
                <w:rFonts w:hint="eastAsia" w:ascii="宋体" w:hAnsi="宋体" w:eastAsia="宋体" w:cs="宋体"/>
                <w:sz w:val="20"/>
                <w:szCs w:val="20"/>
              </w:rPr>
              <w:t> </w:t>
            </w:r>
          </w:p>
        </w:tc>
      </w:tr>
      <w:tr w14:paraId="0A28A6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44" w:hRule="atLeast"/>
          <w:jc w:val="center"/>
        </w:trPr>
        <w:tc>
          <w:tcPr>
            <w:tcW w:w="879" w:type="dxa"/>
            <w:vMerge w:val="continue"/>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C4A5474">
            <w:pPr>
              <w:rPr>
                <w:rFonts w:hint="eastAsia" w:ascii="宋体" w:hAnsi="宋体" w:eastAsia="宋体" w:cs="宋体"/>
                <w:sz w:val="20"/>
                <w:szCs w:val="20"/>
              </w:rPr>
            </w:pPr>
          </w:p>
        </w:tc>
        <w:tc>
          <w:tcPr>
            <w:tcW w:w="2841" w:type="dxa"/>
            <w:vMerge w:val="continue"/>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231C6058">
            <w:pPr>
              <w:rPr>
                <w:rFonts w:hint="eastAsia" w:ascii="宋体" w:hAnsi="宋体" w:eastAsia="宋体" w:cs="宋体"/>
                <w:sz w:val="20"/>
                <w:szCs w:val="20"/>
              </w:rPr>
            </w:pPr>
          </w:p>
        </w:tc>
        <w:tc>
          <w:tcPr>
            <w:tcW w:w="1524"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47F37C1">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技术</w:t>
            </w:r>
          </w:p>
        </w:tc>
        <w:tc>
          <w:tcPr>
            <w:tcW w:w="1535" w:type="dxa"/>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15234DA2">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服务</w:t>
            </w:r>
          </w:p>
        </w:tc>
        <w:tc>
          <w:tcPr>
            <w:tcW w:w="1650" w:type="dxa"/>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0107AB76">
            <w:pPr>
              <w:pStyle w:val="10"/>
              <w:spacing w:before="0" w:beforeAutospacing="0" w:after="0" w:afterAutospacing="0"/>
              <w:jc w:val="center"/>
              <w:rPr>
                <w:rFonts w:hint="eastAsia" w:ascii="宋体" w:hAnsi="宋体" w:eastAsia="宋体" w:cs="宋体"/>
                <w:b/>
                <w:sz w:val="21"/>
                <w:szCs w:val="21"/>
              </w:rPr>
            </w:pPr>
          </w:p>
          <w:p w14:paraId="489630C0">
            <w:pPr>
              <w:pStyle w:val="10"/>
              <w:spacing w:before="0" w:beforeAutospacing="0" w:after="0" w:afterAutospacing="0"/>
              <w:jc w:val="center"/>
              <w:rPr>
                <w:rFonts w:hint="eastAsia" w:ascii="宋体" w:hAnsi="宋体" w:eastAsia="宋体" w:cs="宋体"/>
              </w:rPr>
            </w:pPr>
            <w:r>
              <w:rPr>
                <w:rFonts w:hint="eastAsia" w:ascii="宋体" w:hAnsi="宋体" w:eastAsia="宋体" w:cs="宋体"/>
                <w:b/>
                <w:sz w:val="21"/>
                <w:szCs w:val="21"/>
              </w:rPr>
              <w:t>合同条款</w:t>
            </w:r>
            <w:r>
              <w:rPr>
                <w:rFonts w:hint="eastAsia" w:ascii="宋体" w:hAnsi="宋体" w:eastAsia="宋体" w:cs="宋体"/>
                <w:sz w:val="20"/>
                <w:szCs w:val="20"/>
              </w:rPr>
              <w:t> </w:t>
            </w:r>
          </w:p>
        </w:tc>
      </w:tr>
      <w:tr w14:paraId="1BC39E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879" w:type="dxa"/>
            <w:tcBorders>
              <w:top w:val="single" w:color="auto" w:sz="0"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C991D5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整包</w:t>
            </w:r>
          </w:p>
        </w:tc>
        <w:tc>
          <w:tcPr>
            <w:tcW w:w="2841"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5D8569E4">
            <w:pPr>
              <w:pStyle w:val="10"/>
              <w:spacing w:before="0" w:beforeAutospacing="0" w:after="0" w:afterAutospacing="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怀化市</w:t>
            </w:r>
            <w:r>
              <w:rPr>
                <w:rFonts w:hint="eastAsia" w:cs="宋体"/>
                <w:sz w:val="21"/>
                <w:szCs w:val="21"/>
                <w:lang w:eastAsia="zh-CN"/>
              </w:rPr>
              <w:t>洪江市</w:t>
            </w:r>
            <w:r>
              <w:rPr>
                <w:rFonts w:hint="eastAsia" w:ascii="宋体" w:hAnsi="宋体" w:eastAsia="宋体" w:cs="宋体"/>
                <w:sz w:val="21"/>
                <w:szCs w:val="21"/>
                <w:lang w:eastAsia="zh-CN"/>
              </w:rPr>
              <w:t>2026—2028年政策性农业保险承保机构项目</w:t>
            </w:r>
          </w:p>
        </w:tc>
        <w:tc>
          <w:tcPr>
            <w:tcW w:w="4709" w:type="dxa"/>
            <w:gridSpan w:val="3"/>
            <w:tcBorders>
              <w:top w:val="single" w:color="auto" w:sz="0"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4911613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具体详细内容详见遴选方案。</w:t>
            </w:r>
          </w:p>
          <w:p w14:paraId="039B7E8F">
            <w:pPr>
              <w:pStyle w:val="10"/>
              <w:spacing w:before="0" w:beforeAutospacing="0" w:after="0" w:afterAutospacing="0"/>
              <w:rPr>
                <w:rFonts w:hint="eastAsia" w:ascii="宋体" w:hAnsi="宋体" w:eastAsia="宋体" w:cs="宋体"/>
              </w:rPr>
            </w:pPr>
            <w:r>
              <w:rPr>
                <w:rFonts w:hint="eastAsia" w:ascii="宋体" w:hAnsi="宋体" w:eastAsia="宋体" w:cs="宋体"/>
                <w:sz w:val="20"/>
                <w:szCs w:val="20"/>
              </w:rPr>
              <w:t> </w:t>
            </w:r>
          </w:p>
        </w:tc>
      </w:tr>
      <w:tr w14:paraId="7F05C1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3720"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49BB957">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竞争性遴选项目可能实质性变动内容</w:t>
            </w:r>
          </w:p>
        </w:tc>
        <w:tc>
          <w:tcPr>
            <w:tcW w:w="152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1209E68">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061A78EF">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c>
          <w:tcPr>
            <w:tcW w:w="153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3C759B1">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0515FB0F">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c>
          <w:tcPr>
            <w:tcW w:w="165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9278B39">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6606404A">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r>
    </w:tbl>
    <w:p w14:paraId="38D661D0">
      <w:pPr>
        <w:pStyle w:val="10"/>
        <w:shd w:val="clear" w:color="auto" w:fill="FFFFFF"/>
        <w:spacing w:before="0" w:beforeAutospacing="0" w:after="0" w:afterAutospacing="0" w:line="315" w:lineRule="atLeast"/>
        <w:jc w:val="both"/>
        <w:rPr>
          <w:rFonts w:hint="eastAsia" w:ascii="宋体" w:hAnsi="宋体" w:eastAsia="宋体" w:cs="宋体"/>
          <w:color w:val="666666"/>
          <w:sz w:val="21"/>
          <w:szCs w:val="21"/>
        </w:rPr>
      </w:pPr>
      <w:r>
        <w:rPr>
          <w:rFonts w:hint="eastAsia" w:ascii="宋体" w:hAnsi="宋体" w:eastAsia="宋体" w:cs="宋体"/>
          <w:color w:val="666666"/>
          <w:sz w:val="21"/>
          <w:szCs w:val="21"/>
          <w:shd w:val="clear" w:color="auto" w:fill="FFFFFF"/>
        </w:rPr>
        <w:t> </w:t>
      </w:r>
    </w:p>
    <w:p w14:paraId="3E1B7B4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bookmarkStart w:id="5" w:name="_Toc22729"/>
      <w:bookmarkStart w:id="6" w:name="_Toc19640"/>
      <w:r>
        <w:rPr>
          <w:rFonts w:hint="eastAsia" w:ascii="宋体" w:hAnsi="宋体" w:eastAsia="宋体" w:cs="宋体"/>
          <w:sz w:val="28"/>
          <w:szCs w:val="28"/>
          <w:shd w:val="clear" w:color="auto" w:fill="FFFFFF"/>
        </w:rPr>
        <w:t>三、申请人资格条件：</w:t>
      </w:r>
      <w:bookmarkEnd w:id="5"/>
    </w:p>
    <w:p w14:paraId="723AB66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2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1、申请人需具备《湖南省财政厅</w:t>
      </w:r>
      <w:r>
        <w:rPr>
          <w:rFonts w:hint="eastAsia" w:ascii="宋体" w:hAnsi="宋体" w:eastAsia="宋体" w:cs="宋体"/>
          <w:sz w:val="28"/>
          <w:szCs w:val="28"/>
          <w:shd w:val="clear" w:color="auto" w:fill="FFFFFF"/>
          <w:lang w:val="en-US" w:eastAsia="zh-CN"/>
        </w:rPr>
        <w:t>湖南省农业农村厅</w:t>
      </w:r>
      <w:r>
        <w:rPr>
          <w:rFonts w:hint="eastAsia" w:ascii="宋体" w:hAnsi="宋体" w:eastAsia="宋体" w:cs="宋体"/>
          <w:sz w:val="28"/>
          <w:szCs w:val="28"/>
          <w:shd w:val="clear" w:color="auto" w:fill="FFFFFF"/>
        </w:rPr>
        <w:t>关于印发〈公开竞争性遴选政策性农业保险承保机构实施办法）的通知》（</w:t>
      </w:r>
      <w:r>
        <w:rPr>
          <w:rFonts w:hint="eastAsia" w:ascii="宋体" w:hAnsi="宋体" w:eastAsia="宋体" w:cs="宋体"/>
          <w:sz w:val="28"/>
          <w:szCs w:val="28"/>
          <w:shd w:val="clear" w:color="auto" w:fill="FFFFFF"/>
          <w:lang w:eastAsia="zh-CN"/>
        </w:rPr>
        <w:t>湘财金〔202</w:t>
      </w:r>
      <w:r>
        <w:rPr>
          <w:rFonts w:hint="eastAsia" w:ascii="宋体" w:hAnsi="宋体" w:eastAsia="宋体" w:cs="宋体"/>
          <w:sz w:val="28"/>
          <w:szCs w:val="28"/>
          <w:shd w:val="clear" w:color="auto" w:fill="FFFFFF"/>
          <w:lang w:val="en-US" w:eastAsia="zh-CN"/>
        </w:rPr>
        <w:t>6</w:t>
      </w:r>
      <w:r>
        <w:rPr>
          <w:rFonts w:hint="eastAsia" w:ascii="宋体" w:hAnsi="宋体" w:eastAsia="宋体" w:cs="宋体"/>
          <w:sz w:val="28"/>
          <w:szCs w:val="28"/>
          <w:shd w:val="clear" w:color="auto" w:fill="FFFFFF"/>
          <w:lang w:eastAsia="zh-CN"/>
        </w:rPr>
        <w:t>〕4号</w:t>
      </w:r>
      <w:r>
        <w:rPr>
          <w:rFonts w:hint="eastAsia" w:ascii="宋体" w:hAnsi="宋体" w:eastAsia="宋体" w:cs="宋体"/>
          <w:sz w:val="28"/>
          <w:szCs w:val="28"/>
          <w:shd w:val="clear" w:color="auto" w:fill="FFFFFF"/>
        </w:rPr>
        <w:t>）规定的基本资格条件：</w:t>
      </w:r>
    </w:p>
    <w:p w14:paraId="5BA9ABE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1</w:t>
      </w:r>
      <w:r>
        <w:rPr>
          <w:rFonts w:hint="eastAsia" w:ascii="宋体" w:hAnsi="宋体" w:eastAsia="宋体" w:cs="宋体"/>
          <w:sz w:val="28"/>
          <w:szCs w:val="28"/>
          <w:shd w:val="clear" w:color="auto" w:fill="FFFFFF"/>
        </w:rPr>
        <w:t>）申请人的省级公司必须在</w:t>
      </w:r>
      <w:r>
        <w:rPr>
          <w:rFonts w:hint="eastAsia" w:ascii="宋体" w:hAnsi="宋体" w:eastAsia="宋体" w:cs="宋体"/>
          <w:color w:val="0000FF"/>
          <w:sz w:val="28"/>
          <w:szCs w:val="28"/>
        </w:rPr>
        <w:t>湖南金融监管局</w:t>
      </w:r>
      <w:r>
        <w:rPr>
          <w:rFonts w:hint="eastAsia" w:ascii="宋体" w:hAnsi="宋体" w:eastAsia="宋体" w:cs="宋体"/>
          <w:sz w:val="28"/>
          <w:szCs w:val="28"/>
          <w:shd w:val="clear" w:color="auto" w:fill="FFFFFF"/>
        </w:rPr>
        <w:t>公布的符合农业保险业务经营条件的保险公司目录范围内。</w:t>
      </w:r>
    </w:p>
    <w:p w14:paraId="1ECA807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2</w:t>
      </w:r>
      <w:r>
        <w:rPr>
          <w:rFonts w:hint="eastAsia" w:ascii="宋体" w:hAnsi="宋体" w:eastAsia="宋体" w:cs="宋体"/>
          <w:sz w:val="28"/>
          <w:szCs w:val="28"/>
          <w:shd w:val="clear" w:color="auto" w:fill="FFFFFF"/>
        </w:rPr>
        <w:t>）具有完善的农业保险大灾风险分散机制</w:t>
      </w:r>
      <w:bookmarkStart w:id="41" w:name="_GoBack"/>
      <w:bookmarkEnd w:id="41"/>
      <w:r>
        <w:rPr>
          <w:rFonts w:hint="eastAsia" w:ascii="宋体" w:hAnsi="宋体" w:eastAsia="宋体" w:cs="宋体"/>
          <w:sz w:val="28"/>
          <w:szCs w:val="28"/>
          <w:shd w:val="clear" w:color="auto" w:fill="FFFFFF"/>
        </w:rPr>
        <w:t>。</w:t>
      </w:r>
    </w:p>
    <w:p w14:paraId="1164416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3</w:t>
      </w:r>
      <w:r>
        <w:rPr>
          <w:rFonts w:hint="eastAsia" w:ascii="宋体" w:hAnsi="宋体" w:eastAsia="宋体" w:cs="宋体"/>
          <w:sz w:val="28"/>
          <w:szCs w:val="28"/>
          <w:shd w:val="clear" w:color="auto" w:fill="FFFFFF"/>
        </w:rPr>
        <w:t>）具有完善的基层服务网络。</w:t>
      </w:r>
    </w:p>
    <w:p w14:paraId="5451A1ED">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4</w:t>
      </w:r>
      <w:r>
        <w:rPr>
          <w:rFonts w:hint="eastAsia" w:ascii="宋体" w:hAnsi="宋体" w:eastAsia="宋体" w:cs="宋体"/>
          <w:sz w:val="28"/>
          <w:szCs w:val="28"/>
          <w:shd w:val="clear" w:color="auto" w:fill="FFFFFF"/>
        </w:rPr>
        <w:t>）信息化建设满足业务管理要求，能够按要求与中国农业再保险股份有限公司(以下简称中国农再)约定分保业务信息系统进行对接；能够按要求与湖南省农业保险综合管理平台系统对接。</w:t>
      </w:r>
    </w:p>
    <w:p w14:paraId="35A86AB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5</w:t>
      </w:r>
      <w:r>
        <w:rPr>
          <w:rFonts w:hint="eastAsia" w:ascii="宋体" w:hAnsi="宋体" w:eastAsia="宋体" w:cs="宋体"/>
          <w:sz w:val="28"/>
          <w:szCs w:val="28"/>
          <w:shd w:val="clear" w:color="auto" w:fill="FFFFFF"/>
        </w:rPr>
        <w:t>）参加农业保险再保险体系改革试点，承保机构总公司已与中国农再签署当期有效的《政策性农业保险再保险标准协议》,双方可协商对有关条款进行调整。</w:t>
      </w:r>
    </w:p>
    <w:p w14:paraId="5476B35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6</w:t>
      </w:r>
      <w:r>
        <w:rPr>
          <w:rFonts w:hint="eastAsia" w:ascii="宋体" w:hAnsi="宋体" w:eastAsia="宋体" w:cs="宋体"/>
          <w:sz w:val="28"/>
          <w:szCs w:val="28"/>
          <w:shd w:val="clear" w:color="auto" w:fill="FFFFFF"/>
        </w:rPr>
        <w:t>）对于在财金〔2020〕128号文件印发后开业的承保机构，总公司开业时间需在5年以上(含),存在重组、更名或新设主体依法受让相关业务的，可以原主体开业时间为准。</w:t>
      </w:r>
    </w:p>
    <w:p w14:paraId="7E545C2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7</w:t>
      </w:r>
      <w:r>
        <w:rPr>
          <w:rFonts w:hint="eastAsia" w:ascii="宋体" w:hAnsi="宋体" w:eastAsia="宋体" w:cs="宋体"/>
          <w:sz w:val="28"/>
          <w:szCs w:val="28"/>
          <w:shd w:val="clear" w:color="auto" w:fill="FFFFFF"/>
        </w:rPr>
        <w:t>）在遴选区域具有经</w:t>
      </w:r>
      <w:r>
        <w:rPr>
          <w:rFonts w:hint="eastAsia" w:cs="宋体"/>
          <w:color w:val="FF0000"/>
          <w:sz w:val="28"/>
          <w:szCs w:val="28"/>
          <w:shd w:val="clear" w:color="auto" w:fill="FFFFFF"/>
          <w:lang w:val="en-US" w:eastAsia="zh-CN"/>
        </w:rPr>
        <w:t>金</w:t>
      </w:r>
      <w:r>
        <w:rPr>
          <w:rFonts w:hint="eastAsia" w:ascii="宋体" w:hAnsi="宋体" w:eastAsia="宋体" w:cs="宋体"/>
          <w:sz w:val="28"/>
          <w:szCs w:val="28"/>
          <w:shd w:val="clear" w:color="auto" w:fill="FFFFFF"/>
        </w:rPr>
        <w:t>监部门批准设立的下属分支机构，持有省级分公司出具的针对本区域遴选的授权文件。</w:t>
      </w:r>
    </w:p>
    <w:p w14:paraId="1D457CB9">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8</w:t>
      </w:r>
      <w:r>
        <w:rPr>
          <w:rFonts w:hint="eastAsia" w:ascii="宋体" w:hAnsi="宋体" w:eastAsia="宋体" w:cs="宋体"/>
          <w:sz w:val="28"/>
          <w:szCs w:val="28"/>
          <w:shd w:val="clear" w:color="auto" w:fill="FFFFFF"/>
        </w:rPr>
        <w:t>）财政部门规定的其他条件。</w:t>
      </w:r>
    </w:p>
    <w:p w14:paraId="3E196EA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（9）存在以下情况的保险机构不得参加遴选：</w:t>
      </w:r>
    </w:p>
    <w:p w14:paraId="4651F4F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①以联合体(共保体)形式或委托其他保险机构、中介机构代为办理的；</w:t>
      </w:r>
    </w:p>
    <w:p w14:paraId="284EDC8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②以销售网点、“三农”保险服务网点等非市县级分支机构申请的，区级分支机构申请市州本级及所辖区遴选的，市级及以上分支机构申请省直管县市遴选的；</w:t>
      </w:r>
    </w:p>
    <w:p w14:paraId="125E5879">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666666"/>
          <w:sz w:val="28"/>
          <w:szCs w:val="28"/>
        </w:rPr>
      </w:pPr>
      <w:r>
        <w:rPr>
          <w:rFonts w:hint="eastAsia" w:ascii="宋体" w:hAnsi="宋体" w:eastAsia="宋体" w:cs="宋体"/>
          <w:sz w:val="28"/>
          <w:szCs w:val="28"/>
          <w:shd w:val="clear" w:color="auto" w:fill="FFFFFF"/>
        </w:rPr>
        <w:t>③在参选地区农业保险业务违法违规被财政部门或监管部门</w:t>
      </w:r>
      <w:r>
        <w:rPr>
          <w:rFonts w:hint="eastAsia" w:cs="宋体"/>
          <w:sz w:val="28"/>
          <w:szCs w:val="28"/>
          <w:shd w:val="clear" w:color="auto" w:fill="FFFFFF"/>
          <w:lang w:val="en-US" w:eastAsia="zh-CN"/>
        </w:rPr>
        <w:t>进行</w:t>
      </w:r>
      <w:r>
        <w:rPr>
          <w:rFonts w:hint="eastAsia" w:cs="宋体"/>
          <w:color w:val="FF0000"/>
          <w:sz w:val="28"/>
          <w:szCs w:val="28"/>
          <w:shd w:val="clear" w:color="auto" w:fill="FFFFFF"/>
          <w:lang w:val="en-US" w:eastAsia="zh-CN"/>
        </w:rPr>
        <w:t>重大行政处罚</w:t>
      </w:r>
      <w:r>
        <w:rPr>
          <w:rFonts w:hint="eastAsia" w:ascii="宋体" w:hAnsi="宋体" w:eastAsia="宋体" w:cs="宋体"/>
          <w:color w:val="FF0000"/>
          <w:sz w:val="28"/>
          <w:szCs w:val="28"/>
          <w:shd w:val="clear" w:color="auto" w:fill="FFFFFF"/>
        </w:rPr>
        <w:t>且</w:t>
      </w:r>
      <w:r>
        <w:rPr>
          <w:rFonts w:hint="eastAsia" w:ascii="宋体" w:hAnsi="宋体" w:eastAsia="宋体" w:cs="宋体"/>
          <w:sz w:val="28"/>
          <w:szCs w:val="28"/>
          <w:shd w:val="clear" w:color="auto" w:fill="FFFFFF"/>
        </w:rPr>
        <w:t>尚在处罚期的，以及因农业保险绩效评价取消财政补贴资格期内的。</w:t>
      </w:r>
      <w:r>
        <w:rPr>
          <w:rFonts w:hint="eastAsia" w:ascii="宋体" w:hAnsi="宋体" w:eastAsia="宋体" w:cs="宋体"/>
          <w:color w:val="666666"/>
          <w:sz w:val="28"/>
          <w:szCs w:val="28"/>
          <w:shd w:val="clear" w:color="auto" w:fill="FFFFFF"/>
        </w:rPr>
        <w:t> </w:t>
      </w:r>
    </w:p>
    <w:p w14:paraId="4DA53280">
      <w:pPr>
        <w:pStyle w:val="10"/>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bookmarkStart w:id="7" w:name="_Toc32172"/>
      <w:r>
        <w:rPr>
          <w:rFonts w:hint="eastAsia" w:ascii="宋体" w:hAnsi="宋体" w:eastAsia="宋体" w:cs="宋体"/>
          <w:sz w:val="28"/>
          <w:szCs w:val="28"/>
          <w:shd w:val="clear" w:color="auto" w:fill="FFFFFF"/>
          <w:lang w:eastAsia="zh-CN"/>
        </w:rPr>
        <w:t>选定数量</w:t>
      </w:r>
    </w:p>
    <w:p w14:paraId="3B88F0D0">
      <w:pPr>
        <w:pStyle w:val="10"/>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lang w:val="en-US" w:eastAsia="zh-CN"/>
        </w:rPr>
        <w:t>本次遴选确定怀化市</w:t>
      </w:r>
      <w:r>
        <w:rPr>
          <w:rFonts w:hint="eastAsia" w:cs="宋体"/>
          <w:sz w:val="28"/>
          <w:szCs w:val="28"/>
          <w:lang w:eastAsia="zh-CN"/>
        </w:rPr>
        <w:t>洪江市</w:t>
      </w:r>
      <w:r>
        <w:rPr>
          <w:rFonts w:hint="eastAsia" w:ascii="宋体" w:hAnsi="宋体" w:eastAsia="宋体" w:cs="宋体"/>
          <w:sz w:val="28"/>
          <w:szCs w:val="28"/>
          <w:lang w:val="en-US" w:eastAsia="zh-CN"/>
        </w:rPr>
        <w:t>2026—2028</w:t>
      </w:r>
      <w:r>
        <w:rPr>
          <w:rFonts w:hint="eastAsia" w:ascii="宋体" w:hAnsi="宋体" w:eastAsia="宋体" w:cs="宋体"/>
          <w:sz w:val="28"/>
          <w:szCs w:val="28"/>
          <w:shd w:val="clear" w:color="auto" w:fill="FFFFFF"/>
          <w:lang w:val="en-US" w:eastAsia="zh-CN"/>
        </w:rPr>
        <w:t>年政策性农业保险承保机构5家</w:t>
      </w:r>
    </w:p>
    <w:bookmarkEnd w:id="7"/>
    <w:p w14:paraId="2CAE00F4">
      <w:pPr>
        <w:pStyle w:val="10"/>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lang w:eastAsia="zh-CN"/>
        </w:rPr>
      </w:pPr>
      <w:bookmarkStart w:id="8" w:name="_Toc24395"/>
      <w:r>
        <w:rPr>
          <w:rFonts w:hint="eastAsia" w:ascii="宋体" w:hAnsi="宋体" w:eastAsia="宋体" w:cs="宋体"/>
          <w:color w:val="auto"/>
          <w:sz w:val="28"/>
          <w:szCs w:val="28"/>
          <w:shd w:val="clear" w:color="auto" w:fill="FFFFFF"/>
          <w:lang w:eastAsia="zh-CN"/>
        </w:rPr>
        <w:t>响应文件提交的截止时间、开启时间及地点</w:t>
      </w:r>
      <w:bookmarkEnd w:id="8"/>
    </w:p>
    <w:p w14:paraId="32B56B3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lang w:val="en-US" w:eastAsia="zh-CN"/>
        </w:rPr>
      </w:pPr>
      <w:r>
        <w:rPr>
          <w:rFonts w:hint="eastAsia" w:ascii="宋体" w:hAnsi="宋体" w:eastAsia="宋体" w:cs="宋体"/>
          <w:color w:val="auto"/>
          <w:sz w:val="28"/>
          <w:szCs w:val="28"/>
          <w:shd w:val="clear" w:color="auto" w:fill="FFFFFF"/>
          <w:lang w:val="en-US" w:eastAsia="zh-CN"/>
        </w:rPr>
        <w:t>开标时间：</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2026年02月</w:t>
      </w:r>
      <w:r>
        <w:rPr>
          <w:rFonts w:hint="eastAsia" w:cs="宋体"/>
          <w:color w:val="F79646" w:themeColor="accent6"/>
          <w:sz w:val="28"/>
          <w:szCs w:val="28"/>
          <w:highlight w:val="none"/>
          <w:shd w:val="clear" w:color="auto" w:fill="FFFFFF"/>
          <w:lang w:val="en-US" w:eastAsia="zh-CN"/>
          <w14:textFill>
            <w14:solidFill>
              <w14:schemeClr w14:val="accent6"/>
            </w14:solidFill>
          </w14:textFill>
        </w:rPr>
        <w:t>10</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日</w:t>
      </w:r>
      <w:r>
        <w:rPr>
          <w:rFonts w:hint="eastAsia" w:cs="宋体"/>
          <w:color w:val="F79646" w:themeColor="accent6"/>
          <w:sz w:val="28"/>
          <w:szCs w:val="28"/>
          <w:highlight w:val="none"/>
          <w:shd w:val="clear" w:color="auto" w:fill="FFFFFF"/>
          <w:lang w:val="en-US" w:eastAsia="zh-CN"/>
          <w14:textFill>
            <w14:solidFill>
              <w14:schemeClr w14:val="accent6"/>
            </w14:solidFill>
          </w14:textFill>
        </w:rPr>
        <w:t>下午14</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时</w:t>
      </w:r>
      <w:r>
        <w:rPr>
          <w:rFonts w:hint="eastAsia" w:cs="宋体"/>
          <w:color w:val="F79646" w:themeColor="accent6"/>
          <w:sz w:val="28"/>
          <w:szCs w:val="28"/>
          <w:highlight w:val="none"/>
          <w:shd w:val="clear" w:color="auto" w:fill="FFFFFF"/>
          <w:lang w:val="en-US" w:eastAsia="zh-CN"/>
          <w14:textFill>
            <w14:solidFill>
              <w14:schemeClr w14:val="accent6"/>
            </w14:solidFill>
          </w14:textFill>
        </w:rPr>
        <w:t>30</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分</w:t>
      </w:r>
      <w:r>
        <w:rPr>
          <w:rFonts w:hint="eastAsia" w:cs="宋体"/>
          <w:color w:val="F79646" w:themeColor="accent6"/>
          <w:sz w:val="28"/>
          <w:szCs w:val="28"/>
          <w:highlight w:val="none"/>
          <w:shd w:val="clear" w:color="auto" w:fill="FFFFFF"/>
          <w:lang w:val="en-US" w:eastAsia="zh-CN"/>
          <w14:textFill>
            <w14:solidFill>
              <w14:schemeClr w14:val="accent6"/>
            </w14:solidFill>
          </w14:textFill>
        </w:rPr>
        <w:t>（北京时间）</w:t>
      </w:r>
    </w:p>
    <w:p w14:paraId="2AC3CB6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lang w:val="en-US" w:eastAsia="zh-CN"/>
        </w:rPr>
        <w:t>开标地址：湖南德信项目管理有限公司开标室（怀化市鹤城区天星路天星坪富达商业广场六楼）。</w:t>
      </w:r>
    </w:p>
    <w:p w14:paraId="70FD50C0">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逾期送达的或者未送达指定地点的申请文件将拒绝接收。届时请申请人的公司负责人或其委托代理人准时到会，出示公司负责人身份证明或授权委托书（附公司负责人身份证明）、个人身份证原件并签名以示出席，否则其申请将被拒绝。</w:t>
      </w:r>
      <w:r>
        <w:rPr>
          <w:rFonts w:hint="eastAsia" w:ascii="宋体" w:hAnsi="宋体" w:eastAsia="宋体" w:cs="宋体"/>
          <w:sz w:val="28"/>
          <w:szCs w:val="28"/>
          <w:shd w:val="clear" w:color="auto" w:fill="FFFFFF"/>
          <w:lang w:val="en-US" w:eastAsia="zh-CN"/>
        </w:rPr>
        <w:t xml:space="preserve"> </w:t>
      </w:r>
    </w:p>
    <w:p w14:paraId="31236EB1">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注：若对本项目存在相关质疑，请质疑方携带省公司负责人身份证明或授权人（必须为本单位员工且提供本企业近6个月社保缴纳证明原件）委托书及公司营业执照原件至</w:t>
      </w:r>
      <w:r>
        <w:rPr>
          <w:rFonts w:hint="eastAsia" w:ascii="宋体" w:hAnsi="宋体" w:eastAsia="宋体" w:cs="宋体"/>
          <w:sz w:val="28"/>
          <w:szCs w:val="28"/>
          <w:shd w:val="clear" w:color="auto" w:fill="FFFFFF"/>
          <w:lang w:val="en-US" w:eastAsia="zh-CN"/>
        </w:rPr>
        <w:t>湖南德信项目管理有限公司（怀化市鹤城区天星路天星坪富达商业广场六楼）</w:t>
      </w:r>
      <w:r>
        <w:rPr>
          <w:rFonts w:hint="eastAsia" w:ascii="宋体" w:hAnsi="宋体" w:eastAsia="宋体" w:cs="宋体"/>
          <w:sz w:val="28"/>
          <w:szCs w:val="28"/>
          <w:shd w:val="clear" w:color="auto" w:fill="FFFFFF"/>
        </w:rPr>
        <w:t>现场提交质疑书，我公司不接受邮件或快递形式所递交的质疑文件。</w:t>
      </w:r>
    </w:p>
    <w:bookmarkEnd w:id="6"/>
    <w:p w14:paraId="0D5805E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六、遴选项目联系人姓名和电话</w:t>
      </w:r>
    </w:p>
    <w:p w14:paraId="021399B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遴 选 人：</w:t>
      </w:r>
      <w:r>
        <w:rPr>
          <w:rFonts w:hint="eastAsia" w:ascii="宋体" w:hAnsi="宋体" w:eastAsia="宋体" w:cs="宋体"/>
          <w:sz w:val="28"/>
          <w:szCs w:val="28"/>
          <w:shd w:val="clear" w:color="auto" w:fill="FFFFFF"/>
          <w:lang w:val="en-US" w:eastAsia="zh-CN"/>
        </w:rPr>
        <w:t>怀化市</w:t>
      </w:r>
      <w:r>
        <w:rPr>
          <w:rFonts w:hint="eastAsia" w:ascii="宋体" w:hAnsi="宋体" w:eastAsia="宋体" w:cs="宋体"/>
          <w:sz w:val="28"/>
          <w:szCs w:val="28"/>
          <w:shd w:val="clear" w:color="auto" w:fill="FFFFFF"/>
        </w:rPr>
        <w:t>财政局</w:t>
      </w:r>
      <w:r>
        <w:rPr>
          <w:rFonts w:hint="eastAsia" w:ascii="宋体" w:hAnsi="宋体" w:eastAsia="宋体" w:cs="宋体"/>
          <w:sz w:val="28"/>
          <w:szCs w:val="28"/>
          <w:shd w:val="clear" w:color="auto" w:fill="FFFFFF"/>
          <w:lang w:val="en-US" w:eastAsia="zh-CN"/>
        </w:rPr>
        <w:t xml:space="preserve"> 怀化市农业农村局</w:t>
      </w:r>
    </w:p>
    <w:p w14:paraId="5BF4DAF2">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联 系 人：谢先生、孙先生</w:t>
      </w:r>
    </w:p>
    <w:p w14:paraId="38FA2EA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电    话：</w:t>
      </w:r>
      <w:r>
        <w:rPr>
          <w:rFonts w:hint="eastAsia" w:ascii="宋体" w:hAnsi="宋体" w:eastAsia="宋体" w:cs="宋体"/>
          <w:color w:val="auto"/>
          <w:sz w:val="28"/>
          <w:szCs w:val="28"/>
          <w:shd w:val="clear" w:color="auto" w:fill="FFFFFF"/>
          <w:lang w:val="en-US" w:eastAsia="zh-CN"/>
        </w:rPr>
        <w:t>0745-2218002</w:t>
      </w:r>
    </w:p>
    <w:p w14:paraId="280D6C5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0000FF"/>
          <w:sz w:val="28"/>
          <w:szCs w:val="28"/>
          <w:shd w:val="clear" w:color="auto" w:fill="FFFFFF"/>
        </w:rPr>
      </w:pPr>
      <w:r>
        <w:rPr>
          <w:rFonts w:hint="eastAsia" w:ascii="宋体" w:hAnsi="宋体" w:eastAsia="宋体" w:cs="宋体"/>
          <w:color w:val="auto"/>
          <w:sz w:val="28"/>
          <w:szCs w:val="28"/>
          <w:shd w:val="clear" w:color="auto" w:fill="FFFFFF"/>
        </w:rPr>
        <w:t>地    址：：</w:t>
      </w:r>
      <w:r>
        <w:rPr>
          <w:rFonts w:hint="eastAsia" w:ascii="宋体" w:hAnsi="宋体" w:eastAsia="宋体" w:cs="宋体"/>
          <w:color w:val="auto"/>
          <w:sz w:val="28"/>
          <w:szCs w:val="28"/>
          <w:shd w:val="clear" w:color="auto" w:fill="FFFFFF"/>
          <w:lang w:eastAsia="zh-CN"/>
        </w:rPr>
        <w:t>怀化市市民服务中心A栋12楼1231室</w:t>
      </w:r>
    </w:p>
    <w:p w14:paraId="601CC16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rPr>
        <w:t>代理机构名称：</w:t>
      </w:r>
      <w:r>
        <w:rPr>
          <w:rFonts w:hint="eastAsia" w:ascii="宋体" w:hAnsi="宋体" w:eastAsia="宋体" w:cs="宋体"/>
          <w:sz w:val="28"/>
          <w:szCs w:val="28"/>
          <w:shd w:val="clear" w:color="auto" w:fill="FFFFFF"/>
          <w:lang w:eastAsia="zh-CN"/>
        </w:rPr>
        <w:t>湖南德信项目管理有限公司</w:t>
      </w:r>
    </w:p>
    <w:p w14:paraId="341C26B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rPr>
        <w:t>联系人：</w:t>
      </w:r>
      <w:r>
        <w:rPr>
          <w:rFonts w:hint="eastAsia" w:ascii="宋体" w:hAnsi="宋体" w:eastAsia="宋体" w:cs="宋体"/>
          <w:sz w:val="28"/>
          <w:szCs w:val="28"/>
          <w:shd w:val="clear" w:color="auto" w:fill="FFFFFF"/>
          <w:lang w:eastAsia="zh-CN"/>
        </w:rPr>
        <w:t>向女士</w:t>
      </w:r>
    </w:p>
    <w:p w14:paraId="6A4A647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电  话：</w:t>
      </w:r>
      <w:r>
        <w:rPr>
          <w:rFonts w:hint="eastAsia" w:ascii="宋体" w:hAnsi="宋体" w:eastAsia="宋体" w:cs="宋体"/>
          <w:sz w:val="28"/>
          <w:szCs w:val="28"/>
          <w:shd w:val="clear" w:color="auto" w:fill="FFFFFF"/>
          <w:lang w:val="en-US" w:eastAsia="zh-CN"/>
        </w:rPr>
        <w:t>19269645886</w:t>
      </w:r>
    </w:p>
    <w:p w14:paraId="13EB08DD">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地  址：</w:t>
      </w:r>
      <w:r>
        <w:rPr>
          <w:rFonts w:hint="eastAsia" w:ascii="宋体" w:hAnsi="宋体" w:eastAsia="宋体" w:cs="宋体"/>
          <w:sz w:val="28"/>
          <w:szCs w:val="28"/>
          <w:shd w:val="clear" w:color="auto" w:fill="FFFFFF"/>
          <w:lang w:val="en-US" w:eastAsia="zh-CN"/>
        </w:rPr>
        <w:t>怀化市天星坪富达商业广场六楼</w:t>
      </w:r>
    </w:p>
    <w:p w14:paraId="60D213CC">
      <w:pPr>
        <w:spacing w:line="600" w:lineRule="exact"/>
        <w:ind w:firstLine="640" w:firstLineChars="200"/>
        <w:jc w:val="center"/>
        <w:rPr>
          <w:rFonts w:hint="eastAsia" w:ascii="宋体" w:hAnsi="宋体" w:eastAsia="宋体" w:cs="宋体"/>
          <w:sz w:val="32"/>
          <w:szCs w:val="32"/>
        </w:rPr>
      </w:pPr>
      <w:r>
        <w:rPr>
          <w:rFonts w:hint="eastAsia" w:ascii="宋体" w:hAnsi="宋体" w:eastAsia="宋体" w:cs="宋体"/>
          <w:sz w:val="32"/>
          <w:szCs w:val="32"/>
        </w:rPr>
        <w:br w:type="page"/>
      </w:r>
      <w:bookmarkStart w:id="9" w:name="遴选须知"/>
    </w:p>
    <w:p w14:paraId="13A5740A">
      <w:pPr>
        <w:pStyle w:val="2"/>
        <w:bidi w:val="0"/>
        <w:jc w:val="center"/>
        <w:rPr>
          <w:rFonts w:hint="eastAsia" w:ascii="宋体" w:hAnsi="宋体" w:eastAsia="宋体" w:cs="宋体"/>
        </w:rPr>
      </w:pPr>
      <w:bookmarkStart w:id="10" w:name="_Toc26056"/>
      <w:r>
        <w:rPr>
          <w:rFonts w:hint="eastAsia" w:ascii="宋体" w:hAnsi="宋体" w:eastAsia="宋体" w:cs="宋体"/>
        </w:rPr>
        <w:t>第二章　遴选须知</w:t>
      </w:r>
      <w:bookmarkEnd w:id="10"/>
    </w:p>
    <w:bookmarkEnd w:id="9"/>
    <w:p w14:paraId="337EA11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bookmarkStart w:id="11" w:name="_Toc28161"/>
    </w:p>
    <w:p w14:paraId="143E7D2F">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一、遴选遵循的原则</w:t>
      </w:r>
      <w:bookmarkEnd w:id="11"/>
    </w:p>
    <w:p w14:paraId="351C9D26">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bookmarkStart w:id="12" w:name="_Toc13511"/>
      <w:r>
        <w:rPr>
          <w:rFonts w:hint="eastAsia" w:ascii="宋体" w:hAnsi="宋体" w:eastAsia="宋体" w:cs="宋体"/>
          <w:color w:val="auto"/>
          <w:sz w:val="28"/>
          <w:szCs w:val="28"/>
        </w:rPr>
        <w:t>公开竞争性遴选政策性农业保险承保机构遵循</w:t>
      </w:r>
      <w:r>
        <w:rPr>
          <w:rFonts w:hint="eastAsia" w:ascii="宋体" w:hAnsi="宋体" w:eastAsia="宋体" w:cs="宋体"/>
          <w:color w:val="auto"/>
          <w:sz w:val="28"/>
          <w:szCs w:val="28"/>
          <w:lang w:eastAsia="zh-CN"/>
        </w:rPr>
        <w:t>客观</w:t>
      </w:r>
      <w:r>
        <w:rPr>
          <w:rFonts w:hint="eastAsia" w:ascii="宋体" w:hAnsi="宋体" w:eastAsia="宋体" w:cs="宋体"/>
          <w:color w:val="auto"/>
          <w:sz w:val="28"/>
          <w:szCs w:val="28"/>
        </w:rPr>
        <w:t>公</w:t>
      </w:r>
      <w:r>
        <w:rPr>
          <w:rFonts w:hint="eastAsia" w:ascii="宋体" w:hAnsi="宋体" w:eastAsia="宋体" w:cs="宋体"/>
          <w:color w:val="auto"/>
          <w:sz w:val="28"/>
          <w:szCs w:val="28"/>
          <w:lang w:eastAsia="zh-CN"/>
        </w:rPr>
        <w:t>正</w:t>
      </w:r>
      <w:r>
        <w:rPr>
          <w:rFonts w:hint="eastAsia" w:ascii="宋体" w:hAnsi="宋体" w:eastAsia="宋体" w:cs="宋体"/>
          <w:color w:val="auto"/>
          <w:sz w:val="28"/>
          <w:szCs w:val="28"/>
        </w:rPr>
        <w:t>、公平</w:t>
      </w:r>
      <w:r>
        <w:rPr>
          <w:rFonts w:hint="eastAsia" w:ascii="宋体" w:hAnsi="宋体" w:eastAsia="宋体" w:cs="宋体"/>
          <w:color w:val="auto"/>
          <w:sz w:val="28"/>
          <w:szCs w:val="28"/>
          <w:lang w:eastAsia="zh-CN"/>
        </w:rPr>
        <w:t>竞争</w:t>
      </w:r>
      <w:r>
        <w:rPr>
          <w:rFonts w:hint="eastAsia" w:ascii="宋体" w:hAnsi="宋体" w:eastAsia="宋体" w:cs="宋体"/>
          <w:color w:val="auto"/>
          <w:sz w:val="28"/>
          <w:szCs w:val="28"/>
        </w:rPr>
        <w:t>、诚实信用原则，</w:t>
      </w:r>
      <w:r>
        <w:rPr>
          <w:rFonts w:hint="eastAsia" w:ascii="宋体" w:hAnsi="宋体" w:eastAsia="宋体" w:cs="宋体"/>
          <w:color w:val="auto"/>
          <w:sz w:val="28"/>
          <w:szCs w:val="28"/>
          <w:lang w:eastAsia="zh-CN"/>
        </w:rPr>
        <w:t>突出</w:t>
      </w:r>
      <w:r>
        <w:rPr>
          <w:rFonts w:hint="eastAsia" w:ascii="宋体" w:hAnsi="宋体" w:eastAsia="宋体" w:cs="宋体"/>
          <w:color w:val="auto"/>
          <w:sz w:val="28"/>
          <w:szCs w:val="28"/>
        </w:rPr>
        <w:t>以承保机构服务能力</w:t>
      </w:r>
      <w:r>
        <w:rPr>
          <w:rFonts w:hint="eastAsia" w:ascii="宋体" w:hAnsi="宋体" w:eastAsia="宋体" w:cs="宋体"/>
          <w:color w:val="auto"/>
          <w:sz w:val="28"/>
          <w:szCs w:val="28"/>
          <w:lang w:eastAsia="zh-CN"/>
        </w:rPr>
        <w:t>、合规经营能力、风险管控能力</w:t>
      </w:r>
      <w:r>
        <w:rPr>
          <w:rFonts w:hint="eastAsia" w:ascii="宋体" w:hAnsi="宋体" w:eastAsia="宋体" w:cs="宋体"/>
          <w:color w:val="auto"/>
          <w:sz w:val="28"/>
          <w:szCs w:val="28"/>
        </w:rPr>
        <w:t>为导向，</w:t>
      </w:r>
      <w:r>
        <w:rPr>
          <w:rFonts w:hint="eastAsia" w:ascii="宋体" w:hAnsi="宋体" w:eastAsia="宋体" w:cs="宋体"/>
          <w:color w:val="auto"/>
          <w:sz w:val="28"/>
          <w:szCs w:val="28"/>
          <w:lang w:eastAsia="zh-CN"/>
        </w:rPr>
        <w:t>以绩效评价结果为基础，落实财政部和省财政厅年度农业保险保费补贴整体绩效目标有关要求，</w:t>
      </w:r>
      <w:r>
        <w:rPr>
          <w:rFonts w:hint="eastAsia" w:ascii="宋体" w:hAnsi="宋体" w:eastAsia="宋体" w:cs="宋体"/>
          <w:color w:val="auto"/>
          <w:sz w:val="28"/>
          <w:szCs w:val="28"/>
        </w:rPr>
        <w:t>切实</w:t>
      </w:r>
      <w:r>
        <w:rPr>
          <w:rFonts w:hint="eastAsia" w:ascii="宋体" w:hAnsi="宋体" w:eastAsia="宋体" w:cs="宋体"/>
          <w:color w:val="auto"/>
          <w:sz w:val="28"/>
          <w:szCs w:val="28"/>
          <w:lang w:eastAsia="zh-CN"/>
        </w:rPr>
        <w:t>提升</w:t>
      </w:r>
      <w:r>
        <w:rPr>
          <w:rFonts w:hint="eastAsia" w:ascii="宋体" w:hAnsi="宋体" w:eastAsia="宋体" w:cs="宋体"/>
          <w:color w:val="auto"/>
          <w:sz w:val="28"/>
          <w:szCs w:val="28"/>
        </w:rPr>
        <w:t>农业保险服务</w:t>
      </w:r>
      <w:r>
        <w:rPr>
          <w:rFonts w:hint="eastAsia" w:ascii="宋体" w:hAnsi="宋体" w:eastAsia="宋体" w:cs="宋体"/>
          <w:color w:val="auto"/>
          <w:sz w:val="28"/>
          <w:szCs w:val="28"/>
          <w:lang w:eastAsia="zh-CN"/>
        </w:rPr>
        <w:t>质量</w:t>
      </w:r>
      <w:r>
        <w:rPr>
          <w:rFonts w:hint="eastAsia" w:ascii="宋体" w:hAnsi="宋体" w:eastAsia="宋体" w:cs="宋体"/>
          <w:color w:val="auto"/>
          <w:sz w:val="28"/>
          <w:szCs w:val="28"/>
        </w:rPr>
        <w:t>。</w:t>
      </w:r>
    </w:p>
    <w:p w14:paraId="5C29DD63">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本项目遴选对象为保险公司县级分支机构，不接受市州级分支机构报名。</w:t>
      </w:r>
    </w:p>
    <w:p w14:paraId="7075778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二、遴选险种</w:t>
      </w:r>
      <w:bookmarkEnd w:id="12"/>
    </w:p>
    <w:p w14:paraId="6256742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b/>
          <w:bCs/>
          <w:color w:val="auto"/>
          <w:sz w:val="28"/>
          <w:szCs w:val="28"/>
          <w:lang w:val="en-US" w:eastAsia="zh-CN"/>
        </w:rPr>
      </w:pPr>
      <w:bookmarkStart w:id="13" w:name="_Toc29974"/>
      <w:bookmarkStart w:id="14" w:name="_Toc13008"/>
      <w:r>
        <w:rPr>
          <w:rFonts w:hint="eastAsia" w:ascii="宋体" w:hAnsi="宋体" w:eastAsia="宋体" w:cs="宋体"/>
          <w:b w:val="0"/>
          <w:bCs w:val="0"/>
          <w:color w:val="auto"/>
          <w:sz w:val="28"/>
          <w:szCs w:val="28"/>
        </w:rPr>
        <w:t>本次遴选在</w:t>
      </w:r>
      <w:r>
        <w:rPr>
          <w:rFonts w:hint="eastAsia" w:ascii="宋体" w:hAnsi="宋体" w:eastAsia="宋体" w:cs="宋体"/>
          <w:b w:val="0"/>
          <w:bCs w:val="0"/>
          <w:color w:val="auto"/>
          <w:sz w:val="28"/>
          <w:szCs w:val="28"/>
          <w:lang w:val="en-US" w:eastAsia="zh-CN"/>
        </w:rPr>
        <w:t>洪江市</w:t>
      </w:r>
      <w:r>
        <w:rPr>
          <w:rFonts w:hint="eastAsia" w:ascii="宋体" w:hAnsi="宋体" w:eastAsia="宋体" w:cs="宋体"/>
          <w:b w:val="0"/>
          <w:bCs w:val="0"/>
          <w:color w:val="auto"/>
          <w:sz w:val="28"/>
          <w:szCs w:val="28"/>
        </w:rPr>
        <w:t>内开展政策农业保险品种业务（不含省级共保）的承保机构。政策性农业保险品种</w:t>
      </w:r>
      <w:r>
        <w:rPr>
          <w:rFonts w:hint="eastAsia" w:ascii="宋体" w:hAnsi="宋体" w:eastAsia="宋体" w:cs="宋体"/>
          <w:b w:val="0"/>
          <w:bCs w:val="0"/>
          <w:color w:val="auto"/>
          <w:sz w:val="28"/>
          <w:szCs w:val="28"/>
          <w:lang w:val="en-US" w:eastAsia="zh-CN"/>
        </w:rPr>
        <w:t>中央财政补贴的农业保险品种8个</w:t>
      </w:r>
      <w:r>
        <w:rPr>
          <w:rFonts w:hint="eastAsia" w:ascii="宋体" w:hAnsi="宋体" w:eastAsia="宋体" w:cs="宋体"/>
          <w:b w:val="0"/>
          <w:bCs w:val="0"/>
          <w:color w:val="auto"/>
          <w:sz w:val="28"/>
          <w:szCs w:val="28"/>
        </w:rPr>
        <w:t>：水稻</w:t>
      </w:r>
      <w:r>
        <w:rPr>
          <w:rFonts w:hint="eastAsia" w:ascii="宋体" w:hAnsi="宋体" w:eastAsia="宋体" w:cs="宋体"/>
          <w:b w:val="0"/>
          <w:bCs w:val="0"/>
          <w:color w:val="auto"/>
          <w:sz w:val="28"/>
          <w:szCs w:val="28"/>
          <w:lang w:eastAsia="zh-CN"/>
        </w:rPr>
        <w:t>、油菜、玉米、能繁母猪、育肥猪、公益林、商品林、大豆</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eastAsia="zh-CN"/>
        </w:rPr>
        <w:t>采取</w:t>
      </w:r>
      <w:r>
        <w:rPr>
          <w:rFonts w:hint="eastAsia" w:ascii="宋体" w:hAnsi="宋体" w:eastAsia="宋体" w:cs="宋体"/>
          <w:b w:val="0"/>
          <w:bCs w:val="0"/>
          <w:color w:val="auto"/>
          <w:sz w:val="28"/>
          <w:szCs w:val="28"/>
          <w:lang w:val="en-US" w:eastAsia="zh-CN"/>
        </w:rPr>
        <w:t>方案一进行分包，标包具体情况见附件1。</w:t>
      </w:r>
    </w:p>
    <w:p w14:paraId="7D42D40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三、申请人资格条件</w:t>
      </w:r>
      <w:bookmarkEnd w:id="13"/>
    </w:p>
    <w:p w14:paraId="45706A40">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1、申请人的省级公司必须在</w:t>
      </w:r>
      <w:r>
        <w:rPr>
          <w:rFonts w:hint="eastAsia" w:ascii="宋体" w:hAnsi="宋体" w:eastAsia="宋体" w:cs="宋体"/>
          <w:color w:val="0000FF"/>
          <w:sz w:val="28"/>
          <w:szCs w:val="28"/>
        </w:rPr>
        <w:t>湖南金融监管局</w:t>
      </w:r>
      <w:r>
        <w:rPr>
          <w:rFonts w:hint="eastAsia" w:ascii="宋体" w:hAnsi="宋体" w:eastAsia="宋体" w:cs="宋体"/>
          <w:sz w:val="28"/>
          <w:szCs w:val="28"/>
        </w:rPr>
        <w:t>公布的符合农业</w:t>
      </w:r>
    </w:p>
    <w:p w14:paraId="725975F6">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保险业务经营条件的保险公司目录范围内。</w:t>
      </w:r>
    </w:p>
    <w:p w14:paraId="2DCC825F">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2、具有完善的农业保险大灾风险分散机制。</w:t>
      </w:r>
    </w:p>
    <w:p w14:paraId="0D91D87B">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3、具有完善的基层服务网络。</w:t>
      </w:r>
    </w:p>
    <w:p w14:paraId="1466CB9B">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4、信息化建设满足业务管理要求，能够按要求与中国农业 再保险股份有限公司(以下简称中国农再)约定分保业务信息系统进行对接；能够按要求与湖南省农业保险综合管理平台系统对接。</w:t>
      </w:r>
    </w:p>
    <w:p w14:paraId="79B0A9F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5、参加农业保险再保险体系改革试点，承保机构总公司已与中国农再签署当期有效的《政策性农业保险再保险标准协议》,双方可协商对有关条款进行调整。</w:t>
      </w:r>
    </w:p>
    <w:p w14:paraId="0EC978B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6、对于在</w:t>
      </w:r>
      <w:r>
        <w:rPr>
          <w:rFonts w:hint="eastAsia" w:ascii="宋体" w:hAnsi="宋体" w:eastAsia="宋体" w:cs="宋体"/>
          <w:sz w:val="28"/>
          <w:szCs w:val="28"/>
          <w:lang w:eastAsia="zh-CN"/>
        </w:rPr>
        <w:t>湘</w:t>
      </w:r>
      <w:r>
        <w:rPr>
          <w:rFonts w:hint="eastAsia" w:ascii="宋体" w:hAnsi="宋体" w:cs="宋体"/>
          <w:color w:val="FF0000"/>
          <w:sz w:val="28"/>
          <w:szCs w:val="28"/>
          <w:lang w:val="en-US" w:eastAsia="zh-CN"/>
        </w:rPr>
        <w:t>财金[2020]128</w:t>
      </w:r>
      <w:r>
        <w:rPr>
          <w:rFonts w:hint="eastAsia" w:ascii="宋体" w:hAnsi="宋体" w:eastAsia="宋体" w:cs="宋体"/>
          <w:color w:val="FF0000"/>
          <w:sz w:val="28"/>
          <w:szCs w:val="28"/>
          <w:lang w:eastAsia="zh-CN"/>
        </w:rPr>
        <w:t>号</w:t>
      </w:r>
      <w:r>
        <w:rPr>
          <w:rFonts w:hint="eastAsia" w:ascii="宋体" w:hAnsi="宋体" w:eastAsia="宋体" w:cs="宋体"/>
          <w:sz w:val="28"/>
          <w:szCs w:val="28"/>
        </w:rPr>
        <w:t>文件印发后开业的承保机构， 总公司开业时间需在5年以上(含),存在重组、更名或新设主体依法受让相关业务的，可以原主体开业时间为准。</w:t>
      </w:r>
    </w:p>
    <w:p w14:paraId="287F1893">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7、在遴选区域具有经</w:t>
      </w:r>
      <w:r>
        <w:rPr>
          <w:rFonts w:hint="eastAsia" w:ascii="宋体" w:hAnsi="宋体" w:cs="宋体"/>
          <w:color w:val="FF0000"/>
          <w:sz w:val="28"/>
          <w:szCs w:val="28"/>
          <w:lang w:val="en-US" w:eastAsia="zh-CN"/>
        </w:rPr>
        <w:t>金</w:t>
      </w:r>
      <w:r>
        <w:rPr>
          <w:rFonts w:hint="eastAsia" w:ascii="宋体" w:hAnsi="宋体" w:eastAsia="宋体" w:cs="宋体"/>
          <w:sz w:val="28"/>
          <w:szCs w:val="28"/>
        </w:rPr>
        <w:t>监部门批准设立的下属分支机构，持有省级分公司出具的针对本区域遴选的授权文件。</w:t>
      </w:r>
    </w:p>
    <w:p w14:paraId="2CFDD42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8、财政部门规定的其他条件。</w:t>
      </w:r>
    </w:p>
    <w:p w14:paraId="0DAFF28E">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9、存在以下情况的保险机构不得参加遴选：</w:t>
      </w:r>
    </w:p>
    <w:p w14:paraId="049E200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①以联合体(共保体)形式或委托其他保险机构、中介机构代为办理的；</w:t>
      </w:r>
    </w:p>
    <w:p w14:paraId="683A579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②以销售网点、“三农”保险服务网点等非市县级分支机构 申请的，区级分支机构申请市州本级及所辖区遴选的，市级及以上分支机构申请省直管县市遴选的；</w:t>
      </w:r>
    </w:p>
    <w:p w14:paraId="4740753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③</w:t>
      </w:r>
      <w:r>
        <w:rPr>
          <w:rFonts w:hint="eastAsia" w:ascii="宋体" w:hAnsi="宋体" w:eastAsia="宋体" w:cs="宋体"/>
          <w:sz w:val="28"/>
          <w:szCs w:val="28"/>
          <w:shd w:val="clear" w:color="auto" w:fill="FFFFFF"/>
        </w:rPr>
        <w:t>在参选地区农业保险业务违法违规被财政部门或监管部门</w:t>
      </w:r>
      <w:r>
        <w:rPr>
          <w:rFonts w:hint="eastAsia" w:cs="宋体"/>
          <w:sz w:val="28"/>
          <w:szCs w:val="28"/>
          <w:shd w:val="clear" w:color="auto" w:fill="FFFFFF"/>
          <w:lang w:val="en-US" w:eastAsia="zh-CN"/>
        </w:rPr>
        <w:t>进行</w:t>
      </w:r>
      <w:r>
        <w:rPr>
          <w:rFonts w:hint="eastAsia" w:cs="宋体"/>
          <w:color w:val="FF0000"/>
          <w:sz w:val="28"/>
          <w:szCs w:val="28"/>
          <w:shd w:val="clear" w:color="auto" w:fill="FFFFFF"/>
          <w:lang w:val="en-US" w:eastAsia="zh-CN"/>
        </w:rPr>
        <w:t>重大行政处罚</w:t>
      </w:r>
      <w:r>
        <w:rPr>
          <w:rFonts w:hint="eastAsia" w:ascii="宋体" w:hAnsi="宋体" w:eastAsia="宋体" w:cs="宋体"/>
          <w:color w:val="FF0000"/>
          <w:sz w:val="28"/>
          <w:szCs w:val="28"/>
          <w:shd w:val="clear" w:color="auto" w:fill="FFFFFF"/>
        </w:rPr>
        <w:t>且</w:t>
      </w:r>
      <w:r>
        <w:rPr>
          <w:rFonts w:hint="eastAsia" w:ascii="宋体" w:hAnsi="宋体" w:eastAsia="宋体" w:cs="宋体"/>
          <w:sz w:val="28"/>
          <w:szCs w:val="28"/>
          <w:shd w:val="clear" w:color="auto" w:fill="FFFFFF"/>
        </w:rPr>
        <w:t>尚在处罚期的，以及因农业保险绩效评价取消财政补贴资格期内的。</w:t>
      </w:r>
      <w:r>
        <w:rPr>
          <w:rFonts w:hint="eastAsia" w:ascii="宋体" w:hAnsi="宋体" w:eastAsia="宋体" w:cs="宋体"/>
          <w:color w:val="666666"/>
          <w:sz w:val="28"/>
          <w:szCs w:val="28"/>
          <w:shd w:val="clear" w:color="auto" w:fill="FFFFFF"/>
        </w:rPr>
        <w:t> </w:t>
      </w:r>
    </w:p>
    <w:p w14:paraId="0ED4F4A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四、选定数量及选包原则</w:t>
      </w:r>
      <w:bookmarkEnd w:id="14"/>
    </w:p>
    <w:p w14:paraId="4E7B2930">
      <w:pPr>
        <w:pStyle w:val="11"/>
        <w:pageBreakBefore w:val="0"/>
        <w:widowControl w:val="0"/>
        <w:kinsoku/>
        <w:wordWrap/>
        <w:overflowPunct/>
        <w:topLinePunct w:val="0"/>
        <w:bidi w:val="0"/>
        <w:snapToGrid/>
        <w:spacing w:line="360" w:lineRule="auto"/>
        <w:ind w:left="0" w:leftChars="0" w:firstLine="560" w:firstLineChars="200"/>
        <w:textAlignment w:val="auto"/>
        <w:outlineLvl w:val="1"/>
        <w:rPr>
          <w:rFonts w:hint="eastAsia" w:ascii="宋体" w:hAnsi="宋体" w:eastAsia="宋体" w:cs="宋体"/>
          <w:color w:val="FF0000"/>
          <w:kern w:val="2"/>
          <w:sz w:val="28"/>
          <w:szCs w:val="28"/>
          <w:lang w:val="en-US" w:eastAsia="zh-CN" w:bidi="ar-SA"/>
        </w:rPr>
      </w:pPr>
      <w:r>
        <w:rPr>
          <w:rFonts w:hint="eastAsia" w:ascii="宋体" w:hAnsi="宋体" w:eastAsia="宋体" w:cs="宋体"/>
          <w:color w:val="FF0000"/>
          <w:kern w:val="2"/>
          <w:sz w:val="28"/>
          <w:szCs w:val="28"/>
          <w:lang w:val="en-US" w:eastAsia="zh-CN" w:bidi="ar-SA"/>
        </w:rPr>
        <w:t>本次遴选确定怀化市</w:t>
      </w:r>
      <w:r>
        <w:rPr>
          <w:rFonts w:hint="eastAsia" w:ascii="宋体" w:hAnsi="宋体" w:cs="宋体"/>
          <w:color w:val="FF0000"/>
          <w:kern w:val="2"/>
          <w:sz w:val="28"/>
          <w:szCs w:val="28"/>
          <w:lang w:val="en-US" w:eastAsia="zh-CN" w:bidi="ar-SA"/>
        </w:rPr>
        <w:t>洪江市</w:t>
      </w:r>
      <w:r>
        <w:rPr>
          <w:rFonts w:hint="eastAsia" w:ascii="宋体" w:hAnsi="宋体" w:eastAsia="宋体" w:cs="宋体"/>
          <w:color w:val="FF0000"/>
          <w:kern w:val="2"/>
          <w:sz w:val="28"/>
          <w:szCs w:val="28"/>
          <w:lang w:val="en-US" w:eastAsia="zh-CN" w:bidi="ar-SA"/>
        </w:rPr>
        <w:t>2026—2028年政策性农业保险承保机构5家。中选机构按遴选排名依次选择项目包。</w:t>
      </w:r>
    </w:p>
    <w:p w14:paraId="6C4F4705">
      <w:pPr>
        <w:pStyle w:val="11"/>
        <w:pageBreakBefore w:val="0"/>
        <w:widowControl w:val="0"/>
        <w:kinsoku/>
        <w:wordWrap/>
        <w:overflowPunct/>
        <w:topLinePunct w:val="0"/>
        <w:bidi w:val="0"/>
        <w:snapToGrid/>
        <w:spacing w:line="360" w:lineRule="auto"/>
        <w:ind w:left="0" w:leftChars="0" w:firstLine="0"/>
        <w:textAlignment w:val="auto"/>
        <w:outlineLvl w:val="1"/>
        <w:rPr>
          <w:rFonts w:hint="eastAsia" w:ascii="宋体" w:hAnsi="宋体" w:eastAsia="宋体" w:cs="宋体"/>
          <w:sz w:val="28"/>
          <w:szCs w:val="28"/>
        </w:rPr>
      </w:pPr>
      <w:r>
        <w:rPr>
          <w:rFonts w:hint="eastAsia" w:ascii="宋体" w:hAnsi="宋体" w:eastAsia="宋体" w:cs="宋体"/>
          <w:sz w:val="28"/>
          <w:szCs w:val="28"/>
        </w:rPr>
        <w:t xml:space="preserve">       </w:t>
      </w:r>
      <w:bookmarkStart w:id="15" w:name="_Toc10232"/>
      <w:r>
        <w:rPr>
          <w:rFonts w:hint="eastAsia" w:ascii="宋体" w:hAnsi="宋体" w:eastAsia="宋体" w:cs="宋体"/>
          <w:b/>
          <w:bCs/>
          <w:color w:val="auto"/>
          <w:kern w:val="2"/>
          <w:sz w:val="28"/>
          <w:szCs w:val="28"/>
          <w:lang w:val="en-US" w:eastAsia="zh-CN" w:bidi="ar-SA"/>
        </w:rPr>
        <w:t>五、服务期限的险种变化</w:t>
      </w:r>
      <w:bookmarkEnd w:id="15"/>
    </w:p>
    <w:p w14:paraId="6327E3C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16" w:name="_Toc18148"/>
      <w:r>
        <w:rPr>
          <w:rFonts w:hint="eastAsia" w:ascii="宋体" w:hAnsi="宋体" w:eastAsia="宋体" w:cs="宋体"/>
          <w:sz w:val="28"/>
          <w:szCs w:val="28"/>
        </w:rPr>
        <w:t>服务期限内各品种政策发生调整，仍由原中选承保机构承保。服务期内由于政策变化或当地产业发展需要出现新品种，参照湘财金〔2022〕64号第</w:t>
      </w:r>
      <w:r>
        <w:rPr>
          <w:rFonts w:hint="eastAsia" w:ascii="宋体" w:hAnsi="宋体" w:eastAsia="宋体" w:cs="宋体"/>
          <w:sz w:val="28"/>
          <w:szCs w:val="28"/>
          <w:lang w:val="en-US" w:eastAsia="zh-CN"/>
        </w:rPr>
        <w:t>十四</w:t>
      </w:r>
      <w:r>
        <w:rPr>
          <w:rFonts w:hint="eastAsia" w:ascii="宋体" w:hAnsi="宋体" w:eastAsia="宋体" w:cs="宋体"/>
          <w:sz w:val="28"/>
          <w:szCs w:val="28"/>
        </w:rPr>
        <w:t>条规定确定承保机构，服务期限与该地区已遴选品种的剩余服务期限保持一致，下一轮遴选与其他品种一并开展。</w:t>
      </w:r>
    </w:p>
    <w:p w14:paraId="57111BEC">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六、遴选小组</w:t>
      </w:r>
      <w:bookmarkEnd w:id="16"/>
    </w:p>
    <w:p w14:paraId="466D37D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F79646" w:themeColor="accent6"/>
          <w:sz w:val="28"/>
          <w:szCs w:val="28"/>
          <w14:textFill>
            <w14:solidFill>
              <w14:schemeClr w14:val="accent6"/>
            </w14:solidFill>
          </w14:textFill>
        </w:rPr>
      </w:pPr>
      <w:bookmarkStart w:id="17" w:name="_Toc21796"/>
      <w:r>
        <w:rPr>
          <w:rFonts w:hint="eastAsia" w:ascii="宋体" w:hAnsi="宋体" w:eastAsia="宋体" w:cs="宋体"/>
          <w:color w:val="F79646" w:themeColor="accent6"/>
          <w:sz w:val="28"/>
          <w:szCs w:val="28"/>
          <w14:textFill>
            <w14:solidFill>
              <w14:schemeClr w14:val="accent6"/>
            </w14:solidFill>
          </w14:textFill>
        </w:rPr>
        <w:t>遴选小组由遴选人代表和评审专家组成，成员人数为5人（遴选人代表2人；评审专家3人，其中遴选区域专家1人，从湖南省政府采购评审专家库中随机抽取2人）。遴选小组成员与申请人存在利害关系的，应当回避。遴选小组成员名单在评审结果公告前应当保密。</w:t>
      </w:r>
    </w:p>
    <w:p w14:paraId="27AD6916">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七、遴选评审标准</w:t>
      </w:r>
      <w:bookmarkEnd w:id="17"/>
    </w:p>
    <w:p w14:paraId="11232A1A">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0000FF"/>
          <w:sz w:val="28"/>
          <w:szCs w:val="28"/>
        </w:rPr>
      </w:pPr>
      <w:r>
        <w:rPr>
          <w:rFonts w:hint="eastAsia" w:ascii="宋体" w:hAnsi="宋体" w:eastAsia="宋体" w:cs="宋体"/>
          <w:sz w:val="28"/>
          <w:szCs w:val="28"/>
        </w:rPr>
        <w:t>评审按百分制计分，由省级评分指标和县级评分指标</w:t>
      </w:r>
      <w:r>
        <w:rPr>
          <w:rFonts w:hint="eastAsia" w:ascii="宋体" w:hAnsi="宋体" w:eastAsia="宋体" w:cs="宋体"/>
          <w:sz w:val="28"/>
          <w:szCs w:val="28"/>
          <w:lang w:val="en-US" w:eastAsia="zh-CN"/>
        </w:rPr>
        <w:t>组成</w:t>
      </w:r>
      <w:r>
        <w:rPr>
          <w:rFonts w:hint="eastAsia" w:ascii="宋体" w:hAnsi="宋体" w:eastAsia="宋体" w:cs="宋体"/>
          <w:sz w:val="28"/>
          <w:szCs w:val="28"/>
        </w:rPr>
        <w:t>。其中省级指标(80分)包括服务能力(3</w:t>
      </w:r>
      <w:r>
        <w:rPr>
          <w:rFonts w:hint="eastAsia" w:ascii="宋体" w:hAnsi="宋体" w:eastAsia="宋体" w:cs="宋体"/>
          <w:sz w:val="28"/>
          <w:szCs w:val="28"/>
          <w:lang w:val="en-US" w:eastAsia="zh-CN"/>
        </w:rPr>
        <w:t>0</w:t>
      </w:r>
      <w:r>
        <w:rPr>
          <w:rFonts w:hint="eastAsia" w:ascii="宋体" w:hAnsi="宋体" w:eastAsia="宋体" w:cs="宋体"/>
          <w:sz w:val="28"/>
          <w:szCs w:val="28"/>
        </w:rPr>
        <w:t>分)、服务业绩(</w:t>
      </w:r>
      <w:r>
        <w:rPr>
          <w:rFonts w:hint="eastAsia" w:ascii="宋体" w:hAnsi="宋体" w:eastAsia="宋体" w:cs="宋体"/>
          <w:sz w:val="28"/>
          <w:szCs w:val="28"/>
          <w:lang w:val="en-US" w:eastAsia="zh-CN"/>
        </w:rPr>
        <w:t>30</w:t>
      </w:r>
      <w:r>
        <w:rPr>
          <w:rFonts w:hint="eastAsia" w:ascii="宋体" w:hAnsi="宋体" w:eastAsia="宋体" w:cs="宋体"/>
          <w:sz w:val="28"/>
          <w:szCs w:val="28"/>
        </w:rPr>
        <w:t>分)、合规经营和风险管控能力(20分)三项(具体指标及评分细则详见附件</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color w:val="0000FF"/>
          <w:sz w:val="28"/>
          <w:szCs w:val="28"/>
        </w:rPr>
        <w:t>县级自主设置指标一级指标分值为20分，二级指标从</w:t>
      </w:r>
      <w:r>
        <w:rPr>
          <w:rFonts w:hint="eastAsia" w:ascii="宋体" w:hAnsi="宋体" w:cs="宋体"/>
          <w:color w:val="0000FF"/>
          <w:sz w:val="28"/>
          <w:szCs w:val="28"/>
          <w:lang w:eastAsia="zh-CN"/>
        </w:rPr>
        <w:t>六</w:t>
      </w:r>
      <w:r>
        <w:rPr>
          <w:rFonts w:hint="eastAsia" w:ascii="宋体" w:hAnsi="宋体" w:eastAsia="宋体" w:cs="宋体"/>
          <w:color w:val="0000FF"/>
          <w:sz w:val="28"/>
          <w:szCs w:val="28"/>
        </w:rPr>
        <w:t>个方面进行设置</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分别为：</w:t>
      </w:r>
      <w:r>
        <w:rPr>
          <w:rFonts w:hint="eastAsia" w:ascii="宋体" w:hAnsi="宋体" w:eastAsia="宋体" w:cs="宋体"/>
          <w:color w:val="F79646" w:themeColor="accent6"/>
          <w:sz w:val="28"/>
          <w:szCs w:val="28"/>
          <w14:textFill>
            <w14:solidFill>
              <w14:schemeClr w14:val="accent6"/>
            </w14:solidFill>
          </w14:textFill>
        </w:rPr>
        <w:t>服务方案</w:t>
      </w:r>
      <w:r>
        <w:rPr>
          <w:rFonts w:hint="eastAsia" w:ascii="宋体" w:hAnsi="宋体" w:cs="宋体"/>
          <w:color w:val="F79646" w:themeColor="accent6"/>
          <w:sz w:val="28"/>
          <w:szCs w:val="28"/>
          <w:lang w:eastAsia="zh-CN"/>
          <w14:textFill>
            <w14:solidFill>
              <w14:schemeClr w14:val="accent6"/>
            </w14:solidFill>
          </w14:textFill>
        </w:rPr>
        <w:t>、乡村振兴、响应文件制作、地方特色农业保险开展、防灾减损、服务方案</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具体分值及要求见附件</w:t>
      </w:r>
      <w:r>
        <w:rPr>
          <w:rFonts w:hint="eastAsia" w:ascii="宋体" w:hAnsi="宋体" w:eastAsia="宋体" w:cs="宋体"/>
          <w:color w:val="0000FF"/>
          <w:sz w:val="28"/>
          <w:szCs w:val="28"/>
          <w:lang w:val="en-US" w:eastAsia="zh-CN"/>
        </w:rPr>
        <w:t>3</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w:t>
      </w:r>
    </w:p>
    <w:p w14:paraId="174E0B6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18" w:name="_Toc30408"/>
      <w:bookmarkStart w:id="19" w:name="_Toc32290"/>
      <w:r>
        <w:rPr>
          <w:rFonts w:hint="eastAsia" w:ascii="宋体" w:hAnsi="宋体" w:eastAsia="宋体" w:cs="宋体"/>
          <w:b/>
          <w:bCs/>
          <w:color w:val="auto"/>
          <w:kern w:val="2"/>
          <w:sz w:val="28"/>
          <w:szCs w:val="28"/>
          <w:lang w:val="en-US" w:eastAsia="zh-CN" w:bidi="ar-SA"/>
        </w:rPr>
        <w:t>八、评审方法</w:t>
      </w:r>
      <w:bookmarkEnd w:id="18"/>
    </w:p>
    <w:p w14:paraId="1E6F97E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0" w:name="_Toc17510"/>
      <w:r>
        <w:rPr>
          <w:rFonts w:hint="eastAsia" w:ascii="宋体" w:hAnsi="宋体" w:eastAsia="宋体" w:cs="宋体"/>
          <w:sz w:val="28"/>
          <w:szCs w:val="28"/>
        </w:rPr>
        <w:t>采用综合评分法，按评审后总得分由高到低确定中选承保机构和优先选包顺序。总分相同的，按服务能力、服务业绩、合规经营及风险管控能力、市县自主设置指标的得分依次由高到低确定排名顺序。只有1家保险公司参与遴选时，符合遴选条件即可确认中选。</w:t>
      </w:r>
    </w:p>
    <w:p w14:paraId="73E424D9">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九、遴选响应文件的编制及要求</w:t>
      </w:r>
      <w:bookmarkEnd w:id="20"/>
    </w:p>
    <w:p w14:paraId="500855F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1" w:name="_Toc15583"/>
      <w:r>
        <w:rPr>
          <w:rFonts w:hint="eastAsia" w:ascii="宋体" w:hAnsi="宋体" w:eastAsia="宋体" w:cs="宋体"/>
          <w:sz w:val="28"/>
          <w:szCs w:val="28"/>
        </w:rPr>
        <w:t>申请人应仔细阅读遴选文件的所有内容，按遴选文件要求编制遴选响应文件，并保证所提供的的全部资料的真实性，以使其响应文件对遴选文件作出实质性响应。遴选响应文件采用书面形式（电报、传真、电子邮件形式的响应文件概不接受），并按遴选文件中提供的响应文件格式（见第四章）填写。</w:t>
      </w:r>
    </w:p>
    <w:p w14:paraId="0AF1DF6D">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申请人响应文件的有效期为90日，从提交响应文件截止时间之日起计算。在此期间内响应文件对申请人具有法律效力。</w:t>
      </w:r>
    </w:p>
    <w:p w14:paraId="3385081F">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申请人响应文件的正本和副本应</w:t>
      </w:r>
      <w:r>
        <w:rPr>
          <w:rFonts w:hint="eastAsia" w:ascii="宋体" w:hAnsi="宋体" w:eastAsia="宋体" w:cs="宋体"/>
          <w:b/>
          <w:bCs/>
          <w:sz w:val="28"/>
          <w:szCs w:val="28"/>
          <w:lang w:eastAsia="zh-CN"/>
        </w:rPr>
        <w:t>胶装</w:t>
      </w:r>
      <w:r>
        <w:rPr>
          <w:rFonts w:hint="eastAsia" w:ascii="宋体" w:hAnsi="宋体" w:eastAsia="宋体" w:cs="宋体"/>
          <w:sz w:val="28"/>
          <w:szCs w:val="28"/>
        </w:rPr>
        <w:t>成册，正本一份、副本</w:t>
      </w:r>
      <w:r>
        <w:rPr>
          <w:rFonts w:hint="eastAsia" w:ascii="宋体" w:hAnsi="宋体" w:eastAsia="宋体" w:cs="宋体"/>
          <w:sz w:val="28"/>
          <w:szCs w:val="28"/>
          <w:lang w:val="en-US" w:eastAsia="zh-CN"/>
        </w:rPr>
        <w:t>六</w:t>
      </w:r>
      <w:r>
        <w:rPr>
          <w:rFonts w:hint="eastAsia" w:ascii="宋体" w:hAnsi="宋体" w:eastAsia="宋体" w:cs="宋体"/>
          <w:sz w:val="28"/>
          <w:szCs w:val="28"/>
        </w:rPr>
        <w:t>份、电子文件</w:t>
      </w:r>
      <w:r>
        <w:rPr>
          <w:rFonts w:hint="eastAsia" w:ascii="宋体" w:hAnsi="宋体" w:eastAsia="宋体" w:cs="宋体"/>
          <w:sz w:val="28"/>
          <w:szCs w:val="28"/>
          <w:lang w:val="en-US" w:eastAsia="zh-CN"/>
        </w:rPr>
        <w:t>2</w:t>
      </w:r>
      <w:r>
        <w:rPr>
          <w:rFonts w:hint="eastAsia" w:ascii="宋体" w:hAnsi="宋体" w:eastAsia="宋体" w:cs="宋体"/>
          <w:sz w:val="28"/>
          <w:szCs w:val="28"/>
        </w:rPr>
        <w:t>份, 电子文件形式：U盘，内容与纸质响应文件一致（</w:t>
      </w:r>
      <w:r>
        <w:rPr>
          <w:rFonts w:hint="eastAsia" w:ascii="宋体" w:hAnsi="宋体" w:eastAsia="宋体" w:cs="宋体"/>
          <w:sz w:val="28"/>
          <w:szCs w:val="28"/>
          <w:lang w:eastAsia="zh-CN"/>
        </w:rPr>
        <w:t>为盖章扫描件</w:t>
      </w:r>
      <w:r>
        <w:rPr>
          <w:rFonts w:hint="eastAsia" w:ascii="宋体" w:hAnsi="宋体" w:eastAsia="宋体" w:cs="宋体"/>
          <w:sz w:val="28"/>
          <w:szCs w:val="28"/>
          <w:lang w:val="en-US" w:eastAsia="zh-CN"/>
        </w:rPr>
        <w:t>后的正本，</w:t>
      </w:r>
      <w:r>
        <w:rPr>
          <w:rFonts w:hint="eastAsia" w:ascii="宋体" w:hAnsi="宋体" w:eastAsia="宋体" w:cs="宋体"/>
          <w:sz w:val="28"/>
          <w:szCs w:val="28"/>
        </w:rPr>
        <w:t>以PDF文件格式保存）。正本和副本的封面上应标记“正本”或“副本”字样；当正本和副本有差异时，以正本为准。</w:t>
      </w:r>
    </w:p>
    <w:p w14:paraId="48AE4E4B">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十、遴选响应文件的递交、补充、修改或者撤回</w:t>
      </w:r>
      <w:bookmarkEnd w:id="21"/>
    </w:p>
    <w:p w14:paraId="191D16CC">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申请人按照遴选邀请中规定的时间、方式递交遴选响应文件，截止时间后不得补充、修改或者撤回。</w:t>
      </w:r>
    </w:p>
    <w:p w14:paraId="65951167">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2" w:name="_Toc1194"/>
      <w:r>
        <w:rPr>
          <w:rFonts w:hint="eastAsia" w:ascii="宋体" w:hAnsi="宋体" w:eastAsia="宋体" w:cs="宋体"/>
          <w:b/>
          <w:bCs/>
          <w:color w:val="auto"/>
          <w:kern w:val="2"/>
          <w:sz w:val="28"/>
          <w:szCs w:val="28"/>
          <w:lang w:val="en-US" w:eastAsia="zh-CN" w:bidi="ar-SA"/>
        </w:rPr>
        <w:t>十一、评审程序</w:t>
      </w:r>
      <w:bookmarkEnd w:id="22"/>
    </w:p>
    <w:p w14:paraId="1F66AA5C">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评审程序由遴选小组负责完成，包括遴选响应文件资格性、符合性审查、评审计分以及按得分由高到低排序。</w:t>
      </w:r>
    </w:p>
    <w:p w14:paraId="7B60930F">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sz w:val="28"/>
          <w:szCs w:val="28"/>
        </w:rPr>
        <w:t>资格性审查指对申请人响应文件的资格证明文件进行审查，以确定是否具备参加遴选资格条件。</w:t>
      </w:r>
    </w:p>
    <w:p w14:paraId="297ECECA">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符合性审查指对申请人响应文件有效性、完整性和响应程度进行审查，以确定是否对遴选文件的实质性响应要求作出响应。</w:t>
      </w:r>
    </w:p>
    <w:p w14:paraId="513C7855">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实质性响应指申请人响应文件与遴选文件要求的所有条款相符，没有偏离。实质性响应与否应由遴选小组认定，非实质性响应的申请人响应文件将不予评审计分。</w:t>
      </w:r>
    </w:p>
    <w:p w14:paraId="748CC798">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遴选小组依据遴选评审标准，采用综合评分法计算申请人的得分。</w:t>
      </w:r>
    </w:p>
    <w:p w14:paraId="0D8F724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3" w:name="_Toc23064"/>
      <w:r>
        <w:rPr>
          <w:rFonts w:hint="eastAsia" w:ascii="宋体" w:hAnsi="宋体" w:eastAsia="宋体" w:cs="宋体"/>
          <w:b/>
          <w:bCs/>
          <w:color w:val="auto"/>
          <w:kern w:val="2"/>
          <w:sz w:val="28"/>
          <w:szCs w:val="28"/>
          <w:lang w:val="en-US" w:eastAsia="zh-CN" w:bidi="ar-SA"/>
        </w:rPr>
        <w:t>十二、中选承保机构确定</w:t>
      </w:r>
      <w:bookmarkEnd w:id="23"/>
    </w:p>
    <w:p w14:paraId="05FDEE2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auto"/>
          <w:sz w:val="28"/>
          <w:szCs w:val="28"/>
          <w:lang w:eastAsia="zh-CN"/>
        </w:rPr>
      </w:pPr>
      <w:bookmarkStart w:id="24" w:name="_Toc21006"/>
      <w:r>
        <w:rPr>
          <w:rFonts w:hint="eastAsia" w:ascii="宋体" w:hAnsi="宋体" w:eastAsia="宋体" w:cs="宋体"/>
          <w:color w:val="auto"/>
          <w:sz w:val="28"/>
          <w:szCs w:val="28"/>
        </w:rPr>
        <w:t>市州财政局、农业农村局应当在评审结束后5个工作日内确定中选承保机构。市州财政局应当自中选承保机构确定之日起2个工作日内，在门户网站公告中选结果，遴选文件应当随中选结果同时公告。中选公告期限为5个工作日。参与遴选的申请人实质性响应不足</w:t>
      </w:r>
      <w:r>
        <w:rPr>
          <w:rFonts w:hint="eastAsia" w:ascii="宋体" w:hAnsi="宋体" w:cs="宋体"/>
          <w:color w:val="FF0000"/>
          <w:sz w:val="28"/>
          <w:szCs w:val="28"/>
          <w:lang w:val="en-US" w:eastAsia="zh-CN"/>
        </w:rPr>
        <w:t>5</w:t>
      </w:r>
      <w:r>
        <w:rPr>
          <w:rFonts w:hint="eastAsia" w:ascii="宋体" w:hAnsi="宋体" w:eastAsia="宋体" w:cs="宋体"/>
          <w:color w:val="auto"/>
          <w:sz w:val="28"/>
          <w:szCs w:val="28"/>
        </w:rPr>
        <w:t>家时，符合遴选条件的申请人即可中选</w:t>
      </w:r>
      <w:r>
        <w:rPr>
          <w:rFonts w:hint="eastAsia" w:ascii="宋体" w:hAnsi="宋体" w:cs="宋体"/>
          <w:color w:val="auto"/>
          <w:sz w:val="28"/>
          <w:szCs w:val="28"/>
          <w:lang w:eastAsia="zh-CN"/>
        </w:rPr>
        <w:t>，</w:t>
      </w:r>
      <w:r>
        <w:rPr>
          <w:rFonts w:hint="eastAsia" w:ascii="宋体" w:hAnsi="宋体" w:cs="宋体"/>
          <w:color w:val="FF0000"/>
          <w:sz w:val="28"/>
          <w:szCs w:val="28"/>
          <w:lang w:val="en-US" w:eastAsia="zh-CN"/>
        </w:rPr>
        <w:t>按评审标准进行排名</w:t>
      </w:r>
      <w:r>
        <w:rPr>
          <w:rFonts w:hint="eastAsia" w:ascii="宋体" w:hAnsi="宋体" w:eastAsia="宋体" w:cs="宋体"/>
          <w:color w:val="auto"/>
          <w:sz w:val="28"/>
          <w:szCs w:val="28"/>
        </w:rPr>
        <w:t>。</w:t>
      </w:r>
    </w:p>
    <w:p w14:paraId="70B187FC">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十三、放弃中选或转包</w:t>
      </w:r>
      <w:bookmarkEnd w:id="24"/>
    </w:p>
    <w:p w14:paraId="7A6B3939">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auto"/>
          <w:sz w:val="28"/>
          <w:szCs w:val="28"/>
        </w:rPr>
      </w:pPr>
      <w:bookmarkStart w:id="25" w:name="_Toc17756"/>
      <w:r>
        <w:rPr>
          <w:rFonts w:hint="eastAsia" w:ascii="宋体" w:hAnsi="宋体" w:eastAsia="宋体" w:cs="宋体"/>
          <w:color w:val="auto"/>
          <w:sz w:val="28"/>
          <w:szCs w:val="28"/>
        </w:rPr>
        <w:t>中选通知书发出后，市州、省直管县市财政、农业农村等部门不得违规改变中选结果，中选承保机构无正当理由不得放弃中选且不得转包。放弃中选包的，视同放弃中选；放弃中选或转包的，在下一个遴选周期不得参与申请。放弃的中选包由其他中选承保机构按本办法规定的选包规则依次补选。</w:t>
      </w:r>
    </w:p>
    <w:p w14:paraId="54B0A626">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十四、合同签订及履约管理</w:t>
      </w:r>
      <w:bookmarkEnd w:id="25"/>
    </w:p>
    <w:p w14:paraId="7215192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6" w:name="_Toc19986"/>
      <w:r>
        <w:rPr>
          <w:rFonts w:hint="eastAsia" w:ascii="宋体" w:hAnsi="宋体" w:eastAsia="宋体" w:cs="宋体"/>
          <w:color w:val="auto"/>
          <w:sz w:val="28"/>
          <w:szCs w:val="28"/>
          <w:lang w:eastAsia="zh-CN"/>
        </w:rPr>
        <w:t>市县财政局、农业农村局</w:t>
      </w:r>
      <w:r>
        <w:rPr>
          <w:rFonts w:hint="eastAsia" w:ascii="宋体" w:hAnsi="宋体" w:eastAsia="宋体" w:cs="宋体"/>
          <w:color w:val="auto"/>
          <w:sz w:val="28"/>
          <w:szCs w:val="28"/>
        </w:rPr>
        <w:t>自中选</w:t>
      </w:r>
      <w:r>
        <w:rPr>
          <w:rFonts w:hint="eastAsia" w:ascii="宋体" w:hAnsi="宋体" w:eastAsia="宋体" w:cs="宋体"/>
          <w:sz w:val="28"/>
          <w:szCs w:val="28"/>
        </w:rPr>
        <w:t>通知书发出之日起15日内，按照遴选文件、中选承保机构响应文件以及农业保险政策法规规定，与本遴选区域中选承保机构签订书面合同。所签订的合同不得对遴选文件确定的事项和中选承保机构响应文件作实质性修改。市县财政局、农业农村局不得向中选承保机构提出任何不合理的要求作为签订合同的条件。市县财政局应在合同签订后10个工作日内，以市州为单位汇总后将遴选工作实施情况、遴选结果等书面报送省财政厅。</w:t>
      </w:r>
    </w:p>
    <w:p w14:paraId="77E62B0B">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在服务期限内，如存在以下情形的，取消中选承保机构在该区域剩余服务期限内的承保资格：</w:t>
      </w:r>
      <w:r>
        <w:rPr>
          <w:rFonts w:hint="eastAsia" w:ascii="宋体" w:hAnsi="宋体" w:eastAsia="宋体" w:cs="宋体"/>
          <w:color w:val="FF0000"/>
          <w:sz w:val="28"/>
          <w:szCs w:val="28"/>
        </w:rPr>
        <w:t>1、在服务期限内连续两年绩效评价在 70 分以以下或单次绩效评价在 60 分以下的；2、承保机构被财政等相关管理部门处罚停止农业保险补贴或业务的；3、承保机构及其所属省级分公司、总公司因农业保险业务受到金融监管部门重大行政处罚的（重大行政处罚标准以金融监管部门认定为准）；4、承保机构及其负责人因农业保险严重违规被移送纪检监察及司法部门并受到处理的；5、以违规引税等不正当手段获得中选资格的；6、承保机构因农业保险违规行为引发重大舆情的；7、中央和我省其他农业保险相关政策文件规定应取消承保资格的情形。取消资格后该承保机构负责的业务， 以标包为单位由后备承保机构、其他中选承保机构依次选包承接，服务期限为原中选承保机构的剩余服务期限，相关情况应及时报省财政厅、省农业农村厅备案。</w:t>
      </w:r>
    </w:p>
    <w:p w14:paraId="74A93911">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十五、特殊情形</w:t>
      </w:r>
      <w:bookmarkEnd w:id="26"/>
    </w:p>
    <w:p w14:paraId="24C340F6">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kern w:val="2"/>
          <w:sz w:val="28"/>
          <w:szCs w:val="28"/>
        </w:rPr>
        <w:t>如有特殊情况，向省财政厅报告并经批准后再开展遴选工作。</w:t>
      </w:r>
    </w:p>
    <w:p w14:paraId="387C2BE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7" w:name="_Toc28538"/>
      <w:r>
        <w:rPr>
          <w:rFonts w:hint="eastAsia" w:ascii="宋体" w:hAnsi="宋体" w:eastAsia="宋体" w:cs="宋体"/>
          <w:b/>
          <w:bCs/>
          <w:color w:val="auto"/>
          <w:kern w:val="2"/>
          <w:sz w:val="28"/>
          <w:szCs w:val="28"/>
          <w:lang w:val="en-US" w:eastAsia="zh-CN" w:bidi="ar-SA"/>
        </w:rPr>
        <w:t>十六、保密及串通行为</w:t>
      </w:r>
      <w:bookmarkEnd w:id="27"/>
    </w:p>
    <w:p w14:paraId="453F0DF0">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遴选小组成员以及其他与评审工作有关人员不得泄露遴选过程中获悉的国家秘密、商业秘密。</w:t>
      </w:r>
    </w:p>
    <w:p w14:paraId="33BFE836">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申请人不得与遴选人、其他申请人恶意串通，或向遴选小组成员行贿或提供其他不正当利益，不得提供虚假资料谋取中选，不得以任何方式干扰、影响遴选工作。否则，依据有关规定取消中选资格，列入不良记录名单，并予以通报。</w:t>
      </w:r>
    </w:p>
    <w:p w14:paraId="6B9B4F7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8" w:name="_Toc28247"/>
      <w:r>
        <w:rPr>
          <w:rFonts w:hint="eastAsia" w:ascii="宋体" w:hAnsi="宋体" w:eastAsia="宋体" w:cs="宋体"/>
          <w:b/>
          <w:bCs/>
          <w:color w:val="auto"/>
          <w:kern w:val="2"/>
          <w:sz w:val="28"/>
          <w:szCs w:val="28"/>
          <w:lang w:val="en-US" w:eastAsia="zh-CN" w:bidi="ar-SA"/>
        </w:rPr>
        <w:t>十七、遴选监督</w:t>
      </w:r>
      <w:bookmarkEnd w:id="28"/>
    </w:p>
    <w:p w14:paraId="651C1012">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怀化市财政局机关纪委和怀化市农业农村局机关纪委</w:t>
      </w:r>
      <w:r>
        <w:rPr>
          <w:rFonts w:hint="eastAsia" w:ascii="宋体" w:hAnsi="宋体" w:eastAsia="宋体" w:cs="宋体"/>
          <w:color w:val="auto"/>
          <w:sz w:val="28"/>
          <w:szCs w:val="28"/>
          <w:highlight w:val="none"/>
        </w:rPr>
        <w:t>将对本次遴选工作全过程监督。欢迎社会各界检举、揭发本次遴选中的各种违法、违纪行为。</w:t>
      </w:r>
    </w:p>
    <w:p w14:paraId="3697A0B5">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电话：</w:t>
      </w:r>
      <w:r>
        <w:rPr>
          <w:rFonts w:hint="eastAsia" w:ascii="宋体" w:hAnsi="宋体" w:eastAsia="宋体" w:cs="宋体"/>
          <w:sz w:val="28"/>
          <w:szCs w:val="28"/>
        </w:rPr>
        <w:t>0745-2</w:t>
      </w:r>
      <w:r>
        <w:rPr>
          <w:rFonts w:hint="eastAsia" w:ascii="宋体" w:hAnsi="宋体" w:eastAsia="宋体" w:cs="宋体"/>
          <w:sz w:val="28"/>
          <w:szCs w:val="28"/>
          <w:lang w:val="en-US" w:eastAsia="zh-CN"/>
        </w:rPr>
        <w:t>725227   0745-2331026</w:t>
      </w:r>
      <w:r>
        <w:rPr>
          <w:rFonts w:hint="eastAsia" w:ascii="宋体" w:hAnsi="宋体" w:eastAsia="宋体" w:cs="宋体"/>
          <w:color w:val="auto"/>
          <w:sz w:val="28"/>
          <w:szCs w:val="28"/>
          <w:highlight w:val="none"/>
        </w:rPr>
        <w:t>。</w:t>
      </w:r>
    </w:p>
    <w:p w14:paraId="7A48735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9" w:name="_Toc18295"/>
      <w:r>
        <w:rPr>
          <w:rFonts w:hint="eastAsia" w:ascii="宋体" w:hAnsi="宋体" w:eastAsia="宋体" w:cs="宋体"/>
          <w:b/>
          <w:bCs/>
          <w:color w:val="auto"/>
          <w:kern w:val="2"/>
          <w:sz w:val="28"/>
          <w:szCs w:val="28"/>
          <w:lang w:val="en-US" w:eastAsia="zh-CN" w:bidi="ar-SA"/>
        </w:rPr>
        <w:t>十八、评分标准</w:t>
      </w:r>
      <w:bookmarkEnd w:id="29"/>
    </w:p>
    <w:p w14:paraId="4DA35EC2">
      <w:pPr>
        <w:pStyle w:val="4"/>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b w:val="0"/>
          <w:color w:val="auto"/>
          <w:kern w:val="0"/>
          <w:sz w:val="28"/>
          <w:szCs w:val="28"/>
          <w:highlight w:val="none"/>
          <w:lang w:val="en-US" w:eastAsia="zh-CN" w:bidi="ar-SA"/>
        </w:rPr>
      </w:pPr>
      <w:r>
        <w:rPr>
          <w:rFonts w:hint="eastAsia" w:ascii="宋体" w:hAnsi="宋体" w:eastAsia="宋体" w:cs="宋体"/>
          <w:b w:val="0"/>
          <w:color w:val="auto"/>
          <w:kern w:val="0"/>
          <w:sz w:val="28"/>
          <w:szCs w:val="28"/>
          <w:highlight w:val="none"/>
          <w:lang w:val="en-US" w:eastAsia="zh-CN" w:bidi="ar-SA"/>
        </w:rPr>
        <w:t>具体指标详见附件2《公开竞争性遴选政策性农业保险承保机构评审标准（省级）》与附件3《公开竞争性遴选政策性农业保险承保机构评审标准（县级）》</w:t>
      </w:r>
    </w:p>
    <w:p w14:paraId="6BD4391E">
      <w:pPr>
        <w:rPr>
          <w:rFonts w:hint="eastAsia" w:ascii="宋体" w:hAnsi="宋体" w:eastAsia="宋体" w:cs="宋体"/>
          <w:sz w:val="28"/>
          <w:szCs w:val="28"/>
        </w:rPr>
      </w:pPr>
      <w:r>
        <w:rPr>
          <w:rFonts w:hint="eastAsia" w:ascii="宋体" w:hAnsi="宋体" w:eastAsia="宋体" w:cs="宋体"/>
          <w:sz w:val="28"/>
          <w:szCs w:val="28"/>
        </w:rPr>
        <w:br w:type="page"/>
      </w:r>
    </w:p>
    <w:p w14:paraId="3C54A03E">
      <w:pPr>
        <w:pStyle w:val="4"/>
        <w:bidi w:val="0"/>
        <w:rPr>
          <w:rFonts w:hint="eastAsia" w:ascii="宋体" w:hAnsi="宋体" w:eastAsia="宋体" w:cs="宋体"/>
          <w:sz w:val="28"/>
          <w:szCs w:val="28"/>
        </w:rPr>
      </w:pPr>
      <w:r>
        <w:rPr>
          <w:rFonts w:hint="eastAsia" w:ascii="宋体" w:hAnsi="宋体" w:eastAsia="宋体" w:cs="宋体"/>
          <w:sz w:val="28"/>
          <w:szCs w:val="28"/>
        </w:rPr>
        <w:t>附件1：</w:t>
      </w:r>
      <w:bookmarkEnd w:id="19"/>
    </w:p>
    <w:tbl>
      <w:tblPr>
        <w:tblStyle w:val="12"/>
        <w:tblW w:w="88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1326"/>
        <w:gridCol w:w="1284"/>
        <w:gridCol w:w="1366"/>
        <w:gridCol w:w="1667"/>
        <w:gridCol w:w="1150"/>
        <w:gridCol w:w="1391"/>
      </w:tblGrid>
      <w:tr w14:paraId="17EB3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jc w:val="center"/>
        </w:trPr>
        <w:tc>
          <w:tcPr>
            <w:tcW w:w="714" w:type="dxa"/>
            <w:tcBorders>
              <w:top w:val="single" w:color="000000" w:sz="4" w:space="0"/>
              <w:left w:val="single" w:color="000000" w:sz="4" w:space="0"/>
              <w:bottom w:val="nil"/>
              <w:right w:val="single" w:color="000000" w:sz="4" w:space="0"/>
            </w:tcBorders>
            <w:shd w:val="clear" w:color="auto" w:fill="auto"/>
            <w:vAlign w:val="center"/>
          </w:tcPr>
          <w:p w14:paraId="0E8F1068">
            <w:pPr>
              <w:keepNext w:val="0"/>
              <w:keepLines w:val="0"/>
              <w:widowControl/>
              <w:suppressLineNumbers w:val="0"/>
              <w:jc w:val="center"/>
              <w:textAlignment w:val="center"/>
              <w:rPr>
                <w:rFonts w:ascii="仿宋_GB2312" w:hAnsi="宋体" w:eastAsia="仿宋_GB2312" w:cs="仿宋_GB2312"/>
                <w:b/>
                <w:bCs/>
                <w:i w:val="0"/>
                <w:iCs w:val="0"/>
                <w:color w:val="auto"/>
                <w:sz w:val="22"/>
                <w:szCs w:val="22"/>
                <w:u w:val="none"/>
              </w:rPr>
            </w:pPr>
            <w:r>
              <w:rPr>
                <w:rFonts w:hint="default" w:ascii="仿宋_GB2312" w:hAnsi="宋体" w:eastAsia="仿宋_GB2312" w:cs="仿宋_GB2312"/>
                <w:b/>
                <w:bCs/>
                <w:i w:val="0"/>
                <w:iCs w:val="0"/>
                <w:color w:val="auto"/>
                <w:kern w:val="0"/>
                <w:sz w:val="22"/>
                <w:szCs w:val="22"/>
                <w:u w:val="none"/>
                <w:lang w:val="en-US" w:eastAsia="zh-CN" w:bidi="ar"/>
              </w:rPr>
              <w:t>分包</w:t>
            </w:r>
          </w:p>
        </w:tc>
        <w:tc>
          <w:tcPr>
            <w:tcW w:w="1326" w:type="dxa"/>
            <w:tcBorders>
              <w:top w:val="single" w:color="000000" w:sz="4" w:space="0"/>
              <w:left w:val="single" w:color="000000" w:sz="4" w:space="0"/>
              <w:bottom w:val="nil"/>
              <w:right w:val="single" w:color="000000" w:sz="4" w:space="0"/>
            </w:tcBorders>
            <w:shd w:val="clear" w:color="auto" w:fill="auto"/>
            <w:vAlign w:val="center"/>
          </w:tcPr>
          <w:p w14:paraId="6888A29E">
            <w:pPr>
              <w:keepNext w:val="0"/>
              <w:keepLines w:val="0"/>
              <w:widowControl/>
              <w:suppressLineNumbers w:val="0"/>
              <w:jc w:val="center"/>
              <w:textAlignment w:val="center"/>
              <w:rPr>
                <w:rFonts w:hint="default" w:ascii="仿宋_GB2312" w:hAnsi="宋体" w:eastAsia="仿宋_GB2312" w:cs="仿宋_GB2312"/>
                <w:b/>
                <w:bCs/>
                <w:i w:val="0"/>
                <w:iCs w:val="0"/>
                <w:color w:val="auto"/>
                <w:sz w:val="22"/>
                <w:szCs w:val="22"/>
                <w:u w:val="none"/>
              </w:rPr>
            </w:pPr>
            <w:r>
              <w:rPr>
                <w:rFonts w:hint="default" w:ascii="仿宋_GB2312" w:hAnsi="宋体" w:eastAsia="仿宋_GB2312" w:cs="仿宋_GB2312"/>
                <w:b/>
                <w:bCs/>
                <w:i w:val="0"/>
                <w:iCs w:val="0"/>
                <w:color w:val="auto"/>
                <w:kern w:val="0"/>
                <w:sz w:val="22"/>
                <w:szCs w:val="22"/>
                <w:u w:val="none"/>
                <w:lang w:val="en-US" w:eastAsia="zh-CN" w:bidi="ar"/>
              </w:rPr>
              <w:t>险种</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3E64">
            <w:pPr>
              <w:keepNext w:val="0"/>
              <w:keepLines w:val="0"/>
              <w:widowControl/>
              <w:suppressLineNumbers w:val="0"/>
              <w:jc w:val="center"/>
              <w:textAlignment w:val="center"/>
              <w:rPr>
                <w:rFonts w:hint="default" w:ascii="仿宋_GB2312" w:hAnsi="宋体" w:eastAsia="仿宋_GB2312" w:cs="仿宋_GB2312"/>
                <w:b/>
                <w:bCs/>
                <w:i w:val="0"/>
                <w:iCs w:val="0"/>
                <w:color w:val="auto"/>
                <w:sz w:val="22"/>
                <w:szCs w:val="22"/>
                <w:u w:val="none"/>
              </w:rPr>
            </w:pPr>
            <w:r>
              <w:rPr>
                <w:rFonts w:hint="default" w:ascii="仿宋_GB2312" w:hAnsi="宋体" w:eastAsia="仿宋_GB2312" w:cs="仿宋_GB2312"/>
                <w:b/>
                <w:bCs/>
                <w:i w:val="0"/>
                <w:iCs w:val="0"/>
                <w:color w:val="auto"/>
                <w:kern w:val="0"/>
                <w:sz w:val="22"/>
                <w:szCs w:val="22"/>
                <w:u w:val="none"/>
                <w:lang w:val="en-US" w:eastAsia="zh-CN" w:bidi="ar"/>
              </w:rPr>
              <w:t>预计保费(元）</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05AB">
            <w:pPr>
              <w:keepNext w:val="0"/>
              <w:keepLines w:val="0"/>
              <w:widowControl/>
              <w:suppressLineNumbers w:val="0"/>
              <w:jc w:val="center"/>
              <w:textAlignment w:val="center"/>
              <w:rPr>
                <w:rFonts w:hint="default" w:ascii="黑体" w:hAnsi="宋体" w:eastAsia="黑体" w:cs="黑体"/>
                <w:b/>
                <w:bCs/>
                <w:i w:val="0"/>
                <w:iCs w:val="0"/>
                <w:color w:val="000000"/>
                <w:kern w:val="2"/>
                <w:sz w:val="20"/>
                <w:szCs w:val="20"/>
                <w:u w:val="none"/>
                <w:lang w:val="en-US" w:eastAsia="zh-CN" w:bidi="ar-SA"/>
              </w:rPr>
            </w:pPr>
            <w:r>
              <w:rPr>
                <w:rFonts w:hint="eastAsia" w:ascii="黑体" w:hAnsi="宋体" w:eastAsia="黑体" w:cs="黑体"/>
                <w:b/>
                <w:bCs/>
                <w:i w:val="0"/>
                <w:iCs w:val="0"/>
                <w:color w:val="000000"/>
                <w:kern w:val="0"/>
                <w:sz w:val="20"/>
                <w:szCs w:val="20"/>
                <w:u w:val="none"/>
                <w:lang w:val="en-US" w:eastAsia="zh-CN" w:bidi="ar"/>
              </w:rPr>
              <w:t>乡镇</w:t>
            </w: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BE43">
            <w:pPr>
              <w:keepNext w:val="0"/>
              <w:keepLines w:val="0"/>
              <w:widowControl/>
              <w:suppressLineNumbers w:val="0"/>
              <w:jc w:val="center"/>
              <w:textAlignment w:val="center"/>
              <w:rPr>
                <w:rFonts w:hint="default" w:ascii="黑体" w:hAnsi="宋体" w:eastAsia="黑体" w:cs="黑体"/>
                <w:b/>
                <w:bCs/>
                <w:i w:val="0"/>
                <w:iCs w:val="0"/>
                <w:color w:val="000000"/>
                <w:kern w:val="2"/>
                <w:sz w:val="20"/>
                <w:szCs w:val="20"/>
                <w:u w:val="none"/>
                <w:lang w:val="en-US" w:eastAsia="zh-CN" w:bidi="ar-SA"/>
              </w:rPr>
            </w:pPr>
            <w:r>
              <w:rPr>
                <w:rFonts w:hint="eastAsia" w:ascii="黑体" w:hAnsi="宋体" w:eastAsia="黑体" w:cs="黑体"/>
                <w:b/>
                <w:bCs/>
                <w:i w:val="0"/>
                <w:iCs w:val="0"/>
                <w:color w:val="000000"/>
                <w:kern w:val="0"/>
                <w:sz w:val="20"/>
                <w:szCs w:val="20"/>
                <w:u w:val="none"/>
                <w:lang w:val="en-US" w:eastAsia="zh-CN" w:bidi="ar"/>
              </w:rPr>
              <w:t>森林险</w:t>
            </w:r>
            <w:r>
              <w:rPr>
                <w:rFonts w:hint="eastAsia" w:ascii="黑体" w:hAnsi="宋体" w:eastAsia="黑体" w:cs="黑体"/>
                <w:b/>
                <w:bCs/>
                <w:i w:val="0"/>
                <w:iCs w:val="0"/>
                <w:color w:val="000000"/>
                <w:kern w:val="0"/>
                <w:sz w:val="20"/>
                <w:szCs w:val="20"/>
                <w:u w:val="none"/>
                <w:lang w:val="en-US" w:eastAsia="zh-CN" w:bidi="ar"/>
              </w:rPr>
              <w:br w:type="textWrapping"/>
            </w:r>
            <w:r>
              <w:rPr>
                <w:rFonts w:hint="eastAsia" w:ascii="黑体" w:hAnsi="宋体" w:eastAsia="黑体" w:cs="黑体"/>
                <w:b/>
                <w:bCs/>
                <w:i w:val="0"/>
                <w:iCs w:val="0"/>
                <w:color w:val="000000"/>
                <w:kern w:val="0"/>
                <w:sz w:val="20"/>
                <w:szCs w:val="20"/>
                <w:u w:val="none"/>
                <w:lang w:val="en-US" w:eastAsia="zh-CN" w:bidi="ar"/>
              </w:rPr>
              <w:t>（乡镇）</w:t>
            </w:r>
          </w:p>
        </w:tc>
        <w:tc>
          <w:tcPr>
            <w:tcW w:w="1150" w:type="dxa"/>
            <w:tcBorders>
              <w:top w:val="single" w:color="000000" w:sz="4" w:space="0"/>
              <w:left w:val="single" w:color="000000" w:sz="4" w:space="0"/>
              <w:bottom w:val="single" w:color="auto" w:sz="4" w:space="0"/>
              <w:right w:val="single" w:color="000000" w:sz="4" w:space="0"/>
            </w:tcBorders>
            <w:shd w:val="clear" w:color="auto" w:fill="auto"/>
            <w:vAlign w:val="center"/>
          </w:tcPr>
          <w:p w14:paraId="08D34280">
            <w:pPr>
              <w:keepNext w:val="0"/>
              <w:keepLines w:val="0"/>
              <w:widowControl/>
              <w:suppressLineNumbers w:val="0"/>
              <w:jc w:val="center"/>
              <w:textAlignment w:val="center"/>
              <w:rPr>
                <w:rFonts w:hint="eastAsia" w:ascii="黑体" w:hAnsi="宋体" w:eastAsia="黑体" w:cs="黑体"/>
                <w:b/>
                <w:bCs/>
                <w:i w:val="0"/>
                <w:iCs w:val="0"/>
                <w:color w:val="000000"/>
                <w:kern w:val="0"/>
                <w:sz w:val="20"/>
                <w:szCs w:val="20"/>
                <w:u w:val="none"/>
                <w:lang w:val="en-US" w:eastAsia="zh-CN" w:bidi="ar"/>
              </w:rPr>
            </w:pPr>
            <w:r>
              <w:rPr>
                <w:rFonts w:hint="default" w:ascii="仿宋_GB2312" w:hAnsi="宋体" w:eastAsia="仿宋_GB2312" w:cs="仿宋_GB2312"/>
                <w:b/>
                <w:bCs/>
                <w:i w:val="0"/>
                <w:iCs w:val="0"/>
                <w:color w:val="auto"/>
                <w:kern w:val="0"/>
                <w:sz w:val="22"/>
                <w:szCs w:val="22"/>
                <w:u w:val="none"/>
                <w:lang w:val="en-US" w:eastAsia="zh-CN" w:bidi="ar"/>
              </w:rPr>
              <w:t>预计保费(元）</w:t>
            </w:r>
          </w:p>
        </w:tc>
        <w:tc>
          <w:tcPr>
            <w:tcW w:w="1391" w:type="dxa"/>
            <w:tcBorders>
              <w:top w:val="single" w:color="000000" w:sz="4" w:space="0"/>
              <w:left w:val="single" w:color="000000" w:sz="4" w:space="0"/>
              <w:bottom w:val="single" w:color="auto" w:sz="4" w:space="0"/>
              <w:right w:val="single" w:color="000000" w:sz="4" w:space="0"/>
            </w:tcBorders>
            <w:shd w:val="clear" w:color="auto" w:fill="auto"/>
            <w:vAlign w:val="center"/>
          </w:tcPr>
          <w:p w14:paraId="3DCD52D0">
            <w:pPr>
              <w:keepNext w:val="0"/>
              <w:keepLines w:val="0"/>
              <w:widowControl/>
              <w:suppressLineNumbers w:val="0"/>
              <w:jc w:val="center"/>
              <w:textAlignment w:val="center"/>
              <w:rPr>
                <w:rFonts w:hint="eastAsia" w:ascii="黑体" w:hAnsi="宋体" w:eastAsia="黑体" w:cs="黑体"/>
                <w:b/>
                <w:bCs/>
                <w:i w:val="0"/>
                <w:iCs w:val="0"/>
                <w:color w:val="000000"/>
                <w:kern w:val="2"/>
                <w:sz w:val="20"/>
                <w:szCs w:val="20"/>
                <w:u w:val="none"/>
                <w:lang w:val="en-US" w:eastAsia="zh-CN" w:bidi="ar-SA"/>
              </w:rPr>
            </w:pPr>
            <w:r>
              <w:rPr>
                <w:rFonts w:hint="eastAsia" w:ascii="黑体" w:hAnsi="宋体" w:eastAsia="黑体" w:cs="黑体"/>
                <w:b/>
                <w:bCs/>
                <w:i w:val="0"/>
                <w:iCs w:val="0"/>
                <w:color w:val="000000"/>
                <w:kern w:val="0"/>
                <w:sz w:val="20"/>
                <w:szCs w:val="20"/>
                <w:u w:val="none"/>
                <w:lang w:val="en-US" w:eastAsia="zh-CN" w:bidi="ar"/>
              </w:rPr>
              <w:t>备注</w:t>
            </w:r>
          </w:p>
        </w:tc>
      </w:tr>
      <w:tr w14:paraId="41915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8" w:hRule="atLeast"/>
          <w:jc w:val="center"/>
        </w:trPr>
        <w:tc>
          <w:tcPr>
            <w:tcW w:w="714" w:type="dxa"/>
            <w:tcBorders>
              <w:top w:val="single" w:color="000000" w:sz="4" w:space="0"/>
              <w:left w:val="single" w:color="000000" w:sz="4" w:space="0"/>
              <w:right w:val="single" w:color="000000" w:sz="4" w:space="0"/>
            </w:tcBorders>
            <w:shd w:val="clear" w:color="auto" w:fill="auto"/>
            <w:vAlign w:val="center"/>
          </w:tcPr>
          <w:p w14:paraId="159AD494">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包1</w:t>
            </w:r>
          </w:p>
        </w:tc>
        <w:tc>
          <w:tcPr>
            <w:tcW w:w="1326" w:type="dxa"/>
            <w:tcBorders>
              <w:top w:val="single" w:color="000000" w:sz="4" w:space="0"/>
              <w:left w:val="single" w:color="000000" w:sz="4" w:space="0"/>
              <w:right w:val="single" w:color="000000" w:sz="4" w:space="0"/>
            </w:tcBorders>
            <w:shd w:val="clear" w:color="auto" w:fill="auto"/>
            <w:noWrap/>
            <w:vAlign w:val="center"/>
          </w:tcPr>
          <w:p w14:paraId="0793C894">
            <w:pPr>
              <w:keepNext w:val="0"/>
              <w:keepLines w:val="0"/>
              <w:widowControl/>
              <w:suppressLineNumbers w:val="0"/>
              <w:jc w:val="center"/>
              <w:textAlignment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水稻、水稻制种、油菜、玉米、育肥猪、能分母猪</w:t>
            </w:r>
          </w:p>
        </w:tc>
        <w:tc>
          <w:tcPr>
            <w:tcW w:w="1284" w:type="dxa"/>
            <w:tcBorders>
              <w:top w:val="single" w:color="000000" w:sz="4" w:space="0"/>
              <w:left w:val="single" w:color="000000" w:sz="4" w:space="0"/>
              <w:right w:val="single" w:color="000000" w:sz="4" w:space="0"/>
            </w:tcBorders>
            <w:shd w:val="clear" w:color="auto" w:fill="auto"/>
            <w:vAlign w:val="center"/>
          </w:tcPr>
          <w:p w14:paraId="76B09FBD">
            <w:pPr>
              <w:keepNext w:val="0"/>
              <w:keepLines w:val="0"/>
              <w:widowControl/>
              <w:suppressLineNumbers w:val="0"/>
              <w:jc w:val="center"/>
              <w:textAlignment w:val="center"/>
              <w:rPr>
                <w:rFonts w:hint="default" w:ascii="宋体" w:hAnsi="宋体" w:eastAsia="宋体" w:cs="宋体"/>
                <w:b w:val="0"/>
                <w:bCs w:val="0"/>
                <w:i w:val="0"/>
                <w:iCs w:val="0"/>
                <w:color w:val="000000"/>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8991062.32 </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212E">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黔城镇</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安江镇</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沅河镇</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岩垅乡</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塘湾镇</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洗马乡</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茅渡乡</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群峰乡</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大崇乡</w:t>
            </w:r>
          </w:p>
        </w:tc>
        <w:tc>
          <w:tcPr>
            <w:tcW w:w="1667" w:type="dxa"/>
            <w:tcBorders>
              <w:top w:val="single" w:color="000000" w:sz="4" w:space="0"/>
              <w:left w:val="single" w:color="000000" w:sz="4" w:space="0"/>
              <w:right w:val="single" w:color="auto" w:sz="4" w:space="0"/>
            </w:tcBorders>
            <w:shd w:val="clear" w:color="auto" w:fill="auto"/>
            <w:vAlign w:val="center"/>
          </w:tcPr>
          <w:p w14:paraId="023E78C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（商品林）</w:t>
            </w:r>
          </w:p>
          <w:p w14:paraId="4D0600B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黔城镇、江市镇、岩垅乡、深渡乡、龙船塘、沙湾乡、茅渡乡、塘湾镇、洗马乡、太平乡</w:t>
            </w:r>
          </w:p>
        </w:tc>
        <w:tc>
          <w:tcPr>
            <w:tcW w:w="1150" w:type="dxa"/>
            <w:tcBorders>
              <w:top w:val="single" w:color="auto" w:sz="4" w:space="0"/>
              <w:left w:val="single" w:color="auto" w:sz="4" w:space="0"/>
              <w:right w:val="single" w:color="auto" w:sz="4" w:space="0"/>
            </w:tcBorders>
            <w:shd w:val="clear" w:color="auto" w:fill="auto"/>
            <w:vAlign w:val="center"/>
          </w:tcPr>
          <w:p w14:paraId="38DA2D2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907315</w:t>
            </w:r>
          </w:p>
        </w:tc>
        <w:tc>
          <w:tcPr>
            <w:tcW w:w="1391" w:type="dxa"/>
            <w:tcBorders>
              <w:top w:val="single" w:color="auto" w:sz="4" w:space="0"/>
              <w:left w:val="single" w:color="auto" w:sz="4" w:space="0"/>
              <w:right w:val="single" w:color="auto" w:sz="4" w:space="0"/>
            </w:tcBorders>
            <w:shd w:val="clear" w:color="auto" w:fill="auto"/>
            <w:vAlign w:val="center"/>
          </w:tcPr>
          <w:p w14:paraId="31A1173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包1：899万元＋商品林90.7 万元=989.7万元</w:t>
            </w:r>
          </w:p>
          <w:p w14:paraId="7A4006B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占比：60.2%左右</w:t>
            </w:r>
          </w:p>
        </w:tc>
      </w:tr>
      <w:tr w14:paraId="4E29C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jc w:val="center"/>
        </w:trPr>
        <w:tc>
          <w:tcPr>
            <w:tcW w:w="714" w:type="dxa"/>
            <w:vMerge w:val="restart"/>
            <w:tcBorders>
              <w:top w:val="single" w:color="000000" w:sz="4" w:space="0"/>
              <w:left w:val="single" w:color="000000" w:sz="4" w:space="0"/>
              <w:right w:val="single" w:color="000000" w:sz="4" w:space="0"/>
            </w:tcBorders>
            <w:shd w:val="clear" w:color="auto" w:fill="auto"/>
            <w:vAlign w:val="center"/>
          </w:tcPr>
          <w:p w14:paraId="395315D0">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包2</w:t>
            </w:r>
          </w:p>
        </w:tc>
        <w:tc>
          <w:tcPr>
            <w:tcW w:w="1326" w:type="dxa"/>
            <w:tcBorders>
              <w:top w:val="single" w:color="000000" w:sz="4" w:space="0"/>
              <w:left w:val="single" w:color="000000" w:sz="4" w:space="0"/>
              <w:right w:val="single" w:color="000000" w:sz="4" w:space="0"/>
            </w:tcBorders>
            <w:shd w:val="clear" w:color="auto" w:fill="auto"/>
            <w:vAlign w:val="center"/>
          </w:tcPr>
          <w:p w14:paraId="22FFE4F7">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i w:val="0"/>
                <w:iCs w:val="0"/>
                <w:color w:val="auto"/>
                <w:sz w:val="20"/>
                <w:szCs w:val="20"/>
                <w:u w:val="none"/>
                <w:lang w:eastAsia="zh-CN"/>
              </w:rPr>
              <w:t>水稻、水稻制种、油菜、玉米、育肥猪、能分母猪</w:t>
            </w:r>
          </w:p>
        </w:tc>
        <w:tc>
          <w:tcPr>
            <w:tcW w:w="1284" w:type="dxa"/>
            <w:vMerge w:val="restart"/>
            <w:tcBorders>
              <w:top w:val="single" w:color="000000" w:sz="4" w:space="0"/>
              <w:left w:val="single" w:color="000000" w:sz="4" w:space="0"/>
              <w:right w:val="single" w:color="000000" w:sz="4" w:space="0"/>
            </w:tcBorders>
            <w:shd w:val="clear" w:color="auto" w:fill="auto"/>
            <w:vAlign w:val="center"/>
          </w:tcPr>
          <w:p w14:paraId="0E33C207">
            <w:pPr>
              <w:keepNext w:val="0"/>
              <w:keepLines w:val="0"/>
              <w:widowControl/>
              <w:suppressLineNumbers w:val="0"/>
              <w:jc w:val="center"/>
              <w:textAlignment w:val="center"/>
              <w:rPr>
                <w:rFonts w:hint="default" w:ascii="宋体" w:hAnsi="宋体" w:eastAsia="宋体" w:cs="宋体"/>
                <w:b w:val="0"/>
                <w:bCs w:val="0"/>
                <w:i w:val="0"/>
                <w:iCs w:val="0"/>
                <w:color w:val="000000"/>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3279481.44 </w:t>
            </w:r>
          </w:p>
        </w:tc>
        <w:tc>
          <w:tcPr>
            <w:tcW w:w="1366" w:type="dxa"/>
            <w:tcBorders>
              <w:top w:val="single" w:color="000000" w:sz="4" w:space="0"/>
              <w:left w:val="single" w:color="000000" w:sz="4" w:space="0"/>
              <w:right w:val="single" w:color="000000" w:sz="4" w:space="0"/>
            </w:tcBorders>
            <w:shd w:val="clear" w:color="auto" w:fill="auto"/>
            <w:vAlign w:val="center"/>
          </w:tcPr>
          <w:p w14:paraId="55ED7211">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熟坪乡</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江市镇</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龙船塘</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太平乡</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沙湾乡</w:t>
            </w:r>
          </w:p>
        </w:tc>
        <w:tc>
          <w:tcPr>
            <w:tcW w:w="1667" w:type="dxa"/>
            <w:vMerge w:val="restart"/>
            <w:tcBorders>
              <w:top w:val="single" w:color="000000" w:sz="4" w:space="0"/>
              <w:left w:val="single" w:color="000000" w:sz="4" w:space="0"/>
              <w:right w:val="single" w:color="000000" w:sz="4" w:space="0"/>
            </w:tcBorders>
            <w:shd w:val="clear" w:color="auto" w:fill="auto"/>
            <w:vAlign w:val="center"/>
          </w:tcPr>
          <w:p w14:paraId="7650D9CB">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无森林险</w:t>
            </w:r>
          </w:p>
        </w:tc>
        <w:tc>
          <w:tcPr>
            <w:tcW w:w="1150" w:type="dxa"/>
            <w:vMerge w:val="restart"/>
            <w:tcBorders>
              <w:top w:val="single" w:color="auto" w:sz="4" w:space="0"/>
              <w:left w:val="single" w:color="000000" w:sz="4" w:space="0"/>
              <w:right w:val="single" w:color="000000" w:sz="4" w:space="0"/>
            </w:tcBorders>
            <w:shd w:val="clear" w:color="auto" w:fill="auto"/>
            <w:vAlign w:val="center"/>
          </w:tcPr>
          <w:p w14:paraId="095DFEBB">
            <w:pPr>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0</w:t>
            </w:r>
          </w:p>
        </w:tc>
        <w:tc>
          <w:tcPr>
            <w:tcW w:w="1391" w:type="dxa"/>
            <w:vMerge w:val="restart"/>
            <w:tcBorders>
              <w:top w:val="single" w:color="auto" w:sz="4" w:space="0"/>
              <w:left w:val="single" w:color="000000" w:sz="4" w:space="0"/>
              <w:right w:val="single" w:color="000000" w:sz="4" w:space="0"/>
            </w:tcBorders>
            <w:shd w:val="clear" w:color="auto" w:fill="auto"/>
            <w:vAlign w:val="center"/>
          </w:tcPr>
          <w:p w14:paraId="78424B14">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包</w:t>
            </w:r>
            <w:r>
              <w:rPr>
                <w:rFonts w:hint="eastAsia" w:ascii="宋体" w:hAnsi="宋体" w:eastAsia="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：保费预计327.9万元左右占比20%左右</w:t>
            </w:r>
          </w:p>
        </w:tc>
      </w:tr>
      <w:tr w14:paraId="3C8A1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1" w:hRule="atLeast"/>
          <w:jc w:val="center"/>
        </w:trPr>
        <w:tc>
          <w:tcPr>
            <w:tcW w:w="714" w:type="dxa"/>
            <w:vMerge w:val="restart"/>
            <w:tcBorders>
              <w:top w:val="single" w:color="000000" w:sz="4" w:space="0"/>
              <w:left w:val="single" w:color="000000" w:sz="4" w:space="0"/>
              <w:right w:val="single" w:color="000000" w:sz="4" w:space="0"/>
            </w:tcBorders>
            <w:shd w:val="clear" w:color="auto" w:fill="auto"/>
            <w:vAlign w:val="center"/>
          </w:tcPr>
          <w:p w14:paraId="2823B58A">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包3</w:t>
            </w:r>
          </w:p>
        </w:tc>
        <w:tc>
          <w:tcPr>
            <w:tcW w:w="1326" w:type="dxa"/>
            <w:tcBorders>
              <w:top w:val="single" w:color="000000" w:sz="4" w:space="0"/>
              <w:left w:val="single" w:color="000000" w:sz="4" w:space="0"/>
              <w:right w:val="single" w:color="000000" w:sz="4" w:space="0"/>
            </w:tcBorders>
            <w:shd w:val="clear" w:color="auto" w:fill="auto"/>
            <w:vAlign w:val="center"/>
          </w:tcPr>
          <w:p w14:paraId="3FC7813F">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284" w:type="dxa"/>
            <w:vMerge w:val="restart"/>
            <w:tcBorders>
              <w:top w:val="single" w:color="auto" w:sz="4" w:space="0"/>
              <w:left w:val="single" w:color="000000" w:sz="4" w:space="0"/>
              <w:right w:val="single" w:color="000000" w:sz="4" w:space="0"/>
            </w:tcBorders>
            <w:shd w:val="clear" w:color="auto" w:fill="auto"/>
            <w:vAlign w:val="center"/>
          </w:tcPr>
          <w:p w14:paraId="3B9226BB">
            <w:pPr>
              <w:keepNext w:val="0"/>
              <w:keepLines w:val="0"/>
              <w:widowControl/>
              <w:suppressLineNumbers w:val="0"/>
              <w:jc w:val="center"/>
              <w:textAlignment w:val="center"/>
              <w:rPr>
                <w:rFonts w:hint="default" w:ascii="宋体" w:hAnsi="宋体" w:eastAsia="宋体" w:cs="宋体"/>
                <w:b w:val="0"/>
                <w:bCs w:val="0"/>
                <w:i w:val="0"/>
                <w:iCs w:val="0"/>
                <w:color w:val="000000"/>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785236.46 </w:t>
            </w:r>
          </w:p>
        </w:tc>
        <w:tc>
          <w:tcPr>
            <w:tcW w:w="1366" w:type="dxa"/>
            <w:tcBorders>
              <w:top w:val="single" w:color="000000" w:sz="4" w:space="0"/>
              <w:left w:val="single" w:color="000000" w:sz="4" w:space="0"/>
              <w:right w:val="single" w:color="000000" w:sz="4" w:space="0"/>
            </w:tcBorders>
            <w:shd w:val="clear" w:color="auto" w:fill="auto"/>
            <w:vAlign w:val="center"/>
          </w:tcPr>
          <w:p w14:paraId="47E6B614">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雪峰镇</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岔头乡</w:t>
            </w:r>
          </w:p>
        </w:tc>
        <w:tc>
          <w:tcPr>
            <w:tcW w:w="1667" w:type="dxa"/>
            <w:vMerge w:val="restart"/>
            <w:tcBorders>
              <w:top w:val="single" w:color="000000" w:sz="4" w:space="0"/>
              <w:left w:val="single" w:color="000000" w:sz="4" w:space="0"/>
              <w:right w:val="single" w:color="000000" w:sz="4" w:space="0"/>
            </w:tcBorders>
            <w:shd w:val="clear" w:color="auto" w:fill="auto"/>
            <w:vAlign w:val="center"/>
          </w:tcPr>
          <w:p w14:paraId="3BD052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（商品林）</w:t>
            </w:r>
          </w:p>
          <w:p w14:paraId="779439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大崇乡、安江镇、岔头乡、雪峰镇、铁山乡、群峰乡、湾溪乡、熟坪乡、沅河镇、托口镇</w:t>
            </w:r>
          </w:p>
        </w:tc>
        <w:tc>
          <w:tcPr>
            <w:tcW w:w="1150" w:type="dxa"/>
            <w:vMerge w:val="restart"/>
            <w:tcBorders>
              <w:top w:val="single" w:color="000000" w:sz="4" w:space="0"/>
              <w:left w:val="single" w:color="000000" w:sz="4" w:space="0"/>
              <w:right w:val="single" w:color="000000" w:sz="4" w:space="0"/>
            </w:tcBorders>
            <w:shd w:val="clear" w:color="auto" w:fill="auto"/>
            <w:vAlign w:val="center"/>
          </w:tcPr>
          <w:p w14:paraId="67287A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892807.2</w:t>
            </w:r>
          </w:p>
        </w:tc>
        <w:tc>
          <w:tcPr>
            <w:tcW w:w="1391" w:type="dxa"/>
            <w:vMerge w:val="restart"/>
            <w:tcBorders>
              <w:top w:val="single" w:color="000000" w:sz="4" w:space="0"/>
              <w:left w:val="single" w:color="000000" w:sz="4" w:space="0"/>
              <w:right w:val="single" w:color="000000" w:sz="4" w:space="0"/>
            </w:tcBorders>
            <w:shd w:val="clear" w:color="auto" w:fill="auto"/>
            <w:vAlign w:val="center"/>
          </w:tcPr>
          <w:p w14:paraId="60EBEF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包3：保费78.52+商品林89.28万元=167.8万元</w:t>
            </w:r>
          </w:p>
          <w:p w14:paraId="616722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占比：10.2%左右</w:t>
            </w:r>
          </w:p>
        </w:tc>
      </w:tr>
      <w:tr w14:paraId="0C692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6" w:hRule="atLeast"/>
          <w:jc w:val="center"/>
        </w:trPr>
        <w:tc>
          <w:tcPr>
            <w:tcW w:w="714" w:type="dxa"/>
            <w:vMerge w:val="restart"/>
            <w:tcBorders>
              <w:top w:val="single" w:color="000000" w:sz="4" w:space="0"/>
              <w:left w:val="single" w:color="000000" w:sz="4" w:space="0"/>
              <w:right w:val="single" w:color="000000" w:sz="4" w:space="0"/>
            </w:tcBorders>
            <w:shd w:val="clear" w:color="auto" w:fill="auto"/>
            <w:vAlign w:val="center"/>
          </w:tcPr>
          <w:p w14:paraId="581E3FDF">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包4</w:t>
            </w:r>
          </w:p>
        </w:tc>
        <w:tc>
          <w:tcPr>
            <w:tcW w:w="1326" w:type="dxa"/>
            <w:tcBorders>
              <w:top w:val="single" w:color="000000" w:sz="4" w:space="0"/>
              <w:left w:val="single" w:color="000000" w:sz="4" w:space="0"/>
              <w:right w:val="single" w:color="000000" w:sz="4" w:space="0"/>
            </w:tcBorders>
            <w:shd w:val="clear" w:color="auto" w:fill="auto"/>
            <w:vAlign w:val="center"/>
          </w:tcPr>
          <w:p w14:paraId="385BC6B1">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284" w:type="dxa"/>
            <w:vMerge w:val="restart"/>
            <w:tcBorders>
              <w:top w:val="single" w:color="auto" w:sz="4" w:space="0"/>
              <w:left w:val="single" w:color="000000" w:sz="4" w:space="0"/>
              <w:right w:val="single" w:color="000000" w:sz="4" w:space="0"/>
            </w:tcBorders>
            <w:shd w:val="clear" w:color="auto" w:fill="auto"/>
            <w:vAlign w:val="center"/>
          </w:tcPr>
          <w:p w14:paraId="3E38E481">
            <w:pPr>
              <w:keepNext w:val="0"/>
              <w:keepLines w:val="0"/>
              <w:widowControl/>
              <w:suppressLineNumbers w:val="0"/>
              <w:jc w:val="center"/>
              <w:textAlignment w:val="center"/>
              <w:rPr>
                <w:rFonts w:hint="default" w:ascii="宋体" w:hAnsi="宋体" w:eastAsia="宋体" w:cs="宋体"/>
                <w:b w:val="0"/>
                <w:bCs w:val="0"/>
                <w:i w:val="0"/>
                <w:iCs w:val="0"/>
                <w:color w:val="000000"/>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742417.64 </w:t>
            </w:r>
          </w:p>
        </w:tc>
        <w:tc>
          <w:tcPr>
            <w:tcW w:w="1366" w:type="dxa"/>
            <w:tcBorders>
              <w:top w:val="single" w:color="000000" w:sz="4" w:space="0"/>
              <w:left w:val="single" w:color="000000" w:sz="4" w:space="0"/>
              <w:right w:val="single" w:color="000000" w:sz="4" w:space="0"/>
            </w:tcBorders>
            <w:shd w:val="clear" w:color="auto" w:fill="auto"/>
            <w:vAlign w:val="center"/>
          </w:tcPr>
          <w:p w14:paraId="1B43522F">
            <w:pPr>
              <w:keepNext w:val="0"/>
              <w:keepLines w:val="0"/>
              <w:widowControl/>
              <w:suppressLineNumbers w:val="0"/>
              <w:jc w:val="center"/>
              <w:textAlignment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深渡乡</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湾溪乡</w:t>
            </w:r>
          </w:p>
        </w:tc>
        <w:tc>
          <w:tcPr>
            <w:tcW w:w="1667" w:type="dxa"/>
            <w:vMerge w:val="restart"/>
            <w:tcBorders>
              <w:top w:val="single" w:color="000000" w:sz="4" w:space="0"/>
              <w:left w:val="single" w:color="000000" w:sz="4" w:space="0"/>
              <w:right w:val="single" w:color="000000" w:sz="4" w:space="0"/>
            </w:tcBorders>
            <w:shd w:val="clear" w:color="auto" w:fill="auto"/>
            <w:vAlign w:val="center"/>
          </w:tcPr>
          <w:p w14:paraId="0C4606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全市公益林</w:t>
            </w:r>
          </w:p>
        </w:tc>
        <w:tc>
          <w:tcPr>
            <w:tcW w:w="1150" w:type="dxa"/>
            <w:vMerge w:val="restart"/>
            <w:tcBorders>
              <w:top w:val="single" w:color="000000" w:sz="4" w:space="0"/>
              <w:left w:val="single" w:color="000000" w:sz="4" w:space="0"/>
              <w:right w:val="single" w:color="000000" w:sz="4" w:space="0"/>
            </w:tcBorders>
            <w:shd w:val="clear" w:color="auto" w:fill="auto"/>
            <w:vAlign w:val="center"/>
          </w:tcPr>
          <w:p w14:paraId="20D3EE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588349.56</w:t>
            </w:r>
          </w:p>
        </w:tc>
        <w:tc>
          <w:tcPr>
            <w:tcW w:w="1391" w:type="dxa"/>
            <w:vMerge w:val="restart"/>
            <w:tcBorders>
              <w:top w:val="single" w:color="000000" w:sz="4" w:space="0"/>
              <w:left w:val="single" w:color="000000" w:sz="4" w:space="0"/>
              <w:right w:val="single" w:color="000000" w:sz="4" w:space="0"/>
            </w:tcBorders>
            <w:shd w:val="clear" w:color="auto" w:fill="auto"/>
            <w:vAlign w:val="center"/>
          </w:tcPr>
          <w:p w14:paraId="583159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包4：保费74.24+公益林58.83=133.07万元</w:t>
            </w:r>
          </w:p>
          <w:p w14:paraId="088025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占比8.1%左右</w:t>
            </w:r>
          </w:p>
        </w:tc>
      </w:tr>
      <w:tr w14:paraId="53CA1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14" w:type="dxa"/>
            <w:tcBorders>
              <w:top w:val="single" w:color="000000" w:sz="4" w:space="0"/>
              <w:left w:val="single" w:color="000000" w:sz="4" w:space="0"/>
              <w:bottom w:val="single" w:color="auto" w:sz="4" w:space="0"/>
              <w:right w:val="single" w:color="000000" w:sz="4" w:space="0"/>
            </w:tcBorders>
            <w:shd w:val="clear" w:color="auto" w:fill="auto"/>
            <w:vAlign w:val="center"/>
          </w:tcPr>
          <w:p w14:paraId="0A87487F">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rPr>
            </w:pPr>
            <w:r>
              <w:rPr>
                <w:rFonts w:hint="eastAsia" w:ascii="宋体" w:hAnsi="宋体" w:eastAsia="宋体" w:cs="宋体"/>
                <w:b w:val="0"/>
                <w:bCs w:val="0"/>
                <w:i w:val="0"/>
                <w:iCs w:val="0"/>
                <w:color w:val="auto"/>
                <w:kern w:val="0"/>
                <w:sz w:val="20"/>
                <w:szCs w:val="20"/>
                <w:u w:val="none"/>
                <w:lang w:val="en-US" w:eastAsia="zh-CN" w:bidi="ar"/>
              </w:rPr>
              <w:t>包5</w:t>
            </w:r>
          </w:p>
        </w:tc>
        <w:tc>
          <w:tcPr>
            <w:tcW w:w="13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35E9351">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水稻、水稻制种、油菜、玉米、育肥猪、能分母猪</w:t>
            </w:r>
          </w:p>
        </w:tc>
        <w:tc>
          <w:tcPr>
            <w:tcW w:w="1284" w:type="dxa"/>
            <w:tcBorders>
              <w:top w:val="single" w:color="000000" w:sz="4" w:space="0"/>
              <w:left w:val="single" w:color="000000" w:sz="4" w:space="0"/>
              <w:bottom w:val="single" w:color="auto" w:sz="4" w:space="0"/>
              <w:right w:val="single" w:color="000000" w:sz="4" w:space="0"/>
            </w:tcBorders>
            <w:shd w:val="clear" w:color="auto" w:fill="auto"/>
            <w:vAlign w:val="center"/>
          </w:tcPr>
          <w:p w14:paraId="36D97CEA">
            <w:pPr>
              <w:keepNext w:val="0"/>
              <w:keepLines w:val="0"/>
              <w:widowControl/>
              <w:suppressLineNumbers w:val="0"/>
              <w:jc w:val="center"/>
              <w:textAlignment w:val="center"/>
              <w:rPr>
                <w:rFonts w:hint="eastAsia" w:ascii="宋体" w:hAnsi="宋体" w:eastAsia="宋体" w:cs="宋体"/>
                <w:b w:val="0"/>
                <w:bCs w:val="0"/>
                <w:i w:val="0"/>
                <w:iCs w:val="0"/>
                <w:color w:val="000000"/>
                <w:kern w:val="2"/>
                <w:sz w:val="20"/>
                <w:szCs w:val="20"/>
                <w:u w:val="none"/>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241106.50 </w:t>
            </w:r>
          </w:p>
        </w:tc>
        <w:tc>
          <w:tcPr>
            <w:tcW w:w="1366" w:type="dxa"/>
            <w:tcBorders>
              <w:top w:val="single" w:color="000000" w:sz="4" w:space="0"/>
              <w:left w:val="single" w:color="000000" w:sz="4" w:space="0"/>
              <w:bottom w:val="single" w:color="auto" w:sz="4" w:space="0"/>
              <w:right w:val="single" w:color="000000" w:sz="4" w:space="0"/>
            </w:tcBorders>
            <w:shd w:val="clear" w:color="auto" w:fill="auto"/>
            <w:vAlign w:val="center"/>
          </w:tcPr>
          <w:p w14:paraId="0988F6CB">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托口镇</w:t>
            </w:r>
            <w:r>
              <w:rPr>
                <w:rFonts w:hint="eastAsia" w:ascii="宋体" w:hAnsi="宋体" w:cs="宋体"/>
                <w:b w:val="0"/>
                <w:bCs w:val="0"/>
                <w:i w:val="0"/>
                <w:iCs w:val="0"/>
                <w:color w:val="000000"/>
                <w:kern w:val="0"/>
                <w:sz w:val="20"/>
                <w:szCs w:val="20"/>
                <w:u w:val="none"/>
                <w:lang w:val="en-US" w:eastAsia="zh-CN" w:bidi="ar"/>
              </w:rPr>
              <w:t>、</w:t>
            </w:r>
            <w:r>
              <w:rPr>
                <w:rFonts w:hint="eastAsia" w:ascii="宋体" w:hAnsi="宋体" w:eastAsia="宋体" w:cs="宋体"/>
                <w:b w:val="0"/>
                <w:bCs w:val="0"/>
                <w:i w:val="0"/>
                <w:iCs w:val="0"/>
                <w:color w:val="000000"/>
                <w:kern w:val="0"/>
                <w:sz w:val="20"/>
                <w:szCs w:val="20"/>
                <w:u w:val="none"/>
                <w:lang w:val="en-US" w:eastAsia="zh-CN" w:bidi="ar"/>
              </w:rPr>
              <w:t>铁山乡</w:t>
            </w:r>
          </w:p>
        </w:tc>
        <w:tc>
          <w:tcPr>
            <w:tcW w:w="1667" w:type="dxa"/>
            <w:tcBorders>
              <w:top w:val="single" w:color="000000" w:sz="4" w:space="0"/>
              <w:left w:val="single" w:color="000000" w:sz="4" w:space="0"/>
              <w:bottom w:val="single" w:color="auto" w:sz="4" w:space="0"/>
              <w:right w:val="single" w:color="000000" w:sz="4" w:space="0"/>
            </w:tcBorders>
            <w:shd w:val="clear" w:color="auto" w:fill="auto"/>
            <w:vAlign w:val="center"/>
          </w:tcPr>
          <w:p w14:paraId="26FAA031">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无森林险</w:t>
            </w:r>
          </w:p>
        </w:tc>
        <w:tc>
          <w:tcPr>
            <w:tcW w:w="1150" w:type="dxa"/>
            <w:tcBorders>
              <w:top w:val="single" w:color="000000" w:sz="4" w:space="0"/>
              <w:left w:val="single" w:color="000000" w:sz="4" w:space="0"/>
              <w:bottom w:val="single" w:color="auto" w:sz="4" w:space="0"/>
              <w:right w:val="single" w:color="000000" w:sz="4" w:space="0"/>
            </w:tcBorders>
            <w:shd w:val="clear" w:color="auto" w:fill="auto"/>
            <w:vAlign w:val="center"/>
          </w:tcPr>
          <w:p w14:paraId="600FE6DD">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0</w:t>
            </w:r>
          </w:p>
        </w:tc>
        <w:tc>
          <w:tcPr>
            <w:tcW w:w="1391" w:type="dxa"/>
            <w:tcBorders>
              <w:top w:val="single" w:color="000000" w:sz="4" w:space="0"/>
              <w:left w:val="single" w:color="000000" w:sz="4" w:space="0"/>
              <w:bottom w:val="single" w:color="auto" w:sz="4" w:space="0"/>
              <w:right w:val="single" w:color="000000" w:sz="4" w:space="0"/>
            </w:tcBorders>
            <w:shd w:val="clear" w:color="auto" w:fill="auto"/>
            <w:vAlign w:val="center"/>
          </w:tcPr>
          <w:p w14:paraId="249921B3">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包</w:t>
            </w:r>
            <w:r>
              <w:rPr>
                <w:rFonts w:hint="eastAsia" w:ascii="宋体" w:hAnsi="宋体" w:eastAsia="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rPr>
              <w:t>：保费24.11万元</w:t>
            </w:r>
          </w:p>
          <w:p w14:paraId="1AEDC8F4">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占比1.5%左右</w:t>
            </w:r>
          </w:p>
        </w:tc>
      </w:tr>
    </w:tbl>
    <w:p w14:paraId="1C94E52B">
      <w:pPr>
        <w:pStyle w:val="11"/>
        <w:ind w:left="0" w:leftChars="0" w:firstLine="0" w:firstLineChars="0"/>
        <w:rPr>
          <w:rFonts w:hint="eastAsia" w:ascii="宋体" w:hAnsi="宋体" w:eastAsia="宋体" w:cs="宋体"/>
        </w:rPr>
        <w:sectPr>
          <w:footerReference r:id="rId3" w:type="default"/>
          <w:pgSz w:w="11906" w:h="16838"/>
          <w:pgMar w:top="1587" w:right="1587" w:bottom="1587" w:left="1587" w:header="851" w:footer="1417" w:gutter="0"/>
          <w:pgNumType w:fmt="decimal" w:start="1"/>
          <w:cols w:space="720" w:num="1"/>
          <w:docGrid w:type="lines" w:linePitch="312" w:charSpace="0"/>
        </w:sectPr>
      </w:pPr>
    </w:p>
    <w:p w14:paraId="246ED23E">
      <w:pPr>
        <w:pStyle w:val="4"/>
        <w:bidi w:val="0"/>
        <w:ind w:firstLine="723" w:firstLineChars="300"/>
        <w:rPr>
          <w:rFonts w:hint="eastAsia" w:ascii="宋体" w:hAnsi="宋体" w:eastAsia="宋体" w:cs="宋体"/>
          <w:b/>
          <w:bCs/>
          <w:color w:val="000000"/>
          <w:kern w:val="0"/>
          <w:sz w:val="32"/>
          <w:szCs w:val="32"/>
        </w:rPr>
      </w:pPr>
      <w:bookmarkStart w:id="30" w:name="_Toc2672"/>
      <w:bookmarkStart w:id="31" w:name="OLE_LINK1"/>
      <w:r>
        <w:rPr>
          <w:rFonts w:hint="eastAsia" w:ascii="宋体" w:hAnsi="宋体" w:eastAsia="宋体" w:cs="宋体"/>
          <w:b/>
          <w:sz w:val="24"/>
          <w:szCs w:val="24"/>
        </w:rPr>
        <w:t>附件2</w:t>
      </w:r>
      <w:bookmarkEnd w:id="30"/>
      <w:r>
        <w:rPr>
          <w:rFonts w:hint="eastAsia" w:ascii="宋体" w:hAnsi="宋体" w:eastAsia="宋体" w:cs="宋体"/>
          <w:b/>
          <w:sz w:val="24"/>
          <w:szCs w:val="24"/>
          <w:lang w:val="en-US" w:eastAsia="zh-CN"/>
        </w:rPr>
        <w:t xml:space="preserve">        </w:t>
      </w:r>
      <w:r>
        <w:rPr>
          <w:rFonts w:hint="eastAsia" w:ascii="宋体" w:hAnsi="宋体" w:eastAsia="宋体" w:cs="宋体"/>
          <w:b/>
          <w:bCs/>
          <w:color w:val="000000"/>
          <w:kern w:val="0"/>
          <w:sz w:val="32"/>
          <w:szCs w:val="32"/>
        </w:rPr>
        <w:t>公开竞争性遴选政策性农业保险承保机构评审标准（省级）</w:t>
      </w:r>
    </w:p>
    <w:tbl>
      <w:tblPr>
        <w:tblStyle w:val="25"/>
        <w:tblW w:w="13651"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80"/>
        <w:gridCol w:w="1185"/>
        <w:gridCol w:w="735"/>
        <w:gridCol w:w="5370"/>
        <w:gridCol w:w="5381"/>
      </w:tblGrid>
      <w:tr w14:paraId="79D2E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980" w:type="dxa"/>
            <w:vAlign w:val="center"/>
          </w:tcPr>
          <w:p w14:paraId="747DA314">
            <w:pPr>
              <w:pStyle w:val="29"/>
              <w:widowControl/>
              <w:snapToGrid w:val="0"/>
              <w:spacing w:before="53"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3"/>
              </w:rPr>
              <w:t>一级</w:t>
            </w:r>
            <w:r>
              <w:rPr>
                <w:rFonts w:hint="eastAsia" w:ascii="宋体" w:hAnsi="宋体" w:eastAsia="宋体" w:cs="宋体"/>
                <w:b/>
                <w:bCs/>
                <w:spacing w:val="3"/>
              </w:rPr>
              <w:t>指标</w:t>
            </w:r>
          </w:p>
        </w:tc>
        <w:tc>
          <w:tcPr>
            <w:tcW w:w="1185" w:type="dxa"/>
            <w:vAlign w:val="center"/>
          </w:tcPr>
          <w:p w14:paraId="5B33473F">
            <w:pPr>
              <w:pStyle w:val="29"/>
              <w:widowControl/>
              <w:snapToGrid w:val="0"/>
              <w:spacing w:before="53"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2"/>
              </w:rPr>
              <w:t>二级</w:t>
            </w:r>
            <w:r>
              <w:rPr>
                <w:rFonts w:hint="eastAsia" w:ascii="宋体" w:hAnsi="宋体" w:eastAsia="宋体" w:cs="宋体"/>
                <w:b/>
                <w:bCs/>
                <w:spacing w:val="3"/>
              </w:rPr>
              <w:t>指标</w:t>
            </w:r>
          </w:p>
        </w:tc>
        <w:tc>
          <w:tcPr>
            <w:tcW w:w="735" w:type="dxa"/>
            <w:vAlign w:val="center"/>
          </w:tcPr>
          <w:p w14:paraId="09953C73">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3"/>
              </w:rPr>
              <w:t>分值</w:t>
            </w:r>
          </w:p>
        </w:tc>
        <w:tc>
          <w:tcPr>
            <w:tcW w:w="5370" w:type="dxa"/>
            <w:vAlign w:val="center"/>
          </w:tcPr>
          <w:p w14:paraId="5FA13C92">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1"/>
              </w:rPr>
              <w:t>评分标准</w:t>
            </w:r>
          </w:p>
        </w:tc>
        <w:tc>
          <w:tcPr>
            <w:tcW w:w="5381" w:type="dxa"/>
            <w:vAlign w:val="center"/>
          </w:tcPr>
          <w:p w14:paraId="67C41FC1">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2"/>
              </w:rPr>
              <w:t>评分说明</w:t>
            </w:r>
          </w:p>
        </w:tc>
      </w:tr>
      <w:tr w14:paraId="346F2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restart"/>
            <w:tcBorders>
              <w:bottom w:val="nil"/>
            </w:tcBorders>
            <w:vAlign w:val="center"/>
          </w:tcPr>
          <w:p w14:paraId="34B6B676">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4"/>
                <w:sz w:val="20"/>
              </w:rPr>
              <w:t>服务</w:t>
            </w:r>
            <w:r>
              <w:rPr>
                <w:rFonts w:hint="eastAsia" w:ascii="宋体" w:hAnsi="宋体" w:eastAsia="宋体" w:cs="宋体"/>
                <w:spacing w:val="18"/>
                <w:sz w:val="20"/>
              </w:rPr>
              <w:t>能力</w:t>
            </w:r>
            <w:r>
              <w:rPr>
                <w:rFonts w:hint="eastAsia" w:ascii="宋体" w:hAnsi="宋体" w:eastAsia="宋体" w:cs="宋体"/>
                <w:spacing w:val="-1"/>
                <w:sz w:val="20"/>
              </w:rPr>
              <w:t>30</w:t>
            </w:r>
            <w:r>
              <w:rPr>
                <w:rFonts w:hint="eastAsia" w:ascii="宋体" w:hAnsi="宋体" w:eastAsia="宋体" w:cs="宋体"/>
                <w:spacing w:val="14"/>
                <w:w w:val="101"/>
                <w:sz w:val="20"/>
              </w:rPr>
              <w:t xml:space="preserve"> </w:t>
            </w:r>
            <w:r>
              <w:rPr>
                <w:rFonts w:hint="eastAsia" w:ascii="宋体" w:hAnsi="宋体" w:eastAsia="宋体" w:cs="宋体"/>
                <w:spacing w:val="-1"/>
                <w:sz w:val="20"/>
              </w:rPr>
              <w:t>分</w:t>
            </w:r>
          </w:p>
        </w:tc>
        <w:tc>
          <w:tcPr>
            <w:tcW w:w="1185" w:type="dxa"/>
            <w:vAlign w:val="center"/>
          </w:tcPr>
          <w:p w14:paraId="7D585DD4">
            <w:pPr>
              <w:pStyle w:val="29"/>
              <w:widowControl/>
              <w:snapToGrid w:val="0"/>
              <w:spacing w:before="208" w:line="240" w:lineRule="auto"/>
              <w:ind w:left="0" w:leftChars="0" w:right="0" w:rightChars="0" w:firstLine="0" w:firstLineChars="0"/>
              <w:jc w:val="both"/>
              <w:rPr>
                <w:rFonts w:hint="eastAsia" w:ascii="宋体" w:hAnsi="宋体" w:eastAsia="宋体" w:cs="宋体"/>
                <w:sz w:val="20"/>
              </w:rPr>
            </w:pPr>
            <w:r>
              <w:rPr>
                <w:rFonts w:hint="eastAsia" w:ascii="宋体" w:hAnsi="宋体" w:eastAsia="宋体" w:cs="宋体"/>
                <w:sz w:val="20"/>
              </w:rPr>
              <w:t>市县</w:t>
            </w:r>
            <w:r>
              <w:rPr>
                <w:rFonts w:hint="eastAsia" w:ascii="宋体" w:hAnsi="宋体" w:eastAsia="宋体" w:cs="宋体"/>
                <w:spacing w:val="6"/>
                <w:sz w:val="20"/>
              </w:rPr>
              <w:t>机构设置</w:t>
            </w:r>
          </w:p>
          <w:p w14:paraId="0442C11C">
            <w:pPr>
              <w:pStyle w:val="29"/>
              <w:widowControl/>
              <w:snapToGrid w:val="0"/>
              <w:spacing w:before="33"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position w:val="1"/>
                <w:sz w:val="20"/>
              </w:rPr>
              <w:t>4</w:t>
            </w:r>
            <w:r>
              <w:rPr>
                <w:rFonts w:hint="eastAsia" w:ascii="宋体" w:hAnsi="宋体" w:eastAsia="宋体" w:cs="宋体"/>
                <w:spacing w:val="11"/>
                <w:position w:val="1"/>
                <w:sz w:val="20"/>
              </w:rPr>
              <w:t xml:space="preserve"> </w:t>
            </w:r>
            <w:r>
              <w:rPr>
                <w:rFonts w:hint="eastAsia" w:ascii="宋体" w:hAnsi="宋体" w:eastAsia="宋体" w:cs="宋体"/>
                <w:position w:val="1"/>
                <w:sz w:val="20"/>
              </w:rPr>
              <w:t>分</w:t>
            </w:r>
          </w:p>
        </w:tc>
        <w:tc>
          <w:tcPr>
            <w:tcW w:w="735" w:type="dxa"/>
            <w:vAlign w:val="center"/>
          </w:tcPr>
          <w:p w14:paraId="225B9382">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1"/>
                <w:kern w:val="0"/>
                <w:position w:val="2"/>
                <w:sz w:val="20"/>
                <w:szCs w:val="20"/>
                <w:lang w:eastAsia="en-US"/>
              </w:rPr>
              <w:t>4</w:t>
            </w:r>
          </w:p>
        </w:tc>
        <w:tc>
          <w:tcPr>
            <w:tcW w:w="5370" w:type="dxa"/>
            <w:vAlign w:val="center"/>
          </w:tcPr>
          <w:p w14:paraId="35B835D2">
            <w:pPr>
              <w:pStyle w:val="29"/>
              <w:widowControl/>
              <w:snapToGrid w:val="0"/>
              <w:spacing w:before="20"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遴选区域为市州本级及所辖区的，参加遴选的承保机构得分=2</w:t>
            </w:r>
            <w:r>
              <w:rPr>
                <w:rFonts w:hint="eastAsia" w:ascii="宋体" w:hAnsi="宋体" w:eastAsia="宋体" w:cs="宋体"/>
                <w:spacing w:val="8"/>
                <w:sz w:val="20"/>
              </w:rPr>
              <w:t>分+设立区支公司/所辖区个数×2 分+设立区营销服务部/所辖区</w:t>
            </w:r>
            <w:r>
              <w:rPr>
                <w:rFonts w:hint="eastAsia" w:ascii="宋体" w:hAnsi="宋体" w:eastAsia="宋体" w:cs="宋体"/>
                <w:spacing w:val="10"/>
                <w:sz w:val="20"/>
              </w:rPr>
              <w:t>个数×1分，最高分不超过</w:t>
            </w:r>
            <w:r>
              <w:rPr>
                <w:rFonts w:hint="eastAsia" w:ascii="宋体" w:hAnsi="宋体" w:eastAsia="宋体" w:cs="宋体"/>
                <w:spacing w:val="-39"/>
                <w:sz w:val="20"/>
              </w:rPr>
              <w:t xml:space="preserve"> </w:t>
            </w:r>
            <w:r>
              <w:rPr>
                <w:rFonts w:hint="eastAsia" w:ascii="宋体" w:hAnsi="宋体" w:eastAsia="宋体" w:cs="宋体"/>
                <w:spacing w:val="10"/>
                <w:sz w:val="20"/>
              </w:rPr>
              <w:t>4 分。</w:t>
            </w:r>
          </w:p>
          <w:p w14:paraId="26A116DB">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7"/>
                <w:sz w:val="20"/>
              </w:rPr>
              <w:t>遴选区域为省直管县市的，设立县级分支公司的计</w:t>
            </w:r>
            <w:r>
              <w:rPr>
                <w:rFonts w:hint="eastAsia" w:ascii="宋体" w:hAnsi="宋体" w:eastAsia="宋体" w:cs="宋体"/>
                <w:spacing w:val="-27"/>
                <w:sz w:val="20"/>
              </w:rPr>
              <w:t xml:space="preserve"> </w:t>
            </w:r>
            <w:r>
              <w:rPr>
                <w:rFonts w:hint="eastAsia" w:ascii="宋体" w:hAnsi="宋体" w:eastAsia="宋体" w:cs="宋体"/>
                <w:spacing w:val="7"/>
                <w:sz w:val="20"/>
              </w:rPr>
              <w:t>4 分，设立县</w:t>
            </w:r>
            <w:r>
              <w:rPr>
                <w:rFonts w:hint="eastAsia" w:ascii="宋体" w:hAnsi="宋体" w:eastAsia="宋体" w:cs="宋体"/>
                <w:spacing w:val="6"/>
                <w:sz w:val="20"/>
              </w:rPr>
              <w:t>级营销服务部的计</w:t>
            </w:r>
            <w:r>
              <w:rPr>
                <w:rFonts w:hint="eastAsia" w:ascii="宋体" w:hAnsi="宋体" w:eastAsia="宋体" w:cs="宋体"/>
                <w:spacing w:val="-15"/>
                <w:sz w:val="20"/>
              </w:rPr>
              <w:t xml:space="preserve"> </w:t>
            </w:r>
            <w:r>
              <w:rPr>
                <w:rFonts w:hint="eastAsia" w:ascii="宋体" w:hAnsi="宋体" w:eastAsia="宋体" w:cs="宋体"/>
                <w:spacing w:val="6"/>
                <w:sz w:val="20"/>
              </w:rPr>
              <w:t>1 分，最高分不超过</w:t>
            </w:r>
            <w:r>
              <w:rPr>
                <w:rFonts w:hint="eastAsia" w:ascii="宋体" w:hAnsi="宋体" w:eastAsia="宋体" w:cs="宋体"/>
                <w:spacing w:val="-46"/>
                <w:sz w:val="20"/>
              </w:rPr>
              <w:t xml:space="preserve"> </w:t>
            </w:r>
            <w:r>
              <w:rPr>
                <w:rFonts w:hint="eastAsia" w:ascii="宋体" w:hAnsi="宋体" w:eastAsia="宋体" w:cs="宋体"/>
                <w:spacing w:val="6"/>
                <w:sz w:val="20"/>
              </w:rPr>
              <w:t>4 分。</w:t>
            </w:r>
          </w:p>
        </w:tc>
        <w:tc>
          <w:tcPr>
            <w:tcW w:w="5381" w:type="dxa"/>
            <w:vAlign w:val="center"/>
          </w:tcPr>
          <w:p w14:paraId="14BB434E">
            <w:pPr>
              <w:pStyle w:val="29"/>
              <w:widowControl/>
              <w:snapToGrid w:val="0"/>
              <w:spacing w:before="206"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6"/>
                <w:sz w:val="20"/>
              </w:rPr>
              <w:t>市县级分支公司、县级营销服务部为经金融监管部门批准的具有开办农险</w:t>
            </w:r>
            <w:r>
              <w:rPr>
                <w:rFonts w:hint="eastAsia" w:ascii="宋体" w:hAnsi="宋体" w:eastAsia="宋体" w:cs="宋体"/>
                <w:spacing w:val="7"/>
                <w:sz w:val="20"/>
              </w:rPr>
              <w:t>资质，并内设专门农业保险部门的财产保险</w:t>
            </w:r>
            <w:r>
              <w:rPr>
                <w:rFonts w:hint="eastAsia" w:ascii="宋体" w:hAnsi="宋体" w:eastAsia="宋体" w:cs="宋体"/>
                <w:spacing w:val="6"/>
                <w:sz w:val="20"/>
              </w:rPr>
              <w:t>公司自有分支机构（含经监管</w:t>
            </w:r>
            <w:r>
              <w:rPr>
                <w:rFonts w:hint="eastAsia" w:ascii="宋体" w:hAnsi="宋体" w:eastAsia="宋体" w:cs="宋体"/>
                <w:spacing w:val="7"/>
                <w:sz w:val="20"/>
              </w:rPr>
              <w:t>部门批筹，在合同服务期间可以开展业务的）</w:t>
            </w:r>
            <w:r>
              <w:rPr>
                <w:rFonts w:hint="eastAsia" w:ascii="宋体" w:hAnsi="宋体" w:eastAsia="宋体" w:cs="宋体"/>
                <w:spacing w:val="6"/>
                <w:sz w:val="20"/>
              </w:rPr>
              <w:t>。需提供相应资质证明的复</w:t>
            </w:r>
            <w:r>
              <w:rPr>
                <w:rFonts w:hint="eastAsia" w:ascii="宋体" w:hAnsi="宋体" w:eastAsia="宋体" w:cs="宋体"/>
                <w:spacing w:val="8"/>
                <w:sz w:val="20"/>
              </w:rPr>
              <w:t>印件并加盖参加遴选的承保机构公章。</w:t>
            </w:r>
          </w:p>
        </w:tc>
      </w:tr>
      <w:tr w14:paraId="649B8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continue"/>
            <w:tcBorders>
              <w:top w:val="nil"/>
              <w:bottom w:val="nil"/>
            </w:tcBorders>
            <w:vAlign w:val="center"/>
          </w:tcPr>
          <w:p w14:paraId="031C803A">
            <w:pPr>
              <w:widowControl/>
              <w:kinsoku w:val="0"/>
              <w:autoSpaceDE w:val="0"/>
              <w:autoSpaceDN w:val="0"/>
              <w:adjustRightInd w:val="0"/>
              <w:snapToGrid w:val="0"/>
              <w:spacing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1"/>
                <w:lang w:eastAsia="en-US"/>
              </w:rPr>
            </w:pPr>
          </w:p>
        </w:tc>
        <w:tc>
          <w:tcPr>
            <w:tcW w:w="1185" w:type="dxa"/>
            <w:vAlign w:val="center"/>
          </w:tcPr>
          <w:p w14:paraId="71B0BB19">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7"/>
                <w:sz w:val="20"/>
              </w:rPr>
              <w:t>基层服务</w:t>
            </w:r>
            <w:r>
              <w:rPr>
                <w:rFonts w:hint="eastAsia" w:ascii="宋体" w:hAnsi="宋体" w:eastAsia="宋体" w:cs="宋体"/>
                <w:spacing w:val="8"/>
                <w:sz w:val="20"/>
              </w:rPr>
              <w:t>体系</w:t>
            </w:r>
            <w:r>
              <w:rPr>
                <w:rFonts w:hint="eastAsia" w:ascii="宋体" w:hAnsi="宋体" w:eastAsia="宋体" w:cs="宋体"/>
                <w:spacing w:val="14"/>
                <w:sz w:val="20"/>
              </w:rPr>
              <w:t>6</w:t>
            </w:r>
            <w:r>
              <w:rPr>
                <w:rFonts w:hint="eastAsia" w:ascii="宋体" w:hAnsi="宋体" w:eastAsia="宋体" w:cs="宋体"/>
                <w:spacing w:val="10"/>
                <w:sz w:val="20"/>
              </w:rPr>
              <w:t xml:space="preserve"> </w:t>
            </w:r>
            <w:r>
              <w:rPr>
                <w:rFonts w:hint="eastAsia" w:ascii="宋体" w:hAnsi="宋体" w:eastAsia="宋体" w:cs="宋体"/>
                <w:spacing w:val="14"/>
                <w:sz w:val="20"/>
              </w:rPr>
              <w:t>分</w:t>
            </w:r>
          </w:p>
        </w:tc>
        <w:tc>
          <w:tcPr>
            <w:tcW w:w="735" w:type="dxa"/>
            <w:vAlign w:val="center"/>
          </w:tcPr>
          <w:p w14:paraId="51307C34">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6</w:t>
            </w:r>
          </w:p>
        </w:tc>
        <w:tc>
          <w:tcPr>
            <w:tcW w:w="5370" w:type="dxa"/>
            <w:vAlign w:val="center"/>
          </w:tcPr>
          <w:p w14:paraId="21B0535D">
            <w:pPr>
              <w:pStyle w:val="29"/>
              <w:widowControl/>
              <w:snapToGrid w:val="0"/>
              <w:spacing w:before="53"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8"/>
                <w:sz w:val="20"/>
              </w:rPr>
              <w:t>在遴选区域设有乡镇营销服务部或农业保险办公室。乡镇营销服</w:t>
            </w:r>
            <w:r>
              <w:rPr>
                <w:rFonts w:hint="eastAsia" w:ascii="宋体" w:hAnsi="宋体" w:eastAsia="宋体" w:cs="宋体"/>
                <w:spacing w:val="6"/>
                <w:sz w:val="20"/>
              </w:rPr>
              <w:t>务部据实计算，乡镇农业保险办公室按</w:t>
            </w:r>
            <w:r>
              <w:rPr>
                <w:rFonts w:hint="eastAsia" w:ascii="宋体" w:hAnsi="宋体" w:eastAsia="宋体" w:cs="宋体"/>
                <w:spacing w:val="-22"/>
                <w:sz w:val="20"/>
              </w:rPr>
              <w:t xml:space="preserve"> </w:t>
            </w:r>
            <w:r>
              <w:rPr>
                <w:rFonts w:hint="eastAsia" w:ascii="宋体" w:hAnsi="宋体" w:eastAsia="宋体" w:cs="宋体"/>
                <w:spacing w:val="6"/>
                <w:sz w:val="20"/>
              </w:rPr>
              <w:t>1×80%</w:t>
            </w:r>
            <w:r>
              <w:rPr>
                <w:rFonts w:hint="eastAsia" w:ascii="宋体" w:hAnsi="宋体" w:eastAsia="宋体" w:cs="宋体"/>
                <w:spacing w:val="5"/>
                <w:sz w:val="20"/>
              </w:rPr>
              <w:t>计算，同时设置乡</w:t>
            </w:r>
            <w:r>
              <w:rPr>
                <w:rFonts w:hint="eastAsia" w:ascii="宋体" w:hAnsi="宋体" w:eastAsia="宋体" w:cs="宋体"/>
                <w:spacing w:val="8"/>
                <w:sz w:val="20"/>
              </w:rPr>
              <w:t>镇营销服务部和农业保险办公室的，只计算乡镇营销服务部的得分。以遴选区域开展农业保险的行政区划乡镇数量为评审基准值（服务机构总数不超过乡镇数，超出遴选区域行政区划数量不纳</w:t>
            </w:r>
            <w:r>
              <w:rPr>
                <w:rFonts w:hint="eastAsia" w:ascii="宋体" w:hAnsi="宋体" w:eastAsia="宋体" w:cs="宋体"/>
                <w:spacing w:val="10"/>
                <w:sz w:val="20"/>
              </w:rPr>
              <w:t>入计算</w:t>
            </w:r>
            <w:r>
              <w:rPr>
                <w:rFonts w:hint="eastAsia" w:ascii="宋体" w:hAnsi="宋体" w:eastAsia="宋体" w:cs="宋体"/>
                <w:spacing w:val="28"/>
                <w:sz w:val="20"/>
              </w:rPr>
              <w:t>），</w:t>
            </w:r>
            <w:r>
              <w:rPr>
                <w:rFonts w:hint="eastAsia" w:ascii="宋体" w:hAnsi="宋体" w:eastAsia="宋体" w:cs="宋体"/>
                <w:spacing w:val="10"/>
                <w:sz w:val="20"/>
              </w:rPr>
              <w:t>参加遴选的承保机构按照下列公式计算：得分=（参加遴选的承保机构乡镇营销服务部数量+</w:t>
            </w:r>
            <w:r>
              <w:rPr>
                <w:rFonts w:hint="eastAsia" w:ascii="宋体" w:hAnsi="宋体" w:eastAsia="宋体" w:cs="宋体"/>
                <w:spacing w:val="-10"/>
                <w:sz w:val="20"/>
              </w:rPr>
              <w:t xml:space="preserve"> </w:t>
            </w:r>
            <w:r>
              <w:rPr>
                <w:rFonts w:hint="eastAsia" w:ascii="宋体" w:hAnsi="宋体" w:eastAsia="宋体" w:cs="宋体"/>
                <w:spacing w:val="10"/>
                <w:sz w:val="20"/>
              </w:rPr>
              <w:t>乡镇农业保险办</w:t>
            </w:r>
            <w:r>
              <w:rPr>
                <w:rFonts w:hint="eastAsia" w:ascii="宋体" w:hAnsi="宋体" w:eastAsia="宋体" w:cs="宋体"/>
                <w:spacing w:val="9"/>
                <w:sz w:val="20"/>
              </w:rPr>
              <w:t>公室数</w:t>
            </w:r>
            <w:r>
              <w:rPr>
                <w:rFonts w:hint="eastAsia" w:ascii="宋体" w:hAnsi="宋体" w:eastAsia="宋体" w:cs="宋体"/>
                <w:spacing w:val="6"/>
                <w:sz w:val="20"/>
              </w:rPr>
              <w:t>量×80%）/评审基准值×6 分。</w:t>
            </w:r>
          </w:p>
        </w:tc>
        <w:tc>
          <w:tcPr>
            <w:tcW w:w="5381" w:type="dxa"/>
            <w:vAlign w:val="center"/>
          </w:tcPr>
          <w:p w14:paraId="49052B45">
            <w:pPr>
              <w:pStyle w:val="29"/>
              <w:widowControl/>
              <w:snapToGrid w:val="0"/>
              <w:spacing w:before="53"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乡镇营销服务部为经金融监管部门批准的财产保险公司自有</w:t>
            </w:r>
            <w:r>
              <w:rPr>
                <w:rFonts w:hint="eastAsia" w:ascii="宋体" w:hAnsi="宋体" w:eastAsia="宋体" w:cs="宋体"/>
                <w:spacing w:val="8"/>
                <w:sz w:val="20"/>
              </w:rPr>
              <w:t>五级分支机</w:t>
            </w:r>
            <w:r>
              <w:rPr>
                <w:rFonts w:hint="eastAsia" w:ascii="宋体" w:hAnsi="宋体" w:eastAsia="宋体" w:cs="宋体"/>
                <w:spacing w:val="9"/>
                <w:sz w:val="20"/>
              </w:rPr>
              <w:t>构（含经监管部门批筹的，不含同一集团内的相互代理）,</w:t>
            </w:r>
            <w:r>
              <w:rPr>
                <w:rFonts w:hint="eastAsia" w:ascii="宋体" w:hAnsi="宋体" w:eastAsia="宋体" w:cs="宋体"/>
                <w:spacing w:val="-30"/>
                <w:sz w:val="20"/>
              </w:rPr>
              <w:t xml:space="preserve"> </w:t>
            </w:r>
            <w:r>
              <w:rPr>
                <w:rFonts w:hint="eastAsia" w:ascii="宋体" w:hAnsi="宋体" w:eastAsia="宋体" w:cs="宋体"/>
                <w:spacing w:val="9"/>
                <w:sz w:val="20"/>
              </w:rPr>
              <w:t>需提供</w:t>
            </w:r>
            <w:r>
              <w:rPr>
                <w:rFonts w:hint="eastAsia" w:ascii="宋体" w:hAnsi="宋体" w:eastAsia="宋体" w:cs="宋体"/>
                <w:spacing w:val="8"/>
                <w:sz w:val="20"/>
              </w:rPr>
              <w:t>经营许</w:t>
            </w:r>
            <w:r>
              <w:rPr>
                <w:rFonts w:hint="eastAsia" w:ascii="宋体" w:hAnsi="宋体" w:eastAsia="宋体" w:cs="宋体"/>
                <w:spacing w:val="7"/>
                <w:sz w:val="20"/>
              </w:rPr>
              <w:t>可证复印件、工商行政管理机关核发的营业执照</w:t>
            </w:r>
            <w:r>
              <w:rPr>
                <w:rFonts w:hint="eastAsia" w:ascii="宋体" w:hAnsi="宋体" w:eastAsia="宋体" w:cs="宋体"/>
                <w:spacing w:val="6"/>
                <w:sz w:val="20"/>
              </w:rPr>
              <w:t>复印件，并加盖参加遴选</w:t>
            </w:r>
            <w:r>
              <w:rPr>
                <w:rFonts w:hint="eastAsia" w:ascii="宋体" w:hAnsi="宋体" w:eastAsia="宋体" w:cs="宋体"/>
                <w:spacing w:val="5"/>
                <w:sz w:val="20"/>
              </w:rPr>
              <w:t>的承保机构公章。乡镇农业保险办公室以</w:t>
            </w:r>
            <w:r>
              <w:rPr>
                <w:rFonts w:hint="eastAsia" w:ascii="宋体" w:hAnsi="宋体" w:eastAsia="宋体" w:cs="宋体"/>
                <w:spacing w:val="-38"/>
                <w:sz w:val="20"/>
              </w:rPr>
              <w:t xml:space="preserve"> </w:t>
            </w:r>
            <w:r>
              <w:rPr>
                <w:rFonts w:hint="eastAsia" w:ascii="宋体" w:hAnsi="宋体" w:eastAsia="宋体" w:cs="宋体"/>
                <w:spacing w:val="5"/>
                <w:sz w:val="20"/>
              </w:rPr>
              <w:t>2024 年</w:t>
            </w:r>
            <w:r>
              <w:rPr>
                <w:rFonts w:hint="eastAsia" w:ascii="宋体" w:hAnsi="宋体" w:eastAsia="宋体" w:cs="宋体"/>
                <w:spacing w:val="-24"/>
                <w:sz w:val="20"/>
              </w:rPr>
              <w:t xml:space="preserve"> </w:t>
            </w:r>
            <w:r>
              <w:rPr>
                <w:rFonts w:hint="eastAsia" w:ascii="宋体" w:hAnsi="宋体" w:eastAsia="宋体" w:cs="宋体"/>
                <w:spacing w:val="5"/>
                <w:sz w:val="20"/>
              </w:rPr>
              <w:t>12</w:t>
            </w:r>
            <w:r>
              <w:rPr>
                <w:rFonts w:hint="eastAsia" w:ascii="宋体" w:hAnsi="宋体" w:eastAsia="宋体" w:cs="宋体"/>
                <w:spacing w:val="25"/>
                <w:sz w:val="20"/>
              </w:rPr>
              <w:t xml:space="preserve"> </w:t>
            </w:r>
            <w:r>
              <w:rPr>
                <w:rFonts w:hint="eastAsia" w:ascii="宋体" w:hAnsi="宋体" w:eastAsia="宋体" w:cs="宋体"/>
                <w:spacing w:val="5"/>
                <w:sz w:val="20"/>
              </w:rPr>
              <w:t>月</w:t>
            </w:r>
            <w:r>
              <w:rPr>
                <w:rFonts w:hint="eastAsia" w:ascii="宋体" w:hAnsi="宋体" w:eastAsia="宋体" w:cs="宋体"/>
                <w:spacing w:val="-40"/>
                <w:sz w:val="20"/>
              </w:rPr>
              <w:t xml:space="preserve"> </w:t>
            </w:r>
            <w:r>
              <w:rPr>
                <w:rFonts w:hint="eastAsia" w:ascii="宋体" w:hAnsi="宋体" w:eastAsia="宋体" w:cs="宋体"/>
                <w:spacing w:val="5"/>
                <w:sz w:val="20"/>
              </w:rPr>
              <w:t>31  日前已经设立</w:t>
            </w:r>
            <w:r>
              <w:rPr>
                <w:rFonts w:hint="eastAsia" w:ascii="宋体" w:hAnsi="宋体" w:eastAsia="宋体" w:cs="宋体"/>
                <w:spacing w:val="7"/>
                <w:sz w:val="20"/>
              </w:rPr>
              <w:t>好的机构为准，需提供乡镇及以上人民政府或农业保</w:t>
            </w:r>
            <w:r>
              <w:rPr>
                <w:rFonts w:hint="eastAsia" w:ascii="宋体" w:hAnsi="宋体" w:eastAsia="宋体" w:cs="宋体"/>
                <w:spacing w:val="6"/>
                <w:sz w:val="20"/>
              </w:rPr>
              <w:t>险工作小组出具的参</w:t>
            </w:r>
            <w:r>
              <w:rPr>
                <w:rFonts w:hint="eastAsia" w:ascii="宋体" w:hAnsi="宋体" w:eastAsia="宋体" w:cs="宋体"/>
                <w:spacing w:val="7"/>
                <w:sz w:val="20"/>
              </w:rPr>
              <w:t>加遴选的承保机构与该乡镇合作的文件、协议等相</w:t>
            </w:r>
            <w:r>
              <w:rPr>
                <w:rFonts w:hint="eastAsia" w:ascii="宋体" w:hAnsi="宋体" w:eastAsia="宋体" w:cs="宋体"/>
                <w:spacing w:val="6"/>
                <w:sz w:val="20"/>
              </w:rPr>
              <w:t>关证明复印件加盖证明</w:t>
            </w:r>
            <w:r>
              <w:rPr>
                <w:rFonts w:hint="eastAsia" w:ascii="宋体" w:hAnsi="宋体" w:eastAsia="宋体" w:cs="宋体"/>
                <w:spacing w:val="7"/>
                <w:sz w:val="20"/>
              </w:rPr>
              <w:t>出具单位公章，提供办公现场实景照片。各公</w:t>
            </w:r>
            <w:r>
              <w:rPr>
                <w:rFonts w:hint="eastAsia" w:ascii="宋体" w:hAnsi="宋体" w:eastAsia="宋体" w:cs="宋体"/>
                <w:spacing w:val="6"/>
                <w:sz w:val="20"/>
              </w:rPr>
              <w:t>司不得突击、虚假挂牌，如</w:t>
            </w:r>
            <w:r>
              <w:rPr>
                <w:rFonts w:hint="eastAsia" w:ascii="宋体" w:hAnsi="宋体" w:eastAsia="宋体" w:cs="宋体"/>
                <w:spacing w:val="8"/>
                <w:sz w:val="20"/>
              </w:rPr>
              <w:t>提供虚假材料，则中选资格作废。</w:t>
            </w:r>
          </w:p>
        </w:tc>
      </w:tr>
      <w:tr w14:paraId="74F1E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continue"/>
            <w:tcBorders>
              <w:top w:val="nil"/>
            </w:tcBorders>
            <w:vAlign w:val="center"/>
          </w:tcPr>
          <w:p w14:paraId="392D7CCA">
            <w:pPr>
              <w:widowControl/>
              <w:kinsoku w:val="0"/>
              <w:autoSpaceDE w:val="0"/>
              <w:autoSpaceDN w:val="0"/>
              <w:adjustRightInd w:val="0"/>
              <w:snapToGrid w:val="0"/>
              <w:spacing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1"/>
                <w:lang w:eastAsia="en-US"/>
              </w:rPr>
            </w:pPr>
          </w:p>
        </w:tc>
        <w:tc>
          <w:tcPr>
            <w:tcW w:w="1185" w:type="dxa"/>
            <w:vAlign w:val="center"/>
          </w:tcPr>
          <w:p w14:paraId="732AEE86">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2"/>
                <w:sz w:val="20"/>
              </w:rPr>
              <w:t>正式</w:t>
            </w:r>
            <w:r>
              <w:rPr>
                <w:rFonts w:hint="eastAsia" w:ascii="宋体" w:hAnsi="宋体" w:eastAsia="宋体" w:cs="宋体"/>
                <w:spacing w:val="4"/>
                <w:sz w:val="20"/>
              </w:rPr>
              <w:t>人员</w:t>
            </w:r>
            <w:r>
              <w:rPr>
                <w:rFonts w:hint="eastAsia" w:ascii="宋体" w:hAnsi="宋体" w:eastAsia="宋体" w:cs="宋体"/>
                <w:spacing w:val="5"/>
                <w:sz w:val="20"/>
              </w:rPr>
              <w:t>配备</w:t>
            </w:r>
            <w:r>
              <w:rPr>
                <w:rFonts w:hint="eastAsia" w:ascii="宋体" w:hAnsi="宋体" w:eastAsia="宋体" w:cs="宋体"/>
                <w:spacing w:val="10"/>
                <w:sz w:val="20"/>
              </w:rPr>
              <w:t>5</w:t>
            </w:r>
            <w:r>
              <w:rPr>
                <w:rFonts w:hint="eastAsia" w:ascii="宋体" w:hAnsi="宋体" w:eastAsia="宋体" w:cs="宋体"/>
                <w:spacing w:val="11"/>
                <w:sz w:val="20"/>
              </w:rPr>
              <w:t xml:space="preserve"> </w:t>
            </w:r>
            <w:r>
              <w:rPr>
                <w:rFonts w:hint="eastAsia" w:ascii="宋体" w:hAnsi="宋体" w:eastAsia="宋体" w:cs="宋体"/>
                <w:spacing w:val="10"/>
                <w:sz w:val="20"/>
              </w:rPr>
              <w:t>分</w:t>
            </w:r>
          </w:p>
        </w:tc>
        <w:tc>
          <w:tcPr>
            <w:tcW w:w="735" w:type="dxa"/>
            <w:vAlign w:val="center"/>
          </w:tcPr>
          <w:p w14:paraId="05489CEE">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sz w:val="20"/>
                <w:szCs w:val="20"/>
                <w:lang w:eastAsia="en-US"/>
              </w:rPr>
              <w:t>5</w:t>
            </w:r>
          </w:p>
        </w:tc>
        <w:tc>
          <w:tcPr>
            <w:tcW w:w="5370" w:type="dxa"/>
            <w:vAlign w:val="center"/>
          </w:tcPr>
          <w:p w14:paraId="557F9819">
            <w:pPr>
              <w:pStyle w:val="29"/>
              <w:widowControl/>
              <w:snapToGrid w:val="0"/>
              <w:spacing w:before="27"/>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8"/>
                <w:sz w:val="20"/>
              </w:rPr>
              <w:t>在遴选区域配备有专业农险人员，正式编制人员按实计算</w:t>
            </w:r>
            <w:r>
              <w:rPr>
                <w:rFonts w:hint="eastAsia" w:ascii="宋体" w:hAnsi="宋体" w:eastAsia="宋体" w:cs="宋体"/>
                <w:spacing w:val="7"/>
                <w:sz w:val="20"/>
              </w:rPr>
              <w:t>，劳务派遣人员按</w:t>
            </w:r>
            <w:r>
              <w:rPr>
                <w:rFonts w:hint="eastAsia" w:ascii="宋体" w:hAnsi="宋体" w:eastAsia="宋体" w:cs="宋体"/>
                <w:spacing w:val="-39"/>
                <w:sz w:val="20"/>
              </w:rPr>
              <w:t xml:space="preserve"> </w:t>
            </w:r>
            <w:r>
              <w:rPr>
                <w:rFonts w:hint="eastAsia" w:ascii="宋体" w:hAnsi="宋体" w:eastAsia="宋体" w:cs="宋体"/>
                <w:spacing w:val="7"/>
                <w:sz w:val="20"/>
              </w:rPr>
              <w:t>50%折算。以参加遴选的承保机构专业农险人</w:t>
            </w:r>
            <w:r>
              <w:rPr>
                <w:rFonts w:hint="eastAsia" w:ascii="宋体" w:hAnsi="宋体" w:eastAsia="宋体" w:cs="宋体"/>
                <w:spacing w:val="6"/>
                <w:sz w:val="20"/>
              </w:rPr>
              <w:t>员最多</w:t>
            </w:r>
            <w:r>
              <w:rPr>
                <w:rFonts w:hint="eastAsia" w:ascii="宋体" w:hAnsi="宋体" w:eastAsia="宋体" w:cs="宋体"/>
                <w:spacing w:val="9"/>
                <w:sz w:val="20"/>
              </w:rPr>
              <w:t>数量（若实际人数大于按遴选区域</w:t>
            </w:r>
            <w:r>
              <w:rPr>
                <w:rFonts w:hint="eastAsia" w:ascii="宋体" w:hAnsi="宋体" w:eastAsia="宋体" w:cs="宋体"/>
                <w:spacing w:val="-45"/>
                <w:sz w:val="20"/>
              </w:rPr>
              <w:t xml:space="preserve"> </w:t>
            </w:r>
            <w:r>
              <w:rPr>
                <w:rFonts w:hint="eastAsia" w:ascii="宋体" w:hAnsi="宋体" w:eastAsia="宋体" w:cs="宋体"/>
                <w:spacing w:val="9"/>
                <w:sz w:val="20"/>
              </w:rPr>
              <w:t>2024 年度</w:t>
            </w:r>
            <w:r>
              <w:rPr>
                <w:rFonts w:hint="eastAsia" w:ascii="宋体" w:hAnsi="宋体" w:eastAsia="宋体" w:cs="宋体"/>
                <w:spacing w:val="8"/>
                <w:sz w:val="20"/>
              </w:rPr>
              <w:t>农业保险中央品种</w:t>
            </w:r>
            <w:r>
              <w:rPr>
                <w:rFonts w:hint="eastAsia" w:ascii="宋体" w:hAnsi="宋体" w:eastAsia="宋体" w:cs="宋体"/>
                <w:spacing w:val="7"/>
                <w:sz w:val="20"/>
              </w:rPr>
              <w:t>保费规模、400</w:t>
            </w:r>
            <w:r>
              <w:rPr>
                <w:rFonts w:hint="eastAsia" w:ascii="宋体" w:hAnsi="宋体" w:eastAsia="宋体" w:cs="宋体"/>
                <w:spacing w:val="32"/>
                <w:w w:val="101"/>
                <w:sz w:val="20"/>
              </w:rPr>
              <w:t xml:space="preserve"> </w:t>
            </w:r>
            <w:r>
              <w:rPr>
                <w:rFonts w:hint="eastAsia" w:ascii="宋体" w:hAnsi="宋体" w:eastAsia="宋体" w:cs="宋体"/>
                <w:spacing w:val="7"/>
                <w:sz w:val="20"/>
              </w:rPr>
              <w:t>万元匹配</w:t>
            </w:r>
            <w:r>
              <w:rPr>
                <w:rFonts w:hint="eastAsia" w:ascii="宋体" w:hAnsi="宋体" w:eastAsia="宋体" w:cs="宋体"/>
                <w:spacing w:val="-22"/>
                <w:sz w:val="20"/>
              </w:rPr>
              <w:t xml:space="preserve"> </w:t>
            </w:r>
            <w:r>
              <w:rPr>
                <w:rFonts w:hint="eastAsia" w:ascii="宋体" w:hAnsi="宋体" w:eastAsia="宋体" w:cs="宋体"/>
                <w:spacing w:val="7"/>
                <w:sz w:val="20"/>
              </w:rPr>
              <w:t>1 人测算值，余数向上取整，超出人数</w:t>
            </w:r>
            <w:r>
              <w:rPr>
                <w:rFonts w:hint="eastAsia" w:ascii="宋体" w:hAnsi="宋体" w:eastAsia="宋体" w:cs="宋体"/>
                <w:spacing w:val="8"/>
                <w:sz w:val="20"/>
              </w:rPr>
              <w:t>不纳入计算）为评审基准值，达到基准值的承保机构计满分。未</w:t>
            </w:r>
            <w:r>
              <w:rPr>
                <w:rFonts w:hint="eastAsia" w:ascii="宋体" w:hAnsi="宋体" w:eastAsia="宋体" w:cs="宋体"/>
                <w:spacing w:val="9"/>
                <w:sz w:val="20"/>
              </w:rPr>
              <w:t>达到基准值的承保机构该项得分=参加遴选的承保机构专业农险</w:t>
            </w:r>
            <w:r>
              <w:rPr>
                <w:rFonts w:hint="eastAsia" w:ascii="宋体" w:hAnsi="宋体" w:eastAsia="宋体" w:cs="宋体"/>
                <w:spacing w:val="7"/>
                <w:sz w:val="20"/>
              </w:rPr>
              <w:t>人员数量/评审基准值×5 分。</w:t>
            </w:r>
          </w:p>
          <w:p w14:paraId="02BCAAD6">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7"/>
                <w:sz w:val="20"/>
              </w:rPr>
              <w:t>中央品种指中央财政给予补贴的水稻、水稻制种、玉米、棉花、</w:t>
            </w:r>
            <w:r>
              <w:rPr>
                <w:rFonts w:hint="eastAsia" w:ascii="宋体" w:hAnsi="宋体" w:eastAsia="宋体" w:cs="宋体"/>
                <w:spacing w:val="8"/>
                <w:sz w:val="20"/>
              </w:rPr>
              <w:t>油菜、大豆、能繁母猪、育肥猪、奶牛、公益林、商品林等</w:t>
            </w:r>
            <w:r>
              <w:rPr>
                <w:rFonts w:hint="eastAsia" w:ascii="宋体" w:hAnsi="宋体" w:eastAsia="宋体" w:cs="宋体"/>
                <w:spacing w:val="-12"/>
                <w:sz w:val="20"/>
              </w:rPr>
              <w:t xml:space="preserve"> </w:t>
            </w:r>
            <w:r>
              <w:rPr>
                <w:rFonts w:hint="eastAsia" w:ascii="宋体" w:hAnsi="宋体" w:eastAsia="宋体" w:cs="宋体"/>
                <w:spacing w:val="8"/>
                <w:sz w:val="20"/>
              </w:rPr>
              <w:t>11</w:t>
            </w:r>
            <w:r>
              <w:rPr>
                <w:rFonts w:hint="eastAsia" w:ascii="宋体" w:hAnsi="宋体" w:eastAsia="宋体" w:cs="宋体"/>
                <w:spacing w:val="7"/>
                <w:sz w:val="20"/>
              </w:rPr>
              <w:t>个品种，下同。</w:t>
            </w:r>
          </w:p>
        </w:tc>
        <w:tc>
          <w:tcPr>
            <w:tcW w:w="5381" w:type="dxa"/>
            <w:vAlign w:val="center"/>
          </w:tcPr>
          <w:p w14:paraId="034A618B">
            <w:pPr>
              <w:pStyle w:val="29"/>
              <w:widowControl/>
              <w:snapToGrid w:val="0"/>
              <w:spacing w:before="23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专业农险人员为参加遴选的承保机构市/县级分支机构专职从事农业保险</w:t>
            </w:r>
            <w:r>
              <w:rPr>
                <w:rFonts w:hint="eastAsia" w:ascii="宋体" w:hAnsi="宋体" w:eastAsia="宋体" w:cs="宋体"/>
                <w:spacing w:val="6"/>
                <w:sz w:val="20"/>
              </w:rPr>
              <w:t>的正式员工和劳务派遣人员。需提供加盖参加遴选的承保机构省公司公章</w:t>
            </w:r>
            <w:r>
              <w:rPr>
                <w:rFonts w:hint="eastAsia" w:ascii="宋体" w:hAnsi="宋体" w:eastAsia="宋体" w:cs="宋体"/>
                <w:spacing w:val="5"/>
                <w:sz w:val="20"/>
              </w:rPr>
              <w:t>的专业农险人员名单，2024 年</w:t>
            </w:r>
            <w:r>
              <w:rPr>
                <w:rFonts w:hint="eastAsia" w:ascii="宋体" w:hAnsi="宋体" w:eastAsia="宋体" w:cs="宋体"/>
                <w:spacing w:val="-22"/>
                <w:sz w:val="20"/>
              </w:rPr>
              <w:t xml:space="preserve"> </w:t>
            </w:r>
            <w:r>
              <w:rPr>
                <w:rFonts w:hint="eastAsia" w:ascii="宋体" w:hAnsi="宋体" w:eastAsia="宋体" w:cs="宋体"/>
                <w:spacing w:val="5"/>
                <w:sz w:val="20"/>
              </w:rPr>
              <w:t>12</w:t>
            </w:r>
            <w:r>
              <w:rPr>
                <w:rFonts w:hint="eastAsia" w:ascii="宋体" w:hAnsi="宋体" w:eastAsia="宋体" w:cs="宋体"/>
                <w:spacing w:val="23"/>
                <w:sz w:val="20"/>
              </w:rPr>
              <w:t xml:space="preserve"> </w:t>
            </w:r>
            <w:r>
              <w:rPr>
                <w:rFonts w:hint="eastAsia" w:ascii="宋体" w:hAnsi="宋体" w:eastAsia="宋体" w:cs="宋体"/>
                <w:spacing w:val="5"/>
                <w:sz w:val="20"/>
              </w:rPr>
              <w:t>月</w:t>
            </w:r>
            <w:r>
              <w:rPr>
                <w:rFonts w:hint="eastAsia" w:ascii="宋体" w:hAnsi="宋体" w:eastAsia="宋体" w:cs="宋体"/>
                <w:spacing w:val="-40"/>
                <w:sz w:val="20"/>
              </w:rPr>
              <w:t xml:space="preserve"> </w:t>
            </w:r>
            <w:r>
              <w:rPr>
                <w:rFonts w:hint="eastAsia" w:ascii="宋体" w:hAnsi="宋体" w:eastAsia="宋体" w:cs="宋体"/>
                <w:spacing w:val="5"/>
                <w:sz w:val="20"/>
              </w:rPr>
              <w:t>31  日前承保机构与员工签订的</w:t>
            </w:r>
            <w:r>
              <w:rPr>
                <w:rFonts w:hint="eastAsia" w:ascii="宋体" w:hAnsi="宋体" w:eastAsia="宋体" w:cs="宋体"/>
                <w:spacing w:val="4"/>
                <w:sz w:val="20"/>
              </w:rPr>
              <w:t>正式</w:t>
            </w:r>
            <w:r>
              <w:rPr>
                <w:rFonts w:hint="eastAsia" w:ascii="宋体" w:hAnsi="宋体" w:eastAsia="宋体" w:cs="宋体"/>
                <w:spacing w:val="6"/>
                <w:sz w:val="20"/>
              </w:rPr>
              <w:t>劳动合同及人社部门提供的社保缴纳证明。以上信息与实际情况不符，则</w:t>
            </w:r>
            <w:r>
              <w:rPr>
                <w:rFonts w:hint="eastAsia" w:ascii="宋体" w:hAnsi="宋体" w:eastAsia="宋体" w:cs="宋体"/>
                <w:spacing w:val="5"/>
                <w:sz w:val="20"/>
              </w:rPr>
              <w:t>中选资格作废。</w:t>
            </w:r>
          </w:p>
          <w:p w14:paraId="28868F4D">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遴选区域</w:t>
            </w:r>
            <w:r>
              <w:rPr>
                <w:rFonts w:hint="eastAsia" w:ascii="宋体" w:hAnsi="宋体" w:eastAsia="宋体" w:cs="宋体"/>
                <w:spacing w:val="-42"/>
                <w:sz w:val="20"/>
              </w:rPr>
              <w:t xml:space="preserve"> </w:t>
            </w:r>
            <w:r>
              <w:rPr>
                <w:rFonts w:hint="eastAsia" w:ascii="宋体" w:hAnsi="宋体" w:eastAsia="宋体" w:cs="宋体"/>
                <w:spacing w:val="9"/>
                <w:sz w:val="20"/>
              </w:rPr>
              <w:t>2024 年度农业保险中央品种保费规模以财政部门</w:t>
            </w:r>
            <w:r>
              <w:rPr>
                <w:rFonts w:hint="eastAsia" w:ascii="宋体" w:hAnsi="宋体" w:eastAsia="宋体" w:cs="宋体"/>
                <w:spacing w:val="8"/>
                <w:sz w:val="20"/>
              </w:rPr>
              <w:t>提供的结算数</w:t>
            </w:r>
            <w:r>
              <w:rPr>
                <w:rFonts w:hint="eastAsia" w:ascii="宋体" w:hAnsi="宋体" w:eastAsia="宋体" w:cs="宋体"/>
                <w:spacing w:val="4"/>
                <w:sz w:val="20"/>
              </w:rPr>
              <w:t>据为准。</w:t>
            </w:r>
          </w:p>
        </w:tc>
      </w:tr>
    </w:tbl>
    <w:p w14:paraId="7E96CDE1">
      <w:pPr>
        <w:rPr>
          <w:rFonts w:hint="eastAsia" w:ascii="宋体" w:hAnsi="宋体" w:eastAsia="宋体" w:cs="宋体"/>
        </w:rPr>
      </w:pPr>
    </w:p>
    <w:tbl>
      <w:tblPr>
        <w:tblStyle w:val="25"/>
        <w:tblW w:w="1343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810"/>
        <w:gridCol w:w="621"/>
        <w:gridCol w:w="5094"/>
        <w:gridCol w:w="6210"/>
      </w:tblGrid>
      <w:tr w14:paraId="63BED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699" w:type="dxa"/>
            <w:vAlign w:val="top"/>
          </w:tcPr>
          <w:p w14:paraId="0544262F">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77E3547B">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810" w:type="dxa"/>
            <w:vAlign w:val="top"/>
          </w:tcPr>
          <w:p w14:paraId="77F98C60">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4F9A3EFA">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621" w:type="dxa"/>
            <w:vAlign w:val="top"/>
          </w:tcPr>
          <w:p w14:paraId="240DC139">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94" w:type="dxa"/>
            <w:vAlign w:val="top"/>
          </w:tcPr>
          <w:p w14:paraId="5068A6C9">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6210" w:type="dxa"/>
            <w:vAlign w:val="top"/>
          </w:tcPr>
          <w:p w14:paraId="6CE0CDB0">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198E7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9" w:hRule="atLeast"/>
          <w:jc w:val="center"/>
        </w:trPr>
        <w:tc>
          <w:tcPr>
            <w:tcW w:w="699" w:type="dxa"/>
            <w:vMerge w:val="restart"/>
            <w:tcBorders>
              <w:bottom w:val="nil"/>
            </w:tcBorders>
            <w:vAlign w:val="top"/>
          </w:tcPr>
          <w:p w14:paraId="5BA94AB1">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0E92610C">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7F4C7AE3">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3910C303">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13B8273F">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1E3ED87E">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2EFAA0F7">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能力</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810" w:type="dxa"/>
            <w:vAlign w:val="top"/>
          </w:tcPr>
          <w:p w14:paraId="254338DA">
            <w:pPr>
              <w:pStyle w:val="29"/>
              <w:widowControl/>
              <w:spacing w:before="65" w:line="295" w:lineRule="auto"/>
              <w:ind w:right="170"/>
              <w:jc w:val="both"/>
              <w:rPr>
                <w:rFonts w:hint="eastAsia" w:ascii="宋体" w:hAnsi="宋体" w:eastAsia="宋体" w:cs="宋体"/>
              </w:rPr>
            </w:pPr>
            <w:r>
              <w:rPr>
                <w:rFonts w:hint="eastAsia" w:ascii="宋体" w:hAnsi="宋体" w:eastAsia="宋体" w:cs="宋体"/>
                <w:spacing w:val="2"/>
              </w:rPr>
              <w:t>兼职</w:t>
            </w:r>
            <w:r>
              <w:rPr>
                <w:rFonts w:hint="eastAsia" w:ascii="宋体" w:hAnsi="宋体" w:eastAsia="宋体" w:cs="宋体"/>
                <w:spacing w:val="4"/>
              </w:rPr>
              <w:t>人员</w:t>
            </w:r>
            <w:r>
              <w:rPr>
                <w:rFonts w:hint="eastAsia" w:ascii="宋体" w:hAnsi="宋体" w:eastAsia="宋体" w:cs="宋体"/>
                <w:spacing w:val="5"/>
              </w:rPr>
              <w:t>配备</w:t>
            </w:r>
            <w:r>
              <w:rPr>
                <w:rFonts w:hint="eastAsia" w:ascii="宋体" w:hAnsi="宋体" w:eastAsia="宋体" w:cs="宋体"/>
                <w:spacing w:val="10"/>
              </w:rPr>
              <w:t>1</w:t>
            </w:r>
            <w:r>
              <w:rPr>
                <w:rFonts w:hint="eastAsia" w:ascii="宋体" w:hAnsi="宋体" w:eastAsia="宋体" w:cs="宋体"/>
                <w:spacing w:val="11"/>
              </w:rPr>
              <w:t xml:space="preserve"> </w:t>
            </w:r>
            <w:r>
              <w:rPr>
                <w:rFonts w:hint="eastAsia" w:ascii="宋体" w:hAnsi="宋体" w:eastAsia="宋体" w:cs="宋体"/>
                <w:spacing w:val="10"/>
              </w:rPr>
              <w:t>分</w:t>
            </w:r>
          </w:p>
        </w:tc>
        <w:tc>
          <w:tcPr>
            <w:tcW w:w="621" w:type="dxa"/>
            <w:vAlign w:val="top"/>
          </w:tcPr>
          <w:p w14:paraId="010A956F">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0A007C8E">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3DA7955F">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209D5017">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353F06BA">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635FCFFF">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177FB960">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008C102C">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2F5E326D">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7B1C4915">
            <w:pPr>
              <w:widowControl/>
              <w:kinsoku w:val="0"/>
              <w:autoSpaceDE w:val="0"/>
              <w:autoSpaceDN w:val="0"/>
              <w:adjustRightInd w:val="0"/>
              <w:snapToGrid w:val="0"/>
              <w:spacing w:before="58" w:line="275" w:lineRule="exact"/>
              <w:ind w:left="395"/>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1</w:t>
            </w:r>
          </w:p>
        </w:tc>
        <w:tc>
          <w:tcPr>
            <w:tcW w:w="5094" w:type="dxa"/>
            <w:vAlign w:val="top"/>
          </w:tcPr>
          <w:p w14:paraId="57B88251">
            <w:pPr>
              <w:pStyle w:val="29"/>
              <w:widowControl/>
              <w:spacing w:before="65" w:line="286" w:lineRule="auto"/>
              <w:ind w:right="104"/>
              <w:jc w:val="both"/>
              <w:rPr>
                <w:rFonts w:hint="eastAsia" w:ascii="宋体" w:hAnsi="宋体" w:eastAsia="宋体" w:cs="宋体"/>
              </w:rPr>
            </w:pPr>
            <w:r>
              <w:rPr>
                <w:rFonts w:hint="eastAsia" w:ascii="宋体" w:hAnsi="宋体" w:eastAsia="宋体" w:cs="宋体"/>
                <w:spacing w:val="8"/>
              </w:rPr>
              <w:t>在遴选区域配备乡镇、村农业保险专（兼）干、协保员人数达标</w:t>
            </w:r>
            <w:r>
              <w:rPr>
                <w:rFonts w:hint="eastAsia" w:ascii="宋体" w:hAnsi="宋体" w:eastAsia="宋体" w:cs="宋体"/>
                <w:spacing w:val="9"/>
              </w:rPr>
              <w:t>标准根据该承保机构在遴选区域的</w:t>
            </w:r>
            <w:r>
              <w:rPr>
                <w:rFonts w:hint="eastAsia" w:ascii="宋体" w:hAnsi="宋体" w:eastAsia="宋体" w:cs="宋体"/>
                <w:spacing w:val="-45"/>
              </w:rPr>
              <w:t xml:space="preserve"> </w:t>
            </w:r>
            <w:r>
              <w:rPr>
                <w:rFonts w:hint="eastAsia" w:ascii="宋体" w:hAnsi="宋体" w:eastAsia="宋体" w:cs="宋体"/>
                <w:spacing w:val="9"/>
              </w:rPr>
              <w:t>2024 年度</w:t>
            </w:r>
            <w:r>
              <w:rPr>
                <w:rFonts w:hint="eastAsia" w:ascii="宋体" w:hAnsi="宋体" w:eastAsia="宋体" w:cs="宋体"/>
                <w:spacing w:val="8"/>
              </w:rPr>
              <w:t>农业保险中央品种</w:t>
            </w:r>
            <w:r>
              <w:rPr>
                <w:rFonts w:hint="eastAsia" w:ascii="宋体" w:hAnsi="宋体" w:eastAsia="宋体" w:cs="宋体"/>
                <w:spacing w:val="6"/>
              </w:rPr>
              <w:t>保费规模，按种植险及林业等承保规模/200</w:t>
            </w:r>
            <w:r>
              <w:rPr>
                <w:rFonts w:hint="eastAsia" w:ascii="宋体" w:hAnsi="宋体" w:eastAsia="宋体" w:cs="宋体"/>
                <w:spacing w:val="41"/>
              </w:rPr>
              <w:t xml:space="preserve"> </w:t>
            </w:r>
            <w:r>
              <w:rPr>
                <w:rFonts w:hint="eastAsia" w:ascii="宋体" w:hAnsi="宋体" w:eastAsia="宋体" w:cs="宋体"/>
                <w:spacing w:val="6"/>
              </w:rPr>
              <w:t>万元，养殖险承保规</w:t>
            </w:r>
            <w:r>
              <w:rPr>
                <w:rFonts w:hint="eastAsia" w:ascii="宋体" w:hAnsi="宋体" w:eastAsia="宋体" w:cs="宋体"/>
                <w:spacing w:val="7"/>
              </w:rPr>
              <w:t>模/150</w:t>
            </w:r>
            <w:r>
              <w:rPr>
                <w:rFonts w:hint="eastAsia" w:ascii="宋体" w:hAnsi="宋体" w:eastAsia="宋体" w:cs="宋体"/>
                <w:spacing w:val="23"/>
                <w:w w:val="101"/>
              </w:rPr>
              <w:t xml:space="preserve"> </w:t>
            </w:r>
            <w:r>
              <w:rPr>
                <w:rFonts w:hint="eastAsia" w:ascii="宋体" w:hAnsi="宋体" w:eastAsia="宋体" w:cs="宋体"/>
                <w:spacing w:val="7"/>
              </w:rPr>
              <w:t>万元确定，余数向上取整，未达标</w:t>
            </w:r>
            <w:r>
              <w:rPr>
                <w:rFonts w:hint="eastAsia" w:ascii="宋体" w:hAnsi="宋体" w:eastAsia="宋体" w:cs="宋体"/>
                <w:spacing w:val="6"/>
              </w:rPr>
              <w:t>的不计分。在达标的基</w:t>
            </w:r>
            <w:r>
              <w:rPr>
                <w:rFonts w:hint="eastAsia" w:ascii="宋体" w:hAnsi="宋体" w:eastAsia="宋体" w:cs="宋体"/>
                <w:spacing w:val="8"/>
              </w:rPr>
              <w:t>础上，以参加遴选的承保机构兼职人员最多数量（若实际人数大于遴选区域上年政策性农业保险保费规模，按种植险及林业等承</w:t>
            </w:r>
            <w:r>
              <w:rPr>
                <w:rFonts w:hint="eastAsia" w:ascii="宋体" w:hAnsi="宋体" w:eastAsia="宋体" w:cs="宋体"/>
                <w:spacing w:val="5"/>
              </w:rPr>
              <w:t>保规模/200</w:t>
            </w:r>
            <w:r>
              <w:rPr>
                <w:rFonts w:hint="eastAsia" w:ascii="宋体" w:hAnsi="宋体" w:eastAsia="宋体" w:cs="宋体"/>
                <w:spacing w:val="32"/>
                <w:w w:val="101"/>
              </w:rPr>
              <w:t xml:space="preserve"> </w:t>
            </w:r>
            <w:r>
              <w:rPr>
                <w:rFonts w:hint="eastAsia" w:ascii="宋体" w:hAnsi="宋体" w:eastAsia="宋体" w:cs="宋体"/>
                <w:spacing w:val="5"/>
              </w:rPr>
              <w:t>万元，养殖险承保规模/150</w:t>
            </w:r>
            <w:r>
              <w:rPr>
                <w:rFonts w:hint="eastAsia" w:ascii="宋体" w:hAnsi="宋体" w:eastAsia="宋体" w:cs="宋体"/>
                <w:spacing w:val="25"/>
                <w:w w:val="101"/>
              </w:rPr>
              <w:t xml:space="preserve"> </w:t>
            </w:r>
            <w:r>
              <w:rPr>
                <w:rFonts w:hint="eastAsia" w:ascii="宋体" w:hAnsi="宋体" w:eastAsia="宋体" w:cs="宋体"/>
                <w:spacing w:val="5"/>
              </w:rPr>
              <w:t>万元测算值，超出人数不</w:t>
            </w:r>
            <w:r>
              <w:rPr>
                <w:rFonts w:hint="eastAsia" w:ascii="宋体" w:hAnsi="宋体" w:eastAsia="宋体" w:cs="宋体"/>
                <w:spacing w:val="8"/>
              </w:rPr>
              <w:t>纳入计算）为评审基准值，达到基准值的承保机构计满分。未达</w:t>
            </w:r>
            <w:r>
              <w:rPr>
                <w:rFonts w:hint="eastAsia" w:ascii="宋体" w:hAnsi="宋体" w:eastAsia="宋体" w:cs="宋体"/>
                <w:spacing w:val="9"/>
              </w:rPr>
              <w:t>到基准值的承保机构该项得分=参加遴选的承保机构乡镇农业保</w:t>
            </w:r>
            <w:r>
              <w:rPr>
                <w:rFonts w:hint="eastAsia" w:ascii="宋体" w:hAnsi="宋体" w:eastAsia="宋体" w:cs="宋体"/>
                <w:spacing w:val="8"/>
              </w:rPr>
              <w:t>险专（兼）干、协保员数量/评审基准值×1 分。</w:t>
            </w:r>
          </w:p>
        </w:tc>
        <w:tc>
          <w:tcPr>
            <w:tcW w:w="6210" w:type="dxa"/>
            <w:vAlign w:val="top"/>
          </w:tcPr>
          <w:p w14:paraId="596FC6A5">
            <w:pPr>
              <w:pStyle w:val="29"/>
              <w:widowControl/>
              <w:spacing w:before="65" w:line="284" w:lineRule="auto"/>
              <w:ind w:right="106"/>
              <w:jc w:val="both"/>
              <w:rPr>
                <w:rFonts w:hint="eastAsia" w:ascii="宋体" w:hAnsi="宋体" w:eastAsia="宋体" w:cs="宋体"/>
              </w:rPr>
            </w:pPr>
            <w:r>
              <w:rPr>
                <w:rFonts w:hint="eastAsia" w:ascii="宋体" w:hAnsi="宋体" w:eastAsia="宋体" w:cs="宋体"/>
                <w:spacing w:val="6"/>
              </w:rPr>
              <w:t>乡镇、村农业保险专（兼）干、协保员为参加遴选的</w:t>
            </w:r>
            <w:r>
              <w:rPr>
                <w:rFonts w:hint="eastAsia" w:ascii="宋体" w:hAnsi="宋体" w:eastAsia="宋体" w:cs="宋体"/>
                <w:spacing w:val="5"/>
              </w:rPr>
              <w:t>承保机构在遴选区域</w:t>
            </w:r>
            <w:r>
              <w:rPr>
                <w:rFonts w:hint="eastAsia" w:ascii="宋体" w:hAnsi="宋体" w:eastAsia="宋体" w:cs="宋体"/>
                <w:spacing w:val="7"/>
              </w:rPr>
              <w:t>选聘的乡镇、村级兼职农业保险服务人员。需</w:t>
            </w:r>
            <w:r>
              <w:rPr>
                <w:rFonts w:hint="eastAsia" w:ascii="宋体" w:hAnsi="宋体" w:eastAsia="宋体" w:cs="宋体"/>
                <w:spacing w:val="6"/>
              </w:rPr>
              <w:t>提供加盖参加遴选的承保机</w:t>
            </w:r>
            <w:r>
              <w:rPr>
                <w:rFonts w:hint="eastAsia" w:ascii="宋体" w:hAnsi="宋体" w:eastAsia="宋体" w:cs="宋体"/>
                <w:spacing w:val="7"/>
              </w:rPr>
              <w:t>构公章的乡镇、村农业保险专（兼）干、协</w:t>
            </w:r>
            <w:r>
              <w:rPr>
                <w:rFonts w:hint="eastAsia" w:ascii="宋体" w:hAnsi="宋体" w:eastAsia="宋体" w:cs="宋体"/>
                <w:spacing w:val="6"/>
              </w:rPr>
              <w:t>保员名单（包括姓名、身份证</w:t>
            </w:r>
            <w:r>
              <w:rPr>
                <w:rFonts w:hint="eastAsia" w:ascii="宋体" w:hAnsi="宋体" w:eastAsia="宋体" w:cs="宋体"/>
                <w:spacing w:val="9"/>
              </w:rPr>
              <w:t>号码、电话号码、年工资额或工作经费、防疫激励费用等）</w:t>
            </w:r>
            <w:r>
              <w:rPr>
                <w:rFonts w:hint="eastAsia" w:ascii="宋体" w:hAnsi="宋体" w:eastAsia="宋体" w:cs="宋体"/>
                <w:spacing w:val="8"/>
              </w:rPr>
              <w:t>,并提供</w:t>
            </w:r>
            <w:r>
              <w:rPr>
                <w:rFonts w:hint="eastAsia" w:ascii="宋体" w:hAnsi="宋体" w:eastAsia="宋体" w:cs="宋体"/>
                <w:spacing w:val="-42"/>
              </w:rPr>
              <w:t xml:space="preserve"> </w:t>
            </w:r>
            <w:r>
              <w:rPr>
                <w:rFonts w:hint="eastAsia" w:ascii="宋体" w:hAnsi="宋体" w:eastAsia="宋体" w:cs="宋体"/>
                <w:spacing w:val="8"/>
              </w:rPr>
              <w:t>2024</w:t>
            </w:r>
            <w:r>
              <w:rPr>
                <w:rFonts w:hint="eastAsia" w:ascii="宋体" w:hAnsi="宋体" w:eastAsia="宋体" w:cs="宋体"/>
                <w:spacing w:val="3"/>
              </w:rPr>
              <w:t>年</w:t>
            </w:r>
            <w:r>
              <w:rPr>
                <w:rFonts w:hint="eastAsia" w:ascii="宋体" w:hAnsi="宋体" w:eastAsia="宋体" w:cs="宋体"/>
                <w:spacing w:val="-22"/>
              </w:rPr>
              <w:t xml:space="preserve"> </w:t>
            </w:r>
            <w:r>
              <w:rPr>
                <w:rFonts w:hint="eastAsia" w:ascii="宋体" w:hAnsi="宋体" w:eastAsia="宋体" w:cs="宋体"/>
                <w:spacing w:val="3"/>
              </w:rPr>
              <w:t>12</w:t>
            </w:r>
            <w:r>
              <w:rPr>
                <w:rFonts w:hint="eastAsia" w:ascii="宋体" w:hAnsi="宋体" w:eastAsia="宋体" w:cs="宋体"/>
                <w:spacing w:val="22"/>
                <w:w w:val="101"/>
              </w:rPr>
              <w:t xml:space="preserve"> </w:t>
            </w:r>
            <w:r>
              <w:rPr>
                <w:rFonts w:hint="eastAsia" w:ascii="宋体" w:hAnsi="宋体" w:eastAsia="宋体" w:cs="宋体"/>
                <w:spacing w:val="3"/>
              </w:rPr>
              <w:t>月</w:t>
            </w:r>
            <w:r>
              <w:rPr>
                <w:rFonts w:hint="eastAsia" w:ascii="宋体" w:hAnsi="宋体" w:eastAsia="宋体" w:cs="宋体"/>
                <w:spacing w:val="-40"/>
              </w:rPr>
              <w:t xml:space="preserve"> </w:t>
            </w:r>
            <w:r>
              <w:rPr>
                <w:rFonts w:hint="eastAsia" w:ascii="宋体" w:hAnsi="宋体" w:eastAsia="宋体" w:cs="宋体"/>
                <w:spacing w:val="3"/>
              </w:rPr>
              <w:t>31  日前签订的委托代办协议，乡镇政府、村支两委或县</w:t>
            </w:r>
            <w:r>
              <w:rPr>
                <w:rFonts w:hint="eastAsia" w:ascii="宋体" w:hAnsi="宋体" w:eastAsia="宋体" w:cs="宋体"/>
                <w:spacing w:val="2"/>
              </w:rPr>
              <w:t>级农业保</w:t>
            </w:r>
            <w:r>
              <w:rPr>
                <w:rFonts w:hint="eastAsia" w:ascii="宋体" w:hAnsi="宋体" w:eastAsia="宋体" w:cs="宋体"/>
                <w:spacing w:val="7"/>
              </w:rPr>
              <w:t>险工作小组相关证明文件复印件并加盖证明</w:t>
            </w:r>
            <w:r>
              <w:rPr>
                <w:rFonts w:hint="eastAsia" w:ascii="宋体" w:hAnsi="宋体" w:eastAsia="宋体" w:cs="宋体"/>
                <w:spacing w:val="6"/>
              </w:rPr>
              <w:t>出具单位公章。以上信息与实</w:t>
            </w:r>
            <w:r>
              <w:rPr>
                <w:rFonts w:hint="eastAsia" w:ascii="宋体" w:hAnsi="宋体" w:eastAsia="宋体" w:cs="宋体"/>
                <w:spacing w:val="9"/>
              </w:rPr>
              <w:t>际情况不符或弄虚作假的，则中选资格作废。</w:t>
            </w:r>
          </w:p>
          <w:p w14:paraId="5C2989A5">
            <w:pPr>
              <w:pStyle w:val="29"/>
              <w:widowControl/>
              <w:spacing w:before="1" w:line="288" w:lineRule="auto"/>
              <w:ind w:left="117" w:right="110" w:hanging="5"/>
              <w:jc w:val="both"/>
              <w:rPr>
                <w:rFonts w:hint="eastAsia" w:ascii="宋体" w:hAnsi="宋体" w:eastAsia="宋体" w:cs="宋体"/>
              </w:rPr>
            </w:pPr>
            <w:r>
              <w:rPr>
                <w:rFonts w:hint="eastAsia" w:ascii="宋体" w:hAnsi="宋体" w:eastAsia="宋体" w:cs="宋体"/>
                <w:spacing w:val="9"/>
              </w:rPr>
              <w:t>遴选区域的</w:t>
            </w:r>
            <w:r>
              <w:rPr>
                <w:rFonts w:hint="eastAsia" w:ascii="宋体" w:hAnsi="宋体" w:eastAsia="宋体" w:cs="宋体"/>
                <w:spacing w:val="-42"/>
              </w:rPr>
              <w:t xml:space="preserve"> </w:t>
            </w:r>
            <w:r>
              <w:rPr>
                <w:rFonts w:hint="eastAsia" w:ascii="宋体" w:hAnsi="宋体" w:eastAsia="宋体" w:cs="宋体"/>
                <w:spacing w:val="9"/>
              </w:rPr>
              <w:t>2024</w:t>
            </w:r>
            <w:r>
              <w:rPr>
                <w:rFonts w:hint="eastAsia" w:ascii="宋体" w:hAnsi="宋体" w:eastAsia="宋体" w:cs="宋体"/>
                <w:spacing w:val="16"/>
                <w:w w:val="101"/>
              </w:rPr>
              <w:t xml:space="preserve"> </w:t>
            </w:r>
            <w:r>
              <w:rPr>
                <w:rFonts w:hint="eastAsia" w:ascii="宋体" w:hAnsi="宋体" w:eastAsia="宋体" w:cs="宋体"/>
                <w:spacing w:val="9"/>
              </w:rPr>
              <w:t>年度农业保险中央品种保</w:t>
            </w:r>
            <w:r>
              <w:rPr>
                <w:rFonts w:hint="eastAsia" w:ascii="宋体" w:hAnsi="宋体" w:eastAsia="宋体" w:cs="宋体"/>
                <w:spacing w:val="8"/>
              </w:rPr>
              <w:t>费规模以财政部门提供的结算</w:t>
            </w:r>
            <w:r>
              <w:rPr>
                <w:rFonts w:hint="eastAsia" w:ascii="宋体" w:hAnsi="宋体" w:eastAsia="宋体" w:cs="宋体"/>
                <w:spacing w:val="5"/>
              </w:rPr>
              <w:t>数据为准。</w:t>
            </w:r>
          </w:p>
        </w:tc>
      </w:tr>
      <w:tr w14:paraId="6FC00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6" w:hRule="atLeast"/>
          <w:jc w:val="center"/>
        </w:trPr>
        <w:tc>
          <w:tcPr>
            <w:tcW w:w="699" w:type="dxa"/>
            <w:vMerge w:val="continue"/>
            <w:tcBorders>
              <w:top w:val="nil"/>
              <w:bottom w:val="single" w:color="auto" w:sz="4" w:space="0"/>
            </w:tcBorders>
            <w:vAlign w:val="top"/>
          </w:tcPr>
          <w:p w14:paraId="4A202441">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810" w:type="dxa"/>
            <w:tcBorders>
              <w:bottom w:val="single" w:color="auto" w:sz="4" w:space="0"/>
            </w:tcBorders>
            <w:vAlign w:val="top"/>
          </w:tcPr>
          <w:p w14:paraId="3D2602F4">
            <w:pPr>
              <w:pStyle w:val="29"/>
              <w:widowControl/>
              <w:spacing w:before="65" w:line="294" w:lineRule="auto"/>
              <w:ind w:right="170"/>
              <w:jc w:val="both"/>
              <w:rPr>
                <w:rFonts w:hint="eastAsia" w:ascii="宋体" w:hAnsi="宋体" w:eastAsia="宋体" w:cs="宋体"/>
              </w:rPr>
            </w:pPr>
            <w:r>
              <w:rPr>
                <w:rFonts w:hint="eastAsia" w:ascii="宋体" w:hAnsi="宋体" w:eastAsia="宋体" w:cs="宋体"/>
              </w:rPr>
              <w:t>车辆</w:t>
            </w:r>
            <w:r>
              <w:rPr>
                <w:rFonts w:hint="eastAsia" w:ascii="宋体" w:hAnsi="宋体" w:eastAsia="宋体" w:cs="宋体"/>
                <w:spacing w:val="1"/>
              </w:rPr>
              <w:t>配备</w:t>
            </w:r>
            <w:r>
              <w:rPr>
                <w:rFonts w:hint="eastAsia" w:ascii="宋体" w:hAnsi="宋体" w:eastAsia="宋体" w:cs="宋体"/>
                <w:spacing w:val="7"/>
              </w:rPr>
              <w:t>2</w:t>
            </w:r>
            <w:r>
              <w:rPr>
                <w:rFonts w:hint="eastAsia" w:ascii="宋体" w:hAnsi="宋体" w:eastAsia="宋体" w:cs="宋体"/>
                <w:spacing w:val="10"/>
              </w:rPr>
              <w:t xml:space="preserve"> </w:t>
            </w:r>
            <w:r>
              <w:rPr>
                <w:rFonts w:hint="eastAsia" w:ascii="宋体" w:hAnsi="宋体" w:eastAsia="宋体" w:cs="宋体"/>
                <w:spacing w:val="7"/>
              </w:rPr>
              <w:t>分</w:t>
            </w:r>
          </w:p>
        </w:tc>
        <w:tc>
          <w:tcPr>
            <w:tcW w:w="621" w:type="dxa"/>
            <w:vAlign w:val="top"/>
          </w:tcPr>
          <w:p w14:paraId="7DB1A734">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4C22D389">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652673ED">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3F00CA7C">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4A1AA26C">
            <w:pPr>
              <w:widowControl/>
              <w:kinsoku w:val="0"/>
              <w:autoSpaceDE w:val="0"/>
              <w:autoSpaceDN w:val="0"/>
              <w:adjustRightInd w:val="0"/>
              <w:snapToGrid w:val="0"/>
              <w:spacing w:line="262" w:lineRule="auto"/>
              <w:jc w:val="left"/>
              <w:textAlignment w:val="baseline"/>
              <w:rPr>
                <w:rFonts w:hint="eastAsia" w:ascii="宋体" w:hAnsi="宋体" w:eastAsia="宋体" w:cs="宋体"/>
                <w:snapToGrid w:val="0"/>
                <w:color w:val="000000"/>
                <w:kern w:val="0"/>
                <w:sz w:val="21"/>
                <w:szCs w:val="21"/>
                <w:lang w:eastAsia="en-US"/>
              </w:rPr>
            </w:pPr>
          </w:p>
          <w:p w14:paraId="48CF470E">
            <w:pPr>
              <w:widowControl/>
              <w:kinsoku w:val="0"/>
              <w:autoSpaceDE w:val="0"/>
              <w:autoSpaceDN w:val="0"/>
              <w:adjustRightInd w:val="0"/>
              <w:snapToGrid w:val="0"/>
              <w:spacing w:before="58" w:line="275" w:lineRule="exact"/>
              <w:ind w:left="375"/>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2</w:t>
            </w:r>
          </w:p>
        </w:tc>
        <w:tc>
          <w:tcPr>
            <w:tcW w:w="5094" w:type="dxa"/>
            <w:vAlign w:val="top"/>
          </w:tcPr>
          <w:p w14:paraId="76FF9811">
            <w:pPr>
              <w:pStyle w:val="29"/>
              <w:widowControl/>
              <w:spacing w:before="65" w:line="289" w:lineRule="auto"/>
              <w:ind w:right="105"/>
              <w:jc w:val="both"/>
              <w:rPr>
                <w:rFonts w:hint="eastAsia" w:ascii="宋体" w:hAnsi="宋体" w:eastAsia="宋体" w:cs="宋体"/>
              </w:rPr>
            </w:pPr>
            <w:r>
              <w:rPr>
                <w:rFonts w:hint="eastAsia" w:ascii="宋体" w:hAnsi="宋体" w:eastAsia="宋体" w:cs="宋体"/>
                <w:spacing w:val="6"/>
              </w:rPr>
              <w:t>在遴选区域配备农业保险工作车辆配备</w:t>
            </w:r>
            <w:r>
              <w:rPr>
                <w:rFonts w:hint="eastAsia" w:ascii="宋体" w:hAnsi="宋体" w:eastAsia="宋体" w:cs="宋体"/>
                <w:spacing w:val="-45"/>
              </w:rPr>
              <w:t xml:space="preserve"> </w:t>
            </w:r>
            <w:r>
              <w:rPr>
                <w:rFonts w:hint="eastAsia" w:ascii="宋体" w:hAnsi="宋体" w:eastAsia="宋体" w:cs="宋体"/>
                <w:spacing w:val="6"/>
              </w:rPr>
              <w:t>4</w:t>
            </w:r>
            <w:r>
              <w:rPr>
                <w:rFonts w:hint="eastAsia" w:ascii="宋体" w:hAnsi="宋体" w:eastAsia="宋体" w:cs="宋体"/>
                <w:spacing w:val="36"/>
                <w:w w:val="101"/>
              </w:rPr>
              <w:t xml:space="preserve"> </w:t>
            </w:r>
            <w:r>
              <w:rPr>
                <w:rFonts w:hint="eastAsia" w:ascii="宋体" w:hAnsi="宋体" w:eastAsia="宋体" w:cs="宋体"/>
                <w:spacing w:val="6"/>
              </w:rPr>
              <w:t>台及以上的计</w:t>
            </w:r>
            <w:r>
              <w:rPr>
                <w:rFonts w:hint="eastAsia" w:ascii="宋体" w:hAnsi="宋体" w:eastAsia="宋体" w:cs="宋体"/>
                <w:spacing w:val="-42"/>
              </w:rPr>
              <w:t xml:space="preserve"> </w:t>
            </w:r>
            <w:r>
              <w:rPr>
                <w:rFonts w:hint="eastAsia" w:ascii="宋体" w:hAnsi="宋体" w:eastAsia="宋体" w:cs="宋体"/>
                <w:spacing w:val="6"/>
              </w:rPr>
              <w:t>2 分，配</w:t>
            </w:r>
            <w:r>
              <w:rPr>
                <w:rFonts w:hint="eastAsia" w:ascii="宋体" w:hAnsi="宋体" w:eastAsia="宋体" w:cs="宋体"/>
                <w:spacing w:val="2"/>
              </w:rPr>
              <w:t>备</w:t>
            </w:r>
            <w:r>
              <w:rPr>
                <w:rFonts w:hint="eastAsia" w:ascii="宋体" w:hAnsi="宋体" w:eastAsia="宋体" w:cs="宋体"/>
                <w:spacing w:val="-39"/>
              </w:rPr>
              <w:t xml:space="preserve"> </w:t>
            </w:r>
            <w:r>
              <w:rPr>
                <w:rFonts w:hint="eastAsia" w:ascii="宋体" w:hAnsi="宋体" w:eastAsia="宋体" w:cs="宋体"/>
                <w:spacing w:val="2"/>
              </w:rPr>
              <w:t>3</w:t>
            </w:r>
            <w:r>
              <w:rPr>
                <w:rFonts w:hint="eastAsia" w:ascii="宋体" w:hAnsi="宋体" w:eastAsia="宋体" w:cs="宋体"/>
                <w:spacing w:val="36"/>
              </w:rPr>
              <w:t xml:space="preserve"> </w:t>
            </w:r>
            <w:r>
              <w:rPr>
                <w:rFonts w:hint="eastAsia" w:ascii="宋体" w:hAnsi="宋体" w:eastAsia="宋体" w:cs="宋体"/>
                <w:spacing w:val="2"/>
              </w:rPr>
              <w:t>台的计</w:t>
            </w:r>
            <w:r>
              <w:rPr>
                <w:rFonts w:hint="eastAsia" w:ascii="宋体" w:hAnsi="宋体" w:eastAsia="宋体" w:cs="宋体"/>
                <w:spacing w:val="-24"/>
              </w:rPr>
              <w:t xml:space="preserve"> </w:t>
            </w:r>
            <w:r>
              <w:rPr>
                <w:rFonts w:hint="eastAsia" w:ascii="宋体" w:hAnsi="宋体" w:eastAsia="宋体" w:cs="宋体"/>
                <w:spacing w:val="2"/>
              </w:rPr>
              <w:t>1.7</w:t>
            </w:r>
            <w:r>
              <w:rPr>
                <w:rFonts w:hint="eastAsia" w:ascii="宋体" w:hAnsi="宋体" w:eastAsia="宋体" w:cs="宋体"/>
                <w:spacing w:val="15"/>
                <w:w w:val="101"/>
              </w:rPr>
              <w:t xml:space="preserve"> </w:t>
            </w:r>
            <w:r>
              <w:rPr>
                <w:rFonts w:hint="eastAsia" w:ascii="宋体" w:hAnsi="宋体" w:eastAsia="宋体" w:cs="宋体"/>
                <w:spacing w:val="2"/>
              </w:rPr>
              <w:t>分，配备2</w:t>
            </w:r>
            <w:r>
              <w:rPr>
                <w:rFonts w:hint="eastAsia" w:ascii="宋体" w:hAnsi="宋体" w:eastAsia="宋体" w:cs="宋体"/>
                <w:spacing w:val="33"/>
                <w:w w:val="101"/>
              </w:rPr>
              <w:t xml:space="preserve"> </w:t>
            </w:r>
            <w:r>
              <w:rPr>
                <w:rFonts w:hint="eastAsia" w:ascii="宋体" w:hAnsi="宋体" w:eastAsia="宋体" w:cs="宋体"/>
                <w:spacing w:val="2"/>
              </w:rPr>
              <w:t>台的计</w:t>
            </w:r>
            <w:r>
              <w:rPr>
                <w:rFonts w:hint="eastAsia" w:ascii="宋体" w:hAnsi="宋体" w:eastAsia="宋体" w:cs="宋体"/>
                <w:spacing w:val="-22"/>
              </w:rPr>
              <w:t xml:space="preserve"> </w:t>
            </w:r>
            <w:r>
              <w:rPr>
                <w:rFonts w:hint="eastAsia" w:ascii="宋体" w:hAnsi="宋体" w:eastAsia="宋体" w:cs="宋体"/>
                <w:spacing w:val="2"/>
              </w:rPr>
              <w:t>1.4 分，配备</w:t>
            </w:r>
            <w:r>
              <w:rPr>
                <w:rFonts w:hint="eastAsia" w:ascii="宋体" w:hAnsi="宋体" w:eastAsia="宋体" w:cs="宋体"/>
                <w:spacing w:val="-21"/>
              </w:rPr>
              <w:t xml:space="preserve"> </w:t>
            </w:r>
            <w:r>
              <w:rPr>
                <w:rFonts w:hint="eastAsia" w:ascii="宋体" w:hAnsi="宋体" w:eastAsia="宋体" w:cs="宋体"/>
                <w:spacing w:val="2"/>
              </w:rPr>
              <w:t>1</w:t>
            </w:r>
            <w:r>
              <w:rPr>
                <w:rFonts w:hint="eastAsia" w:ascii="宋体" w:hAnsi="宋体" w:eastAsia="宋体" w:cs="宋体"/>
                <w:spacing w:val="33"/>
                <w:w w:val="101"/>
              </w:rPr>
              <w:t xml:space="preserve"> </w:t>
            </w:r>
            <w:r>
              <w:rPr>
                <w:rFonts w:hint="eastAsia" w:ascii="宋体" w:hAnsi="宋体" w:eastAsia="宋体" w:cs="宋体"/>
                <w:spacing w:val="2"/>
              </w:rPr>
              <w:t>台的计</w:t>
            </w:r>
            <w:r>
              <w:rPr>
                <w:rFonts w:hint="eastAsia" w:ascii="宋体" w:hAnsi="宋体" w:eastAsia="宋体" w:cs="宋体"/>
                <w:spacing w:val="-22"/>
              </w:rPr>
              <w:t xml:space="preserve"> </w:t>
            </w:r>
            <w:r>
              <w:rPr>
                <w:rFonts w:hint="eastAsia" w:ascii="宋体" w:hAnsi="宋体" w:eastAsia="宋体" w:cs="宋体"/>
                <w:spacing w:val="2"/>
              </w:rPr>
              <w:t>1 分，</w:t>
            </w:r>
            <w:r>
              <w:rPr>
                <w:rFonts w:hint="eastAsia" w:ascii="宋体" w:hAnsi="宋体" w:eastAsia="宋体" w:cs="宋体"/>
                <w:spacing w:val="8"/>
              </w:rPr>
              <w:t>未配备的不计分。（车辆数量大于专业农险人员数量的，超出数</w:t>
            </w:r>
            <w:r>
              <w:rPr>
                <w:rFonts w:hint="eastAsia" w:ascii="宋体" w:hAnsi="宋体" w:eastAsia="宋体" w:cs="宋体"/>
                <w:spacing w:val="11"/>
              </w:rPr>
              <w:t>量不纳入计算）</w:t>
            </w:r>
          </w:p>
        </w:tc>
        <w:tc>
          <w:tcPr>
            <w:tcW w:w="6210" w:type="dxa"/>
            <w:vAlign w:val="top"/>
          </w:tcPr>
          <w:p w14:paraId="6082D4EB">
            <w:pPr>
              <w:pStyle w:val="29"/>
              <w:widowControl/>
              <w:spacing w:before="65" w:line="288" w:lineRule="auto"/>
              <w:ind w:right="55"/>
              <w:jc w:val="both"/>
              <w:rPr>
                <w:rFonts w:hint="eastAsia" w:ascii="宋体" w:hAnsi="宋体" w:eastAsia="宋体" w:cs="宋体"/>
              </w:rPr>
            </w:pPr>
            <w:r>
              <w:rPr>
                <w:rFonts w:hint="eastAsia" w:ascii="宋体" w:hAnsi="宋体" w:eastAsia="宋体" w:cs="宋体"/>
                <w:spacing w:val="7"/>
              </w:rPr>
              <w:t>农业保险工作车辆要求喷有“三农服务”或“理赔查勘”类似字样，行驶证所有人为参加遴选的承保机构或其省、市级机构。需</w:t>
            </w:r>
            <w:r>
              <w:rPr>
                <w:rFonts w:hint="eastAsia" w:ascii="宋体" w:hAnsi="宋体" w:eastAsia="宋体" w:cs="宋体"/>
                <w:spacing w:val="6"/>
              </w:rPr>
              <w:t>提供加盖参加遴选的承</w:t>
            </w:r>
            <w:r>
              <w:rPr>
                <w:rFonts w:hint="eastAsia" w:ascii="宋体" w:hAnsi="宋体" w:eastAsia="宋体" w:cs="宋体"/>
                <w:spacing w:val="2"/>
              </w:rPr>
              <w:t>保机构省公司公章的农业保险工作车辆清单（含车牌号码、行驶证等信息，并附车辆照片和行驶证复印件）。不同遴选区域重复使用同一台车辆信息，</w:t>
            </w:r>
            <w:r>
              <w:rPr>
                <w:rFonts w:hint="eastAsia" w:ascii="宋体" w:hAnsi="宋体" w:eastAsia="宋体" w:cs="宋体"/>
                <w:spacing w:val="9"/>
              </w:rPr>
              <w:t>则认定为虚假，涉及的遴选区域参加遴选的承保机构的中选资格作废。</w:t>
            </w:r>
          </w:p>
        </w:tc>
      </w:tr>
    </w:tbl>
    <w:p w14:paraId="15C985B6">
      <w:pPr>
        <w:pStyle w:val="17"/>
        <w:jc w:val="center"/>
        <w:rPr>
          <w:rFonts w:hint="eastAsia" w:ascii="宋体" w:hAnsi="宋体" w:eastAsia="宋体" w:cs="宋体"/>
        </w:rPr>
      </w:pPr>
    </w:p>
    <w:p w14:paraId="0BFBD356">
      <w:pPr>
        <w:pStyle w:val="17"/>
        <w:jc w:val="center"/>
        <w:rPr>
          <w:rFonts w:hint="eastAsia" w:ascii="宋体" w:hAnsi="宋体" w:eastAsia="宋体" w:cs="宋体"/>
        </w:rPr>
      </w:pPr>
    </w:p>
    <w:p w14:paraId="1813A94A">
      <w:pPr>
        <w:pStyle w:val="17"/>
        <w:jc w:val="center"/>
        <w:rPr>
          <w:rFonts w:hint="eastAsia" w:ascii="宋体" w:hAnsi="宋体" w:eastAsia="宋体" w:cs="宋体"/>
        </w:rPr>
      </w:pPr>
    </w:p>
    <w:p w14:paraId="2CE1AA26">
      <w:pPr>
        <w:pStyle w:val="17"/>
        <w:jc w:val="center"/>
        <w:rPr>
          <w:rFonts w:hint="eastAsia" w:ascii="宋体" w:hAnsi="宋体" w:eastAsia="宋体" w:cs="宋体"/>
        </w:rPr>
      </w:pPr>
    </w:p>
    <w:p w14:paraId="69CA6B16">
      <w:pPr>
        <w:pStyle w:val="17"/>
        <w:jc w:val="center"/>
        <w:rPr>
          <w:rFonts w:hint="eastAsia" w:ascii="宋体" w:hAnsi="宋体" w:eastAsia="宋体" w:cs="宋体"/>
        </w:rPr>
      </w:pPr>
    </w:p>
    <w:p w14:paraId="4427DA49">
      <w:pPr>
        <w:pStyle w:val="17"/>
        <w:jc w:val="center"/>
        <w:rPr>
          <w:rFonts w:hint="eastAsia" w:ascii="宋体" w:hAnsi="宋体" w:eastAsia="宋体" w:cs="宋体"/>
        </w:rPr>
      </w:pPr>
    </w:p>
    <w:p w14:paraId="400CAE49">
      <w:pPr>
        <w:pStyle w:val="17"/>
        <w:jc w:val="center"/>
        <w:rPr>
          <w:rFonts w:hint="eastAsia" w:ascii="宋体" w:hAnsi="宋体" w:eastAsia="宋体" w:cs="宋体"/>
        </w:rPr>
      </w:pPr>
    </w:p>
    <w:p w14:paraId="7D9B1F20">
      <w:pPr>
        <w:pStyle w:val="17"/>
        <w:jc w:val="center"/>
        <w:rPr>
          <w:rFonts w:hint="eastAsia" w:ascii="宋体" w:hAnsi="宋体" w:eastAsia="宋体" w:cs="宋体"/>
        </w:rPr>
      </w:pPr>
    </w:p>
    <w:p w14:paraId="5264B6DC">
      <w:pPr>
        <w:pStyle w:val="17"/>
        <w:jc w:val="center"/>
        <w:rPr>
          <w:rFonts w:hint="eastAsia" w:ascii="宋体" w:hAnsi="宋体" w:eastAsia="宋体" w:cs="宋体"/>
        </w:rPr>
      </w:pPr>
    </w:p>
    <w:tbl>
      <w:tblPr>
        <w:tblStyle w:val="25"/>
        <w:tblW w:w="1375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570"/>
        <w:gridCol w:w="720"/>
        <w:gridCol w:w="3945"/>
        <w:gridCol w:w="7812"/>
      </w:tblGrid>
      <w:tr w14:paraId="6E6DF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jc w:val="center"/>
        </w:trPr>
        <w:tc>
          <w:tcPr>
            <w:tcW w:w="705" w:type="dxa"/>
            <w:vAlign w:val="top"/>
          </w:tcPr>
          <w:p w14:paraId="345C1CA6">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6CF3DA7E">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570" w:type="dxa"/>
            <w:vAlign w:val="top"/>
          </w:tcPr>
          <w:p w14:paraId="398DDF53">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4DBBA848">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720" w:type="dxa"/>
            <w:vAlign w:val="top"/>
          </w:tcPr>
          <w:p w14:paraId="4A143B16">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3945" w:type="dxa"/>
            <w:vAlign w:val="top"/>
          </w:tcPr>
          <w:p w14:paraId="35342E65">
            <w:pPr>
              <w:pStyle w:val="29"/>
              <w:widowControl/>
              <w:spacing w:before="210" w:line="226" w:lineRule="auto"/>
              <w:ind w:firstLine="596" w:firstLineChars="300"/>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7812" w:type="dxa"/>
            <w:vAlign w:val="top"/>
          </w:tcPr>
          <w:p w14:paraId="766860F7">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51FF9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6" w:hRule="atLeast"/>
          <w:jc w:val="center"/>
        </w:trPr>
        <w:tc>
          <w:tcPr>
            <w:tcW w:w="705" w:type="dxa"/>
            <w:vAlign w:val="top"/>
          </w:tcPr>
          <w:p w14:paraId="04A54857">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104283E">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5C12EB5E">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05D49A3">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能力</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570" w:type="dxa"/>
            <w:vAlign w:val="top"/>
          </w:tcPr>
          <w:p w14:paraId="05C2B94E">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0C328F9A">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3976A484">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50B18030">
            <w:pPr>
              <w:pStyle w:val="29"/>
              <w:widowControl/>
              <w:spacing w:before="65" w:line="294" w:lineRule="auto"/>
              <w:ind w:right="146"/>
              <w:jc w:val="both"/>
              <w:rPr>
                <w:rFonts w:hint="eastAsia" w:ascii="宋体" w:hAnsi="宋体" w:eastAsia="宋体" w:cs="宋体"/>
              </w:rPr>
            </w:pPr>
            <w:r>
              <w:rPr>
                <w:rFonts w:hint="eastAsia" w:ascii="宋体" w:hAnsi="宋体" w:eastAsia="宋体" w:cs="宋体"/>
                <w:spacing w:val="5"/>
              </w:rPr>
              <w:t>科技</w:t>
            </w:r>
            <w:r>
              <w:rPr>
                <w:rFonts w:hint="eastAsia" w:ascii="宋体" w:hAnsi="宋体" w:eastAsia="宋体" w:cs="宋体"/>
                <w:spacing w:val="11"/>
              </w:rPr>
              <w:t>赋能</w:t>
            </w:r>
            <w:r>
              <w:rPr>
                <w:rFonts w:hint="eastAsia" w:ascii="宋体" w:hAnsi="宋体" w:eastAsia="宋体" w:cs="宋体"/>
                <w:spacing w:val="-6"/>
              </w:rPr>
              <w:t>12</w:t>
            </w:r>
            <w:r>
              <w:rPr>
                <w:rFonts w:hint="eastAsia" w:ascii="宋体" w:hAnsi="宋体" w:eastAsia="宋体" w:cs="宋体"/>
                <w:spacing w:val="14"/>
              </w:rPr>
              <w:t xml:space="preserve"> </w:t>
            </w:r>
            <w:r>
              <w:rPr>
                <w:rFonts w:hint="eastAsia" w:ascii="宋体" w:hAnsi="宋体" w:eastAsia="宋体" w:cs="宋体"/>
                <w:spacing w:val="-6"/>
              </w:rPr>
              <w:t>分</w:t>
            </w:r>
          </w:p>
        </w:tc>
        <w:tc>
          <w:tcPr>
            <w:tcW w:w="720" w:type="dxa"/>
            <w:vAlign w:val="top"/>
          </w:tcPr>
          <w:p w14:paraId="6A635A3F">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02616D77">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4F71357F">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36F5F17D">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6AD5E8CD">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30CC8BB2">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15BD21A0">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32B7CC19">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586A1563">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51183371">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119A37F8">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126CE206">
            <w:pPr>
              <w:widowControl/>
              <w:kinsoku w:val="0"/>
              <w:autoSpaceDE w:val="0"/>
              <w:autoSpaceDN w:val="0"/>
              <w:adjustRightInd w:val="0"/>
              <w:snapToGrid w:val="0"/>
              <w:spacing w:before="57" w:line="276" w:lineRule="exact"/>
              <w:ind w:left="344"/>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9"/>
                <w:kern w:val="0"/>
                <w:position w:val="2"/>
                <w:sz w:val="20"/>
                <w:szCs w:val="20"/>
                <w:lang w:eastAsia="en-US"/>
              </w:rPr>
              <w:t>12</w:t>
            </w:r>
          </w:p>
        </w:tc>
        <w:tc>
          <w:tcPr>
            <w:tcW w:w="3945" w:type="dxa"/>
            <w:vAlign w:val="top"/>
          </w:tcPr>
          <w:p w14:paraId="774917B9">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6BCB1E3F">
            <w:pPr>
              <w:pStyle w:val="29"/>
              <w:widowControl/>
              <w:spacing w:before="65" w:line="288" w:lineRule="auto"/>
              <w:ind w:right="105"/>
              <w:jc w:val="both"/>
              <w:rPr>
                <w:rFonts w:hint="eastAsia" w:ascii="宋体" w:hAnsi="宋体" w:eastAsia="宋体" w:cs="宋体"/>
              </w:rPr>
            </w:pPr>
            <w:r>
              <w:rPr>
                <w:rFonts w:hint="eastAsia" w:ascii="宋体" w:hAnsi="宋体" w:eastAsia="宋体" w:cs="宋体"/>
                <w:spacing w:val="7"/>
              </w:rPr>
              <w:t>在遴选区域内配备农业保险所需的无人机（</w:t>
            </w:r>
            <w:r>
              <w:rPr>
                <w:rFonts w:hint="eastAsia" w:ascii="宋体" w:hAnsi="宋体" w:eastAsia="宋体" w:cs="宋体"/>
                <w:spacing w:val="-48"/>
              </w:rPr>
              <w:t xml:space="preserve"> </w:t>
            </w:r>
            <w:r>
              <w:rPr>
                <w:rFonts w:hint="eastAsia" w:ascii="宋体" w:hAnsi="宋体" w:eastAsia="宋体" w:cs="宋体"/>
                <w:spacing w:val="7"/>
              </w:rPr>
              <w:t>1.5 分）、</w:t>
            </w:r>
            <w:r>
              <w:rPr>
                <w:rFonts w:hint="eastAsia" w:ascii="宋体" w:hAnsi="宋体" w:eastAsia="宋体" w:cs="宋体"/>
              </w:rPr>
              <w:t>AI</w:t>
            </w:r>
            <w:r>
              <w:rPr>
                <w:rFonts w:hint="eastAsia" w:ascii="宋体" w:hAnsi="宋体" w:eastAsia="宋体" w:cs="宋体"/>
                <w:spacing w:val="7"/>
              </w:rPr>
              <w:t xml:space="preserve"> 智能点</w:t>
            </w:r>
            <w:r>
              <w:rPr>
                <w:rFonts w:hint="eastAsia" w:ascii="宋体" w:hAnsi="宋体" w:eastAsia="宋体" w:cs="宋体"/>
                <w:spacing w:val="2"/>
              </w:rPr>
              <w:t>数工具（</w:t>
            </w:r>
            <w:r>
              <w:rPr>
                <w:rFonts w:hint="eastAsia" w:ascii="宋体" w:hAnsi="宋体" w:eastAsia="宋体" w:cs="宋体"/>
                <w:spacing w:val="-40"/>
              </w:rPr>
              <w:t xml:space="preserve"> </w:t>
            </w:r>
            <w:r>
              <w:rPr>
                <w:rFonts w:hint="eastAsia" w:ascii="宋体" w:hAnsi="宋体" w:eastAsia="宋体" w:cs="宋体"/>
                <w:spacing w:val="2"/>
              </w:rPr>
              <w:t>1.5 分）、线上化投保理赔全流程服务（</w:t>
            </w:r>
            <w:r>
              <w:rPr>
                <w:rFonts w:hint="eastAsia" w:ascii="宋体" w:hAnsi="宋体" w:eastAsia="宋体" w:cs="宋体"/>
                <w:spacing w:val="-47"/>
              </w:rPr>
              <w:t xml:space="preserve"> </w:t>
            </w:r>
            <w:r>
              <w:rPr>
                <w:rFonts w:hint="eastAsia" w:ascii="宋体" w:hAnsi="宋体" w:eastAsia="宋体" w:cs="宋体"/>
                <w:spacing w:val="2"/>
              </w:rPr>
              <w:t>1 分）、风险减</w:t>
            </w:r>
            <w:r>
              <w:rPr>
                <w:rFonts w:hint="eastAsia" w:ascii="宋体" w:hAnsi="宋体" w:eastAsia="宋体" w:cs="宋体"/>
                <w:spacing w:val="9"/>
              </w:rPr>
              <w:t>量管理服务（2 分）、客户信息真实性校验工具（2 分）</w:t>
            </w:r>
            <w:r>
              <w:rPr>
                <w:rFonts w:hint="eastAsia" w:ascii="宋体" w:hAnsi="宋体" w:eastAsia="宋体" w:cs="宋体"/>
                <w:spacing w:val="8"/>
              </w:rPr>
              <w:t>、高精</w:t>
            </w:r>
            <w:r>
              <w:rPr>
                <w:rFonts w:hint="eastAsia" w:ascii="宋体" w:hAnsi="宋体" w:eastAsia="宋体" w:cs="宋体"/>
                <w:spacing w:val="7"/>
              </w:rPr>
              <w:t>度勾图能力（2 分）、卫星遥感及</w:t>
            </w:r>
            <w:r>
              <w:rPr>
                <w:rFonts w:hint="eastAsia" w:ascii="宋体" w:hAnsi="宋体" w:eastAsia="宋体" w:cs="宋体"/>
                <w:spacing w:val="-37"/>
              </w:rPr>
              <w:t xml:space="preserve"> </w:t>
            </w:r>
            <w:r>
              <w:rPr>
                <w:rFonts w:hint="eastAsia" w:ascii="宋体" w:hAnsi="宋体" w:eastAsia="宋体" w:cs="宋体"/>
                <w:spacing w:val="7"/>
              </w:rPr>
              <w:t>3S 技术（2 分）。</w:t>
            </w:r>
          </w:p>
        </w:tc>
        <w:tc>
          <w:tcPr>
            <w:tcW w:w="7812" w:type="dxa"/>
            <w:vAlign w:val="top"/>
          </w:tcPr>
          <w:p w14:paraId="367E9AD7">
            <w:pPr>
              <w:pStyle w:val="29"/>
              <w:widowControl/>
              <w:spacing w:before="51" w:line="287" w:lineRule="auto"/>
              <w:ind w:left="112" w:right="7" w:firstLine="16"/>
              <w:rPr>
                <w:rFonts w:hint="eastAsia" w:ascii="宋体" w:hAnsi="宋体" w:eastAsia="宋体" w:cs="宋体"/>
              </w:rPr>
            </w:pPr>
            <w:r>
              <w:rPr>
                <w:rFonts w:hint="eastAsia" w:ascii="宋体" w:hAnsi="宋体" w:eastAsia="宋体" w:cs="宋体"/>
                <w:spacing w:val="6"/>
              </w:rPr>
              <w:t>1.每个遴选区域至少配备</w:t>
            </w:r>
            <w:r>
              <w:rPr>
                <w:rFonts w:hint="eastAsia" w:ascii="宋体" w:hAnsi="宋体" w:eastAsia="宋体" w:cs="宋体"/>
                <w:spacing w:val="-22"/>
              </w:rPr>
              <w:t xml:space="preserve"> </w:t>
            </w:r>
            <w:r>
              <w:rPr>
                <w:rFonts w:hint="eastAsia" w:ascii="宋体" w:hAnsi="宋体" w:eastAsia="宋体" w:cs="宋体"/>
                <w:spacing w:val="6"/>
              </w:rPr>
              <w:t>1</w:t>
            </w:r>
            <w:r>
              <w:rPr>
                <w:rFonts w:hint="eastAsia" w:ascii="宋体" w:hAnsi="宋体" w:eastAsia="宋体" w:cs="宋体"/>
                <w:spacing w:val="34"/>
              </w:rPr>
              <w:t xml:space="preserve"> </w:t>
            </w:r>
            <w:r>
              <w:rPr>
                <w:rFonts w:hint="eastAsia" w:ascii="宋体" w:hAnsi="宋体" w:eastAsia="宋体" w:cs="宋体"/>
                <w:spacing w:val="6"/>
              </w:rPr>
              <w:t>台无人机，计</w:t>
            </w:r>
            <w:r>
              <w:rPr>
                <w:rFonts w:hint="eastAsia" w:ascii="宋体" w:hAnsi="宋体" w:eastAsia="宋体" w:cs="宋体"/>
                <w:spacing w:val="-39"/>
              </w:rPr>
              <w:t xml:space="preserve"> </w:t>
            </w:r>
            <w:r>
              <w:rPr>
                <w:rFonts w:hint="eastAsia" w:ascii="宋体" w:hAnsi="宋体" w:eastAsia="宋体" w:cs="宋体"/>
                <w:spacing w:val="6"/>
              </w:rPr>
              <w:t>0.5</w:t>
            </w:r>
            <w:r>
              <w:rPr>
                <w:rFonts w:hint="eastAsia" w:ascii="宋体" w:hAnsi="宋体" w:eastAsia="宋体" w:cs="宋体"/>
                <w:spacing w:val="16"/>
              </w:rPr>
              <w:t xml:space="preserve"> </w:t>
            </w:r>
            <w:r>
              <w:rPr>
                <w:rFonts w:hint="eastAsia" w:ascii="宋体" w:hAnsi="宋体" w:eastAsia="宋体" w:cs="宋体"/>
                <w:spacing w:val="6"/>
              </w:rPr>
              <w:t>分</w:t>
            </w:r>
            <w:r>
              <w:rPr>
                <w:rFonts w:hint="eastAsia" w:ascii="宋体" w:hAnsi="宋体" w:eastAsia="宋体" w:cs="宋体"/>
                <w:spacing w:val="5"/>
              </w:rPr>
              <w:t>；具备常态化作业能力，</w:t>
            </w:r>
            <w:r>
              <w:rPr>
                <w:rFonts w:hint="eastAsia" w:ascii="宋体" w:hAnsi="宋体" w:eastAsia="宋体" w:cs="宋体"/>
                <w:spacing w:val="3"/>
              </w:rPr>
              <w:t>计</w:t>
            </w:r>
            <w:r>
              <w:rPr>
                <w:rFonts w:hint="eastAsia" w:ascii="宋体" w:hAnsi="宋体" w:eastAsia="宋体" w:cs="宋体"/>
                <w:spacing w:val="-3"/>
              </w:rPr>
              <w:t xml:space="preserve"> </w:t>
            </w:r>
            <w:r>
              <w:rPr>
                <w:rFonts w:hint="eastAsia" w:ascii="宋体" w:hAnsi="宋体" w:eastAsia="宋体" w:cs="宋体"/>
                <w:spacing w:val="3"/>
              </w:rPr>
              <w:t>1 分。（</w:t>
            </w:r>
            <w:r>
              <w:rPr>
                <w:rFonts w:hint="eastAsia" w:ascii="宋体" w:hAnsi="宋体" w:eastAsia="宋体" w:cs="宋体"/>
                <w:spacing w:val="-35"/>
              </w:rPr>
              <w:t xml:space="preserve"> </w:t>
            </w:r>
            <w:r>
              <w:rPr>
                <w:rFonts w:hint="eastAsia" w:ascii="宋体" w:hAnsi="宋体" w:eastAsia="宋体" w:cs="宋体"/>
                <w:spacing w:val="3"/>
              </w:rPr>
              <w:t>由参加遴选的承保机构提供设备归属证明资料、功能说明和在</w:t>
            </w:r>
            <w:r>
              <w:rPr>
                <w:rFonts w:hint="eastAsia" w:ascii="宋体" w:hAnsi="宋体" w:eastAsia="宋体" w:cs="宋体"/>
                <w:spacing w:val="2"/>
              </w:rPr>
              <w:t>遴选区域所在市州的应用案例，应用时间应在</w:t>
            </w:r>
            <w:r>
              <w:rPr>
                <w:rFonts w:hint="eastAsia" w:ascii="宋体" w:hAnsi="宋体" w:eastAsia="宋体" w:cs="宋体"/>
                <w:spacing w:val="-42"/>
              </w:rPr>
              <w:t xml:space="preserve"> </w:t>
            </w:r>
            <w:r>
              <w:rPr>
                <w:rFonts w:hint="eastAsia" w:ascii="宋体" w:hAnsi="宋体" w:eastAsia="宋体" w:cs="宋体"/>
                <w:spacing w:val="1"/>
              </w:rPr>
              <w:t>2025</w:t>
            </w:r>
            <w:r>
              <w:rPr>
                <w:rFonts w:hint="eastAsia" w:ascii="宋体" w:hAnsi="宋体" w:eastAsia="宋体" w:cs="宋体"/>
                <w:spacing w:val="14"/>
              </w:rPr>
              <w:t xml:space="preserve"> </w:t>
            </w:r>
            <w:r>
              <w:rPr>
                <w:rFonts w:hint="eastAsia" w:ascii="宋体" w:hAnsi="宋体" w:eastAsia="宋体" w:cs="宋体"/>
                <w:spacing w:val="1"/>
              </w:rPr>
              <w:t>年9</w:t>
            </w:r>
            <w:r>
              <w:rPr>
                <w:rFonts w:hint="eastAsia" w:ascii="宋体" w:hAnsi="宋体" w:eastAsia="宋体" w:cs="宋体"/>
                <w:spacing w:val="20"/>
              </w:rPr>
              <w:t xml:space="preserve"> </w:t>
            </w:r>
            <w:r>
              <w:rPr>
                <w:rFonts w:hint="eastAsia" w:ascii="宋体" w:hAnsi="宋体" w:eastAsia="宋体" w:cs="宋体"/>
                <w:spacing w:val="1"/>
              </w:rPr>
              <w:t>月</w:t>
            </w:r>
            <w:r>
              <w:rPr>
                <w:rFonts w:hint="eastAsia" w:ascii="宋体" w:hAnsi="宋体" w:eastAsia="宋体" w:cs="宋体"/>
                <w:spacing w:val="-38"/>
              </w:rPr>
              <w:t xml:space="preserve"> </w:t>
            </w:r>
            <w:r>
              <w:rPr>
                <w:rFonts w:hint="eastAsia" w:ascii="宋体" w:hAnsi="宋体" w:eastAsia="宋体" w:cs="宋体"/>
                <w:spacing w:val="1"/>
              </w:rPr>
              <w:t>30  日前，下同）</w:t>
            </w:r>
          </w:p>
          <w:p w14:paraId="2F1AD781">
            <w:pPr>
              <w:pStyle w:val="29"/>
              <w:widowControl/>
              <w:spacing w:before="4" w:line="276" w:lineRule="auto"/>
              <w:ind w:left="116" w:right="106" w:hanging="8"/>
              <w:rPr>
                <w:rFonts w:hint="eastAsia" w:ascii="宋体" w:hAnsi="宋体" w:eastAsia="宋体" w:cs="宋体"/>
              </w:rPr>
            </w:pPr>
            <w:r>
              <w:rPr>
                <w:rFonts w:hint="eastAsia" w:ascii="宋体" w:hAnsi="宋体" w:eastAsia="宋体" w:cs="宋体"/>
                <w:spacing w:val="7"/>
              </w:rPr>
              <w:t>2.</w:t>
            </w:r>
            <w:r>
              <w:rPr>
                <w:rFonts w:hint="eastAsia" w:ascii="宋体" w:hAnsi="宋体" w:eastAsia="宋体" w:cs="宋体"/>
              </w:rPr>
              <w:t>AI</w:t>
            </w:r>
            <w:r>
              <w:rPr>
                <w:rFonts w:hint="eastAsia" w:ascii="宋体" w:hAnsi="宋体" w:eastAsia="宋体" w:cs="宋体"/>
                <w:spacing w:val="7"/>
              </w:rPr>
              <w:t xml:space="preserve"> 智能点数工具配备到人，计</w:t>
            </w:r>
            <w:r>
              <w:rPr>
                <w:rFonts w:hint="eastAsia" w:ascii="宋体" w:hAnsi="宋体" w:eastAsia="宋体" w:cs="宋体"/>
                <w:spacing w:val="-38"/>
              </w:rPr>
              <w:t xml:space="preserve"> </w:t>
            </w:r>
            <w:r>
              <w:rPr>
                <w:rFonts w:hint="eastAsia" w:ascii="宋体" w:hAnsi="宋体" w:eastAsia="宋体" w:cs="宋体"/>
                <w:spacing w:val="7"/>
              </w:rPr>
              <w:t>0.5 分；有遴选区域内养殖场的实际</w:t>
            </w:r>
            <w:r>
              <w:rPr>
                <w:rFonts w:hint="eastAsia" w:ascii="宋体" w:hAnsi="宋体" w:eastAsia="宋体" w:cs="宋体"/>
                <w:spacing w:val="6"/>
              </w:rPr>
              <w:t>应用</w:t>
            </w:r>
            <w:r>
              <w:rPr>
                <w:rFonts w:hint="eastAsia" w:ascii="宋体" w:hAnsi="宋体" w:eastAsia="宋体" w:cs="宋体"/>
                <w:spacing w:val="3"/>
              </w:rPr>
              <w:t>案例，计</w:t>
            </w:r>
            <w:r>
              <w:rPr>
                <w:rFonts w:hint="eastAsia" w:ascii="宋体" w:hAnsi="宋体" w:eastAsia="宋体" w:cs="宋体"/>
                <w:spacing w:val="-8"/>
              </w:rPr>
              <w:t xml:space="preserve"> </w:t>
            </w:r>
            <w:r>
              <w:rPr>
                <w:rFonts w:hint="eastAsia" w:ascii="宋体" w:hAnsi="宋体" w:eastAsia="宋体" w:cs="宋体"/>
                <w:spacing w:val="3"/>
              </w:rPr>
              <w:t>1 分。（</w:t>
            </w:r>
            <w:r>
              <w:rPr>
                <w:rFonts w:hint="eastAsia" w:ascii="宋体" w:hAnsi="宋体" w:eastAsia="宋体" w:cs="宋体"/>
                <w:spacing w:val="-35"/>
              </w:rPr>
              <w:t xml:space="preserve"> </w:t>
            </w:r>
            <w:r>
              <w:rPr>
                <w:rFonts w:hint="eastAsia" w:ascii="宋体" w:hAnsi="宋体" w:eastAsia="宋体" w:cs="宋体"/>
                <w:spacing w:val="3"/>
              </w:rPr>
              <w:t>由参加遴选的承保机构提供设备归属证明资料、功能说</w:t>
            </w:r>
            <w:r>
              <w:rPr>
                <w:rFonts w:hint="eastAsia" w:ascii="宋体" w:hAnsi="宋体" w:eastAsia="宋体" w:cs="宋体"/>
                <w:spacing w:val="8"/>
              </w:rPr>
              <w:t>明和在遴选区域所在市州的应用案例）</w:t>
            </w:r>
          </w:p>
          <w:p w14:paraId="4A6AD7A0">
            <w:pPr>
              <w:pStyle w:val="29"/>
              <w:widowControl/>
              <w:spacing w:before="39" w:line="276" w:lineRule="auto"/>
              <w:ind w:left="115" w:right="110" w:hanging="2"/>
              <w:rPr>
                <w:rFonts w:hint="eastAsia" w:ascii="宋体" w:hAnsi="宋体" w:eastAsia="宋体" w:cs="宋体"/>
              </w:rPr>
            </w:pPr>
            <w:r>
              <w:rPr>
                <w:rFonts w:hint="eastAsia" w:ascii="宋体" w:hAnsi="宋体" w:eastAsia="宋体" w:cs="宋体"/>
                <w:spacing w:val="9"/>
              </w:rPr>
              <w:t>3.线上化投保理赔全流程服务须支持农险投保理赔信息采集及录入、告</w:t>
            </w:r>
            <w:r>
              <w:rPr>
                <w:rFonts w:hint="eastAsia" w:ascii="宋体" w:hAnsi="宋体" w:eastAsia="宋体" w:cs="宋体"/>
                <w:spacing w:val="5"/>
              </w:rPr>
              <w:t>知、公示、缴费、出单、支付等全流程线上化，计</w:t>
            </w:r>
            <w:r>
              <w:rPr>
                <w:rFonts w:hint="eastAsia" w:ascii="宋体" w:hAnsi="宋体" w:eastAsia="宋体" w:cs="宋体"/>
                <w:spacing w:val="-9"/>
              </w:rPr>
              <w:t xml:space="preserve"> </w:t>
            </w:r>
            <w:r>
              <w:rPr>
                <w:rFonts w:hint="eastAsia" w:ascii="宋体" w:hAnsi="宋体" w:eastAsia="宋体" w:cs="宋体"/>
                <w:spacing w:val="5"/>
              </w:rPr>
              <w:t>1 分。（需提供农险线</w:t>
            </w:r>
            <w:r>
              <w:rPr>
                <w:rFonts w:hint="eastAsia" w:ascii="宋体" w:hAnsi="宋体" w:eastAsia="宋体" w:cs="宋体"/>
                <w:spacing w:val="8"/>
              </w:rPr>
              <w:t>上化</w:t>
            </w:r>
            <w:r>
              <w:rPr>
                <w:rFonts w:hint="eastAsia" w:ascii="宋体" w:hAnsi="宋体" w:eastAsia="宋体" w:cs="宋体"/>
                <w:spacing w:val="-36"/>
              </w:rPr>
              <w:t xml:space="preserve"> </w:t>
            </w:r>
            <w:r>
              <w:rPr>
                <w:rFonts w:hint="eastAsia" w:ascii="宋体" w:hAnsi="宋体" w:eastAsia="宋体" w:cs="宋体"/>
              </w:rPr>
              <w:t>APP</w:t>
            </w:r>
            <w:r>
              <w:rPr>
                <w:rFonts w:hint="eastAsia" w:ascii="宋体" w:hAnsi="宋体" w:eastAsia="宋体" w:cs="宋体"/>
                <w:spacing w:val="18"/>
              </w:rPr>
              <w:t xml:space="preserve"> </w:t>
            </w:r>
            <w:r>
              <w:rPr>
                <w:rFonts w:hint="eastAsia" w:ascii="宋体" w:hAnsi="宋体" w:eastAsia="宋体" w:cs="宋体"/>
                <w:spacing w:val="8"/>
              </w:rPr>
              <w:t>截图、流程操作截图）</w:t>
            </w:r>
          </w:p>
          <w:p w14:paraId="5FC7674B">
            <w:pPr>
              <w:pStyle w:val="29"/>
              <w:widowControl/>
              <w:spacing w:before="38" w:line="276" w:lineRule="auto"/>
              <w:ind w:left="116" w:right="106" w:hanging="9"/>
              <w:rPr>
                <w:rFonts w:hint="eastAsia" w:ascii="宋体" w:hAnsi="宋体" w:eastAsia="宋体" w:cs="宋体"/>
              </w:rPr>
            </w:pPr>
            <w:r>
              <w:rPr>
                <w:rFonts w:hint="eastAsia" w:ascii="宋体" w:hAnsi="宋体" w:eastAsia="宋体" w:cs="宋体"/>
                <w:spacing w:val="8"/>
              </w:rPr>
              <w:t>4.风险减量管理服务，建立的气象、地质、病虫害等各类灾害预警防治平台计</w:t>
            </w:r>
            <w:r>
              <w:rPr>
                <w:rFonts w:hint="eastAsia" w:ascii="宋体" w:hAnsi="宋体" w:eastAsia="宋体" w:cs="宋体"/>
                <w:spacing w:val="-21"/>
              </w:rPr>
              <w:t xml:space="preserve"> </w:t>
            </w:r>
            <w:r>
              <w:rPr>
                <w:rFonts w:hint="eastAsia" w:ascii="宋体" w:hAnsi="宋体" w:eastAsia="宋体" w:cs="宋体"/>
                <w:spacing w:val="8"/>
              </w:rPr>
              <w:t>1 分，常态化应用计</w:t>
            </w:r>
            <w:r>
              <w:rPr>
                <w:rFonts w:hint="eastAsia" w:ascii="宋体" w:hAnsi="宋体" w:eastAsia="宋体" w:cs="宋体"/>
                <w:spacing w:val="-23"/>
              </w:rPr>
              <w:t xml:space="preserve"> </w:t>
            </w:r>
            <w:r>
              <w:rPr>
                <w:rFonts w:hint="eastAsia" w:ascii="宋体" w:hAnsi="宋体" w:eastAsia="宋体" w:cs="宋体"/>
                <w:spacing w:val="8"/>
              </w:rPr>
              <w:t>1 分。（需提供相</w:t>
            </w:r>
            <w:r>
              <w:rPr>
                <w:rFonts w:hint="eastAsia" w:ascii="宋体" w:hAnsi="宋体" w:eastAsia="宋体" w:cs="宋体"/>
                <w:spacing w:val="7"/>
              </w:rPr>
              <w:t>关</w:t>
            </w:r>
            <w:r>
              <w:rPr>
                <w:rFonts w:hint="eastAsia" w:ascii="宋体" w:hAnsi="宋体" w:eastAsia="宋体" w:cs="宋体"/>
                <w:spacing w:val="-45"/>
              </w:rPr>
              <w:t xml:space="preserve"> </w:t>
            </w:r>
            <w:r>
              <w:rPr>
                <w:rFonts w:hint="eastAsia" w:ascii="宋体" w:hAnsi="宋体" w:eastAsia="宋体" w:cs="宋体"/>
              </w:rPr>
              <w:t>APP</w:t>
            </w:r>
            <w:r>
              <w:rPr>
                <w:rFonts w:hint="eastAsia" w:ascii="宋体" w:hAnsi="宋体" w:eastAsia="宋体" w:cs="宋体"/>
                <w:spacing w:val="7"/>
              </w:rPr>
              <w:t>、系统截图，技术服</w:t>
            </w:r>
            <w:r>
              <w:rPr>
                <w:rFonts w:hint="eastAsia" w:ascii="宋体" w:hAnsi="宋体" w:eastAsia="宋体" w:cs="宋体"/>
                <w:spacing w:val="9"/>
              </w:rPr>
              <w:t>务证明材料、在遴选区域所在市州的应用案例）</w:t>
            </w:r>
          </w:p>
          <w:p w14:paraId="7324FBA9">
            <w:pPr>
              <w:pStyle w:val="29"/>
              <w:widowControl/>
              <w:spacing w:before="68" w:line="273" w:lineRule="auto"/>
              <w:ind w:left="117" w:right="112" w:hanging="3"/>
              <w:rPr>
                <w:rFonts w:hint="eastAsia" w:ascii="宋体" w:hAnsi="宋体" w:eastAsia="宋体" w:cs="宋体"/>
              </w:rPr>
            </w:pPr>
            <w:r>
              <w:rPr>
                <w:rFonts w:hint="eastAsia" w:ascii="宋体" w:hAnsi="宋体" w:eastAsia="宋体" w:cs="宋体"/>
                <w:spacing w:val="8"/>
              </w:rPr>
              <w:t>5.客户信息真实性校验需能实现投保人身份证件、</w:t>
            </w:r>
            <w:r>
              <w:rPr>
                <w:rFonts w:hint="eastAsia" w:ascii="宋体" w:hAnsi="宋体" w:eastAsia="宋体" w:cs="宋体"/>
                <w:spacing w:val="7"/>
              </w:rPr>
              <w:t>银行卡实名校验功能，计</w:t>
            </w:r>
            <w:r>
              <w:rPr>
                <w:rFonts w:hint="eastAsia" w:ascii="宋体" w:hAnsi="宋体" w:eastAsia="宋体" w:cs="宋体"/>
                <w:spacing w:val="-10"/>
              </w:rPr>
              <w:t xml:space="preserve"> </w:t>
            </w:r>
            <w:r>
              <w:rPr>
                <w:rFonts w:hint="eastAsia" w:ascii="宋体" w:hAnsi="宋体" w:eastAsia="宋体" w:cs="宋体"/>
                <w:spacing w:val="7"/>
              </w:rPr>
              <w:t>1 分。（需提供服务证明材料、检测流程截图）</w:t>
            </w:r>
          </w:p>
          <w:p w14:paraId="4065169F">
            <w:pPr>
              <w:pStyle w:val="29"/>
              <w:widowControl/>
              <w:spacing w:before="2" w:line="277" w:lineRule="auto"/>
              <w:ind w:left="108" w:right="55" w:firstLine="4"/>
              <w:rPr>
                <w:rFonts w:hint="eastAsia" w:ascii="宋体" w:hAnsi="宋体" w:eastAsia="宋体" w:cs="宋体"/>
              </w:rPr>
            </w:pPr>
            <w:r>
              <w:rPr>
                <w:rFonts w:hint="eastAsia" w:ascii="宋体" w:hAnsi="宋体" w:eastAsia="宋体" w:cs="宋体"/>
                <w:spacing w:val="8"/>
              </w:rPr>
              <w:t>6.高精度勾图能力主要是指农险地块信息建设能力，能做到一人</w:t>
            </w:r>
            <w:r>
              <w:rPr>
                <w:rFonts w:hint="eastAsia" w:ascii="宋体" w:hAnsi="宋体" w:eastAsia="宋体" w:cs="宋体"/>
                <w:spacing w:val="7"/>
              </w:rPr>
              <w:t>一地的得2 分；仅能按保单勾画地图,无法对应到人的得</w:t>
            </w:r>
            <w:r>
              <w:rPr>
                <w:rFonts w:hint="eastAsia" w:ascii="宋体" w:hAnsi="宋体" w:eastAsia="宋体" w:cs="宋体"/>
                <w:spacing w:val="-22"/>
              </w:rPr>
              <w:t xml:space="preserve"> </w:t>
            </w:r>
            <w:r>
              <w:rPr>
                <w:rFonts w:hint="eastAsia" w:ascii="宋体" w:hAnsi="宋体" w:eastAsia="宋体" w:cs="宋体"/>
                <w:spacing w:val="7"/>
              </w:rPr>
              <w:t>1 分；无法勾图</w:t>
            </w:r>
            <w:r>
              <w:rPr>
                <w:rFonts w:hint="eastAsia" w:ascii="宋体" w:hAnsi="宋体" w:eastAsia="宋体" w:cs="宋体"/>
                <w:spacing w:val="6"/>
              </w:rPr>
              <w:t>的不得分。</w:t>
            </w:r>
            <w:r>
              <w:rPr>
                <w:rFonts w:hint="eastAsia" w:ascii="宋体" w:hAnsi="宋体" w:eastAsia="宋体" w:cs="宋体"/>
              </w:rPr>
              <w:t xml:space="preserve"> </w:t>
            </w:r>
            <w:r>
              <w:rPr>
                <w:rFonts w:hint="eastAsia" w:ascii="宋体" w:hAnsi="宋体" w:eastAsia="宋体" w:cs="宋体"/>
                <w:spacing w:val="9"/>
              </w:rPr>
              <w:t>（需提供勾图系统功能介绍、勾图界面截图）</w:t>
            </w:r>
          </w:p>
          <w:p w14:paraId="13C28858">
            <w:pPr>
              <w:pStyle w:val="29"/>
              <w:widowControl/>
              <w:spacing w:before="68" w:line="272" w:lineRule="auto"/>
              <w:ind w:left="122" w:right="7" w:hanging="10"/>
              <w:rPr>
                <w:rFonts w:hint="eastAsia" w:ascii="宋体" w:hAnsi="宋体" w:eastAsia="宋体" w:cs="宋体"/>
              </w:rPr>
            </w:pPr>
            <w:r>
              <w:rPr>
                <w:rFonts w:hint="eastAsia" w:ascii="宋体" w:hAnsi="宋体" w:eastAsia="宋体" w:cs="宋体"/>
                <w:spacing w:val="8"/>
              </w:rPr>
              <w:t>7.卫星遥感及</w:t>
            </w:r>
            <w:r>
              <w:rPr>
                <w:rFonts w:hint="eastAsia" w:ascii="宋体" w:hAnsi="宋体" w:eastAsia="宋体" w:cs="宋体"/>
                <w:spacing w:val="-24"/>
              </w:rPr>
              <w:t xml:space="preserve"> </w:t>
            </w:r>
            <w:r>
              <w:rPr>
                <w:rFonts w:hint="eastAsia" w:ascii="宋体" w:hAnsi="宋体" w:eastAsia="宋体" w:cs="宋体"/>
                <w:spacing w:val="8"/>
              </w:rPr>
              <w:t>3S</w:t>
            </w:r>
            <w:r>
              <w:rPr>
                <w:rFonts w:hint="eastAsia" w:ascii="宋体" w:hAnsi="宋体" w:eastAsia="宋体" w:cs="宋体"/>
                <w:spacing w:val="17"/>
              </w:rPr>
              <w:t xml:space="preserve"> </w:t>
            </w:r>
            <w:r>
              <w:rPr>
                <w:rFonts w:hint="eastAsia" w:ascii="宋体" w:hAnsi="宋体" w:eastAsia="宋体" w:cs="宋体"/>
                <w:spacing w:val="8"/>
              </w:rPr>
              <w:t>技术需满足位置定位、面积检测、作物识别、灾害识别</w:t>
            </w:r>
            <w:r>
              <w:rPr>
                <w:rFonts w:hint="eastAsia" w:ascii="宋体" w:hAnsi="宋体" w:eastAsia="宋体" w:cs="宋体"/>
                <w:spacing w:val="4"/>
              </w:rPr>
              <w:t>等功能，每项功能计</w:t>
            </w:r>
            <w:r>
              <w:rPr>
                <w:rFonts w:hint="eastAsia" w:ascii="宋体" w:hAnsi="宋体" w:eastAsia="宋体" w:cs="宋体"/>
                <w:spacing w:val="-39"/>
              </w:rPr>
              <w:t xml:space="preserve"> </w:t>
            </w:r>
            <w:r>
              <w:rPr>
                <w:rFonts w:hint="eastAsia" w:ascii="宋体" w:hAnsi="宋体" w:eastAsia="宋体" w:cs="宋体"/>
                <w:spacing w:val="4"/>
              </w:rPr>
              <w:t>0.5 分。（需提供技术服务证明材料、检测流程截图）</w:t>
            </w:r>
          </w:p>
        </w:tc>
      </w:tr>
    </w:tbl>
    <w:p w14:paraId="0A3F853B">
      <w:pPr>
        <w:pStyle w:val="17"/>
        <w:jc w:val="center"/>
        <w:rPr>
          <w:rFonts w:hint="eastAsia" w:ascii="宋体" w:hAnsi="宋体" w:eastAsia="宋体" w:cs="宋体"/>
        </w:rPr>
      </w:pPr>
    </w:p>
    <w:p w14:paraId="3F6CC88B">
      <w:pPr>
        <w:pStyle w:val="17"/>
        <w:jc w:val="center"/>
        <w:rPr>
          <w:rFonts w:hint="eastAsia" w:ascii="宋体" w:hAnsi="宋体" w:eastAsia="宋体" w:cs="宋体"/>
        </w:rPr>
      </w:pPr>
    </w:p>
    <w:p w14:paraId="53ED44B2">
      <w:pPr>
        <w:pStyle w:val="17"/>
        <w:jc w:val="center"/>
        <w:rPr>
          <w:rFonts w:hint="eastAsia" w:ascii="宋体" w:hAnsi="宋体" w:eastAsia="宋体" w:cs="宋体"/>
        </w:rPr>
      </w:pPr>
    </w:p>
    <w:p w14:paraId="54FEE27B">
      <w:pPr>
        <w:pStyle w:val="17"/>
        <w:jc w:val="center"/>
        <w:rPr>
          <w:rFonts w:hint="eastAsia" w:ascii="宋体" w:hAnsi="宋体" w:eastAsia="宋体" w:cs="宋体"/>
        </w:rPr>
      </w:pPr>
    </w:p>
    <w:p w14:paraId="2D14F7C4">
      <w:pPr>
        <w:pStyle w:val="17"/>
        <w:jc w:val="center"/>
        <w:rPr>
          <w:rFonts w:hint="eastAsia" w:ascii="宋体" w:hAnsi="宋体" w:eastAsia="宋体" w:cs="宋体"/>
        </w:rPr>
      </w:pPr>
    </w:p>
    <w:p w14:paraId="7ABA44CC">
      <w:pPr>
        <w:pStyle w:val="17"/>
        <w:jc w:val="center"/>
        <w:rPr>
          <w:rFonts w:hint="eastAsia" w:ascii="宋体" w:hAnsi="宋体" w:eastAsia="宋体" w:cs="宋体"/>
        </w:rPr>
      </w:pPr>
    </w:p>
    <w:p w14:paraId="4BBAFE6E">
      <w:pPr>
        <w:pStyle w:val="17"/>
        <w:jc w:val="center"/>
        <w:rPr>
          <w:rFonts w:hint="eastAsia" w:ascii="宋体" w:hAnsi="宋体" w:eastAsia="宋体" w:cs="宋体"/>
        </w:rPr>
      </w:pPr>
    </w:p>
    <w:tbl>
      <w:tblPr>
        <w:tblStyle w:val="25"/>
        <w:tblW w:w="13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1020"/>
        <w:gridCol w:w="591"/>
        <w:gridCol w:w="4394"/>
        <w:gridCol w:w="644"/>
        <w:gridCol w:w="5919"/>
        <w:gridCol w:w="36"/>
      </w:tblGrid>
      <w:tr w14:paraId="42561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649" w:hRule="atLeast"/>
          <w:jc w:val="center"/>
        </w:trPr>
        <w:tc>
          <w:tcPr>
            <w:tcW w:w="924" w:type="dxa"/>
            <w:vAlign w:val="top"/>
          </w:tcPr>
          <w:p w14:paraId="179CE4EF">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2D203114">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20" w:type="dxa"/>
            <w:vAlign w:val="top"/>
          </w:tcPr>
          <w:p w14:paraId="4333D3B6">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254FAF2F">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91" w:type="dxa"/>
            <w:vAlign w:val="top"/>
          </w:tcPr>
          <w:p w14:paraId="3E78D54E">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4394" w:type="dxa"/>
            <w:vAlign w:val="top"/>
          </w:tcPr>
          <w:p w14:paraId="63469040">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6563" w:type="dxa"/>
            <w:gridSpan w:val="2"/>
            <w:vAlign w:val="top"/>
          </w:tcPr>
          <w:p w14:paraId="4DD6FA2A">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55F07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3345" w:hRule="atLeast"/>
          <w:jc w:val="center"/>
        </w:trPr>
        <w:tc>
          <w:tcPr>
            <w:tcW w:w="924" w:type="dxa"/>
            <w:vMerge w:val="restart"/>
            <w:vAlign w:val="top"/>
          </w:tcPr>
          <w:p w14:paraId="03CB40D9">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4CAA2D7C">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F11F4D9">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27CE8B47">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050FE7B8">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12F5D56">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4B8F9A8B">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52BB03D1">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3B6A5E6">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p w14:paraId="03447775">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A7D354E">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21836D5A">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D54230A">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38FBCF1">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75C16BD">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72FA8588">
            <w:pPr>
              <w:pStyle w:val="29"/>
              <w:widowControl/>
              <w:spacing w:before="65" w:line="295" w:lineRule="auto"/>
              <w:ind w:left="133" w:right="124" w:firstLine="28"/>
              <w:jc w:val="both"/>
              <w:rPr>
                <w:rFonts w:hint="eastAsia" w:ascii="宋体" w:hAnsi="宋体" w:eastAsia="宋体" w:cs="宋体"/>
              </w:rPr>
            </w:pPr>
          </w:p>
        </w:tc>
        <w:tc>
          <w:tcPr>
            <w:tcW w:w="1020" w:type="dxa"/>
            <w:vAlign w:val="top"/>
          </w:tcPr>
          <w:p w14:paraId="47D96F56">
            <w:pPr>
              <w:pStyle w:val="29"/>
              <w:widowControl/>
              <w:spacing w:before="65" w:line="294" w:lineRule="auto"/>
              <w:ind w:left="183" w:leftChars="0" w:right="170" w:rightChars="0"/>
              <w:jc w:val="both"/>
              <w:rPr>
                <w:rFonts w:hint="eastAsia" w:ascii="宋体" w:hAnsi="宋体" w:eastAsia="宋体" w:cs="宋体"/>
                <w:b/>
                <w:bCs/>
                <w:spacing w:val="3"/>
              </w:rPr>
            </w:pPr>
            <w:r>
              <w:rPr>
                <w:rFonts w:hint="eastAsia" w:ascii="宋体" w:hAnsi="宋体" w:eastAsia="宋体" w:cs="宋体"/>
                <w:spacing w:val="7"/>
              </w:rPr>
              <w:t>基础</w:t>
            </w:r>
            <w:r>
              <w:rPr>
                <w:rFonts w:hint="eastAsia" w:ascii="宋体" w:hAnsi="宋体" w:eastAsia="宋体" w:cs="宋体"/>
                <w:spacing w:val="8"/>
              </w:rPr>
              <w:t>信息</w:t>
            </w:r>
            <w:r>
              <w:rPr>
                <w:rFonts w:hint="eastAsia" w:ascii="宋体" w:hAnsi="宋体" w:eastAsia="宋体" w:cs="宋体"/>
                <w:spacing w:val="9"/>
              </w:rPr>
              <w:t>质量</w:t>
            </w:r>
            <w:r>
              <w:rPr>
                <w:rFonts w:hint="eastAsia" w:ascii="宋体" w:hAnsi="宋体" w:eastAsia="宋体" w:cs="宋体"/>
                <w:snapToGrid w:val="0"/>
                <w:color w:val="000000"/>
                <w:kern w:val="0"/>
                <w:position w:val="2"/>
                <w:sz w:val="20"/>
                <w:szCs w:val="20"/>
                <w:lang w:eastAsia="en-US"/>
              </w:rPr>
              <w:t>2</w:t>
            </w:r>
            <w:r>
              <w:rPr>
                <w:rFonts w:hint="eastAsia" w:ascii="宋体" w:hAnsi="宋体" w:eastAsia="宋体" w:cs="宋体"/>
                <w:snapToGrid w:val="0"/>
                <w:color w:val="000000"/>
                <w:kern w:val="0"/>
                <w:position w:val="2"/>
                <w:sz w:val="20"/>
                <w:szCs w:val="20"/>
                <w:lang w:val="en-US" w:eastAsia="zh-CN"/>
              </w:rPr>
              <w:t>分</w:t>
            </w:r>
          </w:p>
        </w:tc>
        <w:tc>
          <w:tcPr>
            <w:tcW w:w="591" w:type="dxa"/>
            <w:vAlign w:val="top"/>
          </w:tcPr>
          <w:p w14:paraId="3114775F">
            <w:pPr>
              <w:widowControl/>
              <w:kinsoku w:val="0"/>
              <w:autoSpaceDE w:val="0"/>
              <w:autoSpaceDN w:val="0"/>
              <w:adjustRightInd w:val="0"/>
              <w:snapToGrid w:val="0"/>
              <w:spacing w:before="58" w:line="275"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4394" w:type="dxa"/>
            <w:vAlign w:val="top"/>
          </w:tcPr>
          <w:p w14:paraId="62464BEF">
            <w:pPr>
              <w:pStyle w:val="29"/>
              <w:widowControl/>
              <w:spacing w:before="65" w:line="289" w:lineRule="auto"/>
              <w:ind w:right="105" w:rightChars="0"/>
              <w:jc w:val="both"/>
              <w:rPr>
                <w:rFonts w:hint="eastAsia" w:ascii="宋体" w:hAnsi="宋体" w:eastAsia="宋体" w:cs="宋体"/>
                <w:b/>
                <w:bCs/>
                <w:spacing w:val="-1"/>
              </w:rPr>
            </w:pPr>
            <w:r>
              <w:rPr>
                <w:rFonts w:hint="eastAsia" w:ascii="宋体" w:hAnsi="宋体" w:eastAsia="宋体" w:cs="宋体"/>
                <w:spacing w:val="8"/>
              </w:rPr>
              <w:t>集体投保身份准确率：参选机构所属省公司全省范围内中</w:t>
            </w:r>
            <w:r>
              <w:rPr>
                <w:rFonts w:hint="eastAsia" w:ascii="宋体" w:hAnsi="宋体" w:eastAsia="宋体" w:cs="宋体"/>
                <w:spacing w:val="7"/>
              </w:rPr>
              <w:t>央品种</w:t>
            </w:r>
            <w:r>
              <w:rPr>
                <w:rFonts w:hint="eastAsia" w:ascii="宋体" w:hAnsi="宋体" w:eastAsia="宋体" w:cs="宋体"/>
                <w:spacing w:val="8"/>
              </w:rPr>
              <w:t>保单级身份证号去重，再按照身份证规则统计符合身份证号，集</w:t>
            </w:r>
            <w:r>
              <w:rPr>
                <w:rFonts w:hint="eastAsia" w:ascii="宋体" w:hAnsi="宋体" w:eastAsia="宋体" w:cs="宋体"/>
                <w:spacing w:val="9"/>
              </w:rPr>
              <w:t>体投保身份准确率=符合编码规则农户户次/集体投保农户总户</w:t>
            </w:r>
            <w:r>
              <w:rPr>
                <w:rFonts w:hint="eastAsia" w:ascii="宋体" w:hAnsi="宋体" w:eastAsia="宋体" w:cs="宋体"/>
                <w:spacing w:val="4"/>
              </w:rPr>
              <w:t xml:space="preserve"> </w:t>
            </w:r>
            <w:r>
              <w:rPr>
                <w:rFonts w:hint="eastAsia" w:ascii="宋体" w:hAnsi="宋体" w:eastAsia="宋体" w:cs="宋体"/>
                <w:spacing w:val="8"/>
              </w:rPr>
              <w:t>次。以参加遴选的承保机构准确率最高值为评审基准值，该承保机构得满分。其他参加遴选的承保机构按照下列公式计算：得分</w:t>
            </w:r>
            <w:r>
              <w:rPr>
                <w:rFonts w:hint="eastAsia" w:ascii="宋体" w:hAnsi="宋体" w:eastAsia="宋体" w:cs="宋体"/>
                <w:spacing w:val="4"/>
              </w:rPr>
              <w:t xml:space="preserve"> </w:t>
            </w:r>
            <w:r>
              <w:rPr>
                <w:rFonts w:hint="eastAsia" w:ascii="宋体" w:hAnsi="宋体" w:eastAsia="宋体" w:cs="宋体"/>
                <w:spacing w:val="8"/>
              </w:rPr>
              <w:t>=其他参加遴选的集体投保身份准确率/评审基准值×2 分。</w:t>
            </w:r>
          </w:p>
        </w:tc>
        <w:tc>
          <w:tcPr>
            <w:tcW w:w="6563" w:type="dxa"/>
            <w:gridSpan w:val="2"/>
            <w:vAlign w:val="top"/>
          </w:tcPr>
          <w:p w14:paraId="7F908D38">
            <w:pPr>
              <w:pStyle w:val="29"/>
              <w:widowControl/>
              <w:spacing w:before="65" w:line="288" w:lineRule="auto"/>
              <w:ind w:right="55" w:rightChars="0"/>
              <w:jc w:val="both"/>
              <w:rPr>
                <w:rFonts w:hint="eastAsia" w:ascii="宋体" w:hAnsi="宋体" w:eastAsia="宋体" w:cs="宋体"/>
                <w:b/>
                <w:bCs/>
                <w:spacing w:val="-2"/>
              </w:rPr>
            </w:pPr>
            <w:r>
              <w:rPr>
                <w:rFonts w:hint="eastAsia" w:ascii="宋体" w:hAnsi="宋体" w:eastAsia="宋体" w:cs="宋体"/>
                <w:spacing w:val="2"/>
              </w:rPr>
              <w:t>按该指标值取</w:t>
            </w:r>
            <w:r>
              <w:rPr>
                <w:rFonts w:hint="eastAsia" w:ascii="宋体" w:hAnsi="宋体" w:eastAsia="宋体" w:cs="宋体"/>
                <w:spacing w:val="-35"/>
              </w:rPr>
              <w:t xml:space="preserve"> </w:t>
            </w:r>
            <w:r>
              <w:rPr>
                <w:rFonts w:hint="eastAsia" w:ascii="宋体" w:hAnsi="宋体" w:eastAsia="宋体" w:cs="宋体"/>
                <w:spacing w:val="2"/>
              </w:rPr>
              <w:t>2025</w:t>
            </w:r>
            <w:r>
              <w:rPr>
                <w:rFonts w:hint="eastAsia" w:ascii="宋体" w:hAnsi="宋体" w:eastAsia="宋体" w:cs="宋体"/>
                <w:spacing w:val="14"/>
                <w:w w:val="101"/>
              </w:rPr>
              <w:t xml:space="preserve"> </w:t>
            </w:r>
            <w:r>
              <w:rPr>
                <w:rFonts w:hint="eastAsia" w:ascii="宋体" w:hAnsi="宋体" w:eastAsia="宋体" w:cs="宋体"/>
                <w:spacing w:val="2"/>
              </w:rPr>
              <w:t>年</w:t>
            </w:r>
            <w:r>
              <w:rPr>
                <w:rFonts w:hint="eastAsia" w:ascii="宋体" w:hAnsi="宋体" w:eastAsia="宋体" w:cs="宋体"/>
                <w:spacing w:val="-41"/>
              </w:rPr>
              <w:t xml:space="preserve"> </w:t>
            </w:r>
            <w:r>
              <w:rPr>
                <w:rFonts w:hint="eastAsia" w:ascii="宋体" w:hAnsi="宋体" w:eastAsia="宋体" w:cs="宋体"/>
                <w:spacing w:val="2"/>
              </w:rPr>
              <w:t>7</w:t>
            </w:r>
            <w:r>
              <w:rPr>
                <w:rFonts w:hint="eastAsia" w:ascii="宋体" w:hAnsi="宋体" w:eastAsia="宋体" w:cs="宋体"/>
                <w:spacing w:val="22"/>
                <w:w w:val="101"/>
              </w:rPr>
              <w:t xml:space="preserve"> </w:t>
            </w:r>
            <w:r>
              <w:rPr>
                <w:rFonts w:hint="eastAsia" w:ascii="宋体" w:hAnsi="宋体" w:eastAsia="宋体" w:cs="宋体"/>
                <w:spacing w:val="2"/>
              </w:rPr>
              <w:t>月</w:t>
            </w:r>
            <w:r>
              <w:rPr>
                <w:rFonts w:hint="eastAsia" w:ascii="宋体" w:hAnsi="宋体" w:eastAsia="宋体" w:cs="宋体"/>
                <w:spacing w:val="-24"/>
              </w:rPr>
              <w:t xml:space="preserve"> </w:t>
            </w:r>
            <w:r>
              <w:rPr>
                <w:rFonts w:hint="eastAsia" w:ascii="宋体" w:hAnsi="宋体" w:eastAsia="宋体" w:cs="宋体"/>
                <w:spacing w:val="2"/>
              </w:rPr>
              <w:t>1</w:t>
            </w:r>
            <w:r>
              <w:rPr>
                <w:rFonts w:hint="eastAsia" w:ascii="宋体" w:hAnsi="宋体" w:eastAsia="宋体" w:cs="宋体"/>
              </w:rPr>
              <w:t xml:space="preserve">  </w:t>
            </w:r>
            <w:r>
              <w:rPr>
                <w:rFonts w:hint="eastAsia" w:ascii="宋体" w:hAnsi="宋体" w:eastAsia="宋体" w:cs="宋体"/>
                <w:spacing w:val="2"/>
              </w:rPr>
              <w:t>日-12</w:t>
            </w:r>
            <w:r>
              <w:rPr>
                <w:rFonts w:hint="eastAsia" w:ascii="宋体" w:hAnsi="宋体" w:eastAsia="宋体" w:cs="宋体"/>
                <w:spacing w:val="23"/>
              </w:rPr>
              <w:t xml:space="preserve"> </w:t>
            </w:r>
            <w:r>
              <w:rPr>
                <w:rFonts w:hint="eastAsia" w:ascii="宋体" w:hAnsi="宋体" w:eastAsia="宋体" w:cs="宋体"/>
                <w:spacing w:val="2"/>
              </w:rPr>
              <w:t>月</w:t>
            </w:r>
            <w:r>
              <w:rPr>
                <w:rFonts w:hint="eastAsia" w:ascii="宋体" w:hAnsi="宋体" w:eastAsia="宋体" w:cs="宋体"/>
                <w:spacing w:val="-40"/>
              </w:rPr>
              <w:t xml:space="preserve"> </w:t>
            </w:r>
            <w:r>
              <w:rPr>
                <w:rFonts w:hint="eastAsia" w:ascii="宋体" w:hAnsi="宋体" w:eastAsia="宋体" w:cs="宋体"/>
                <w:spacing w:val="2"/>
              </w:rPr>
              <w:t>31  日数据，以金融监管部门提供为</w:t>
            </w:r>
            <w:r>
              <w:rPr>
                <w:rFonts w:hint="eastAsia" w:ascii="宋体" w:hAnsi="宋体" w:eastAsia="宋体" w:cs="宋体"/>
                <w:spacing w:val="-2"/>
              </w:rPr>
              <w:t>准。</w:t>
            </w:r>
          </w:p>
        </w:tc>
      </w:tr>
      <w:tr w14:paraId="5CB0F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4785" w:hRule="atLeast"/>
          <w:jc w:val="center"/>
        </w:trPr>
        <w:tc>
          <w:tcPr>
            <w:tcW w:w="924" w:type="dxa"/>
            <w:vMerge w:val="continue"/>
            <w:tcBorders>
              <w:bottom w:val="single" w:color="auto" w:sz="4" w:space="0"/>
            </w:tcBorders>
            <w:vAlign w:val="top"/>
          </w:tcPr>
          <w:p w14:paraId="382CE252">
            <w:pPr>
              <w:pStyle w:val="29"/>
              <w:widowControl/>
              <w:spacing w:before="65" w:line="295" w:lineRule="auto"/>
              <w:ind w:left="133" w:right="124" w:firstLine="28"/>
              <w:jc w:val="both"/>
              <w:rPr>
                <w:rFonts w:hint="eastAsia" w:ascii="宋体" w:hAnsi="宋体" w:eastAsia="宋体" w:cs="宋体"/>
              </w:rPr>
            </w:pPr>
          </w:p>
        </w:tc>
        <w:tc>
          <w:tcPr>
            <w:tcW w:w="1020" w:type="dxa"/>
            <w:tcBorders>
              <w:bottom w:val="single" w:color="auto" w:sz="4" w:space="0"/>
            </w:tcBorders>
            <w:vAlign w:val="top"/>
          </w:tcPr>
          <w:p w14:paraId="4F849878">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69E514E2">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31A6CEB6">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69E565C7">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40385517">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63744B62">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7ECBC8DE">
            <w:pPr>
              <w:pStyle w:val="29"/>
              <w:widowControl/>
              <w:spacing w:before="65" w:line="226" w:lineRule="auto"/>
              <w:rPr>
                <w:rFonts w:hint="eastAsia" w:ascii="宋体" w:hAnsi="宋体" w:eastAsia="宋体" w:cs="宋体"/>
                <w:spacing w:val="5"/>
              </w:rPr>
            </w:pPr>
            <w:r>
              <w:rPr>
                <w:rFonts w:hint="eastAsia" w:ascii="宋体" w:hAnsi="宋体" w:eastAsia="宋体" w:cs="宋体"/>
                <w:spacing w:val="5"/>
              </w:rPr>
              <w:t>历史</w:t>
            </w:r>
            <w:r>
              <w:rPr>
                <w:rFonts w:hint="eastAsia" w:ascii="宋体" w:hAnsi="宋体" w:eastAsia="宋体" w:cs="宋体"/>
                <w:spacing w:val="10"/>
              </w:rPr>
              <w:t>理赔</w:t>
            </w:r>
            <w:r>
              <w:rPr>
                <w:rFonts w:hint="eastAsia" w:ascii="宋体" w:hAnsi="宋体" w:eastAsia="宋体" w:cs="宋体"/>
                <w:spacing w:val="11"/>
              </w:rPr>
              <w:t>情况</w:t>
            </w:r>
            <w:r>
              <w:rPr>
                <w:rFonts w:hint="eastAsia" w:ascii="宋体" w:hAnsi="宋体" w:eastAsia="宋体" w:cs="宋体"/>
                <w:spacing w:val="-5"/>
              </w:rPr>
              <w:t>19</w:t>
            </w:r>
            <w:r>
              <w:rPr>
                <w:rFonts w:hint="eastAsia" w:ascii="宋体" w:hAnsi="宋体" w:eastAsia="宋体" w:cs="宋体"/>
                <w:spacing w:val="11"/>
              </w:rPr>
              <w:t xml:space="preserve"> </w:t>
            </w:r>
            <w:r>
              <w:rPr>
                <w:rFonts w:hint="eastAsia" w:ascii="宋体" w:hAnsi="宋体" w:eastAsia="宋体" w:cs="宋体"/>
                <w:spacing w:val="-5"/>
              </w:rPr>
              <w:t>分</w:t>
            </w:r>
          </w:p>
          <w:p w14:paraId="7418A461">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3CCDAC00">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435B5DD9">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76B70D3B">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39BE48A4">
            <w:pPr>
              <w:pStyle w:val="29"/>
              <w:widowControl/>
              <w:spacing w:before="65" w:line="296" w:lineRule="auto"/>
              <w:ind w:left="164" w:right="146" w:firstLine="10"/>
              <w:jc w:val="both"/>
              <w:rPr>
                <w:rFonts w:hint="eastAsia" w:ascii="宋体" w:hAnsi="宋体" w:eastAsia="宋体" w:cs="宋体"/>
              </w:rPr>
            </w:pPr>
          </w:p>
        </w:tc>
        <w:tc>
          <w:tcPr>
            <w:tcW w:w="591" w:type="dxa"/>
            <w:vAlign w:val="top"/>
          </w:tcPr>
          <w:p w14:paraId="2DA0A8B1">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3529A2E6">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5E9A6976">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0BB4F533">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33D66926">
            <w:pPr>
              <w:widowControl/>
              <w:kinsoku w:val="0"/>
              <w:autoSpaceDE w:val="0"/>
              <w:autoSpaceDN w:val="0"/>
              <w:adjustRightInd w:val="0"/>
              <w:snapToGrid w:val="0"/>
              <w:spacing w:line="251" w:lineRule="auto"/>
              <w:jc w:val="left"/>
              <w:textAlignment w:val="baseline"/>
              <w:rPr>
                <w:rFonts w:hint="eastAsia" w:ascii="宋体" w:hAnsi="宋体" w:eastAsia="宋体" w:cs="宋体"/>
                <w:snapToGrid w:val="0"/>
                <w:color w:val="000000"/>
                <w:kern w:val="0"/>
                <w:sz w:val="21"/>
                <w:szCs w:val="21"/>
                <w:lang w:eastAsia="en-US"/>
              </w:rPr>
            </w:pPr>
          </w:p>
          <w:p w14:paraId="26A2D6FE">
            <w:pPr>
              <w:widowControl/>
              <w:kinsoku w:val="0"/>
              <w:autoSpaceDE w:val="0"/>
              <w:autoSpaceDN w:val="0"/>
              <w:adjustRightInd w:val="0"/>
              <w:snapToGrid w:val="0"/>
              <w:spacing w:before="57" w:line="276" w:lineRule="exact"/>
              <w:ind w:firstLine="182" w:firstLineChars="100"/>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9"/>
                <w:kern w:val="0"/>
                <w:position w:val="2"/>
                <w:sz w:val="20"/>
                <w:szCs w:val="20"/>
                <w:lang w:eastAsia="en-US"/>
              </w:rPr>
              <w:t>10</w:t>
            </w:r>
          </w:p>
        </w:tc>
        <w:tc>
          <w:tcPr>
            <w:tcW w:w="4394" w:type="dxa"/>
            <w:vAlign w:val="top"/>
          </w:tcPr>
          <w:p w14:paraId="202E5A30">
            <w:pPr>
              <w:pStyle w:val="29"/>
              <w:widowControl/>
              <w:spacing w:before="70" w:line="290" w:lineRule="auto"/>
              <w:ind w:left="113" w:right="73" w:firstLine="1"/>
              <w:jc w:val="both"/>
              <w:rPr>
                <w:rFonts w:hint="eastAsia" w:ascii="宋体" w:hAnsi="宋体" w:eastAsia="宋体" w:cs="宋体"/>
              </w:rPr>
            </w:pPr>
            <w:r>
              <w:rPr>
                <w:rFonts w:hint="eastAsia" w:ascii="宋体" w:hAnsi="宋体" w:eastAsia="宋体" w:cs="宋体"/>
                <w:spacing w:val="7"/>
              </w:rPr>
              <w:t>平均已决赔付率。根据参加遴选的承保机构</w:t>
            </w:r>
            <w:r>
              <w:rPr>
                <w:rFonts w:hint="eastAsia" w:ascii="宋体" w:hAnsi="宋体" w:eastAsia="宋体" w:cs="宋体"/>
                <w:spacing w:val="-27"/>
              </w:rPr>
              <w:t xml:space="preserve"> </w:t>
            </w:r>
            <w:r>
              <w:rPr>
                <w:rFonts w:hint="eastAsia" w:ascii="宋体" w:hAnsi="宋体" w:eastAsia="宋体" w:cs="宋体"/>
                <w:spacing w:val="7"/>
              </w:rPr>
              <w:t>2022-2024 年省级公</w:t>
            </w:r>
            <w:r>
              <w:rPr>
                <w:rFonts w:hint="eastAsia" w:ascii="宋体" w:hAnsi="宋体" w:eastAsia="宋体" w:cs="宋体"/>
                <w:spacing w:val="16"/>
              </w:rPr>
              <w:t>司和遴选区域分支机构农业保险中央品种的平均</w:t>
            </w:r>
            <w:r>
              <w:rPr>
                <w:rFonts w:hint="eastAsia" w:ascii="宋体" w:hAnsi="宋体" w:eastAsia="宋体" w:cs="宋体"/>
                <w:spacing w:val="15"/>
              </w:rPr>
              <w:t>已决赔付率计</w:t>
            </w:r>
            <w:r>
              <w:rPr>
                <w:rFonts w:hint="eastAsia" w:ascii="宋体" w:hAnsi="宋体" w:eastAsia="宋体" w:cs="宋体"/>
                <w:spacing w:val="11"/>
              </w:rPr>
              <w:t>算得出，平均已决赔付率=（参加遴选的承保机构省级公司平均</w:t>
            </w:r>
            <w:r>
              <w:rPr>
                <w:rFonts w:hint="eastAsia" w:ascii="宋体" w:hAnsi="宋体" w:eastAsia="宋体" w:cs="宋体"/>
                <w:spacing w:val="10"/>
              </w:rPr>
              <w:t>已决赔付率+遴选区域分支机构平均已决赔付率）/2,当省级公司</w:t>
            </w:r>
            <w:r>
              <w:rPr>
                <w:rFonts w:hint="eastAsia" w:ascii="宋体" w:hAnsi="宋体" w:eastAsia="宋体" w:cs="宋体"/>
                <w:spacing w:val="5"/>
              </w:rPr>
              <w:t>的平均已决赔付率超出</w:t>
            </w:r>
            <w:r>
              <w:rPr>
                <w:rFonts w:hint="eastAsia" w:ascii="宋体" w:hAnsi="宋体" w:eastAsia="宋体" w:cs="宋体"/>
                <w:spacing w:val="-25"/>
              </w:rPr>
              <w:t xml:space="preserve"> </w:t>
            </w:r>
            <w:r>
              <w:rPr>
                <w:rFonts w:hint="eastAsia" w:ascii="宋体" w:hAnsi="宋体" w:eastAsia="宋体" w:cs="宋体"/>
                <w:spacing w:val="5"/>
              </w:rPr>
              <w:t>80%时，只按</w:t>
            </w:r>
            <w:r>
              <w:rPr>
                <w:rFonts w:hint="eastAsia" w:ascii="宋体" w:hAnsi="宋体" w:eastAsia="宋体" w:cs="宋体"/>
                <w:spacing w:val="-34"/>
              </w:rPr>
              <w:t xml:space="preserve"> </w:t>
            </w:r>
            <w:r>
              <w:rPr>
                <w:rFonts w:hint="eastAsia" w:ascii="宋体" w:hAnsi="宋体" w:eastAsia="宋体" w:cs="宋体"/>
                <w:spacing w:val="5"/>
              </w:rPr>
              <w:t>80%纳入计算；当遴选区域分支机构的平均已决赔付率超出</w:t>
            </w:r>
            <w:r>
              <w:rPr>
                <w:rFonts w:hint="eastAsia" w:ascii="宋体" w:hAnsi="宋体" w:eastAsia="宋体" w:cs="宋体"/>
                <w:spacing w:val="-11"/>
              </w:rPr>
              <w:t xml:space="preserve"> </w:t>
            </w:r>
            <w:r>
              <w:rPr>
                <w:rFonts w:hint="eastAsia" w:ascii="宋体" w:hAnsi="宋体" w:eastAsia="宋体" w:cs="宋体"/>
                <w:spacing w:val="5"/>
              </w:rPr>
              <w:t>100%时，只按</w:t>
            </w:r>
            <w:r>
              <w:rPr>
                <w:rFonts w:hint="eastAsia" w:ascii="宋体" w:hAnsi="宋体" w:eastAsia="宋体" w:cs="宋体"/>
                <w:spacing w:val="-21"/>
              </w:rPr>
              <w:t xml:space="preserve"> </w:t>
            </w:r>
            <w:r>
              <w:rPr>
                <w:rFonts w:hint="eastAsia" w:ascii="宋体" w:hAnsi="宋体" w:eastAsia="宋体" w:cs="宋体"/>
                <w:spacing w:val="5"/>
              </w:rPr>
              <w:t>100%纳入计算。</w:t>
            </w:r>
            <w:r>
              <w:rPr>
                <w:rFonts w:hint="eastAsia" w:ascii="宋体" w:hAnsi="宋体" w:eastAsia="宋体" w:cs="宋体"/>
                <w:spacing w:val="8"/>
              </w:rPr>
              <w:t>以参加遴选的承保机构平均已决赔付率最高值为评审基准值，该</w:t>
            </w:r>
            <w:r>
              <w:rPr>
                <w:rFonts w:hint="eastAsia" w:ascii="宋体" w:hAnsi="宋体" w:eastAsia="宋体" w:cs="宋体"/>
                <w:spacing w:val="9"/>
              </w:rPr>
              <w:t>承保机构得满分。其他参加遴选的承保机构按照下列公式计算：</w:t>
            </w:r>
            <w:r>
              <w:rPr>
                <w:rFonts w:hint="eastAsia" w:ascii="宋体" w:hAnsi="宋体" w:eastAsia="宋体" w:cs="宋体"/>
                <w:spacing w:val="-3"/>
              </w:rPr>
              <w:t>得分=其他参加遴选的承保机构平均已决赔付率/评审基</w:t>
            </w:r>
            <w:r>
              <w:rPr>
                <w:rFonts w:hint="eastAsia" w:ascii="宋体" w:hAnsi="宋体" w:eastAsia="宋体" w:cs="宋体"/>
                <w:spacing w:val="-4"/>
              </w:rPr>
              <w:t>准值×10 分。</w:t>
            </w:r>
          </w:p>
        </w:tc>
        <w:tc>
          <w:tcPr>
            <w:tcW w:w="6563" w:type="dxa"/>
            <w:gridSpan w:val="2"/>
            <w:vAlign w:val="top"/>
          </w:tcPr>
          <w:p w14:paraId="71BC5058">
            <w:pPr>
              <w:pStyle w:val="29"/>
              <w:widowControl/>
              <w:spacing w:before="68" w:line="291" w:lineRule="auto"/>
              <w:ind w:left="104" w:right="106" w:firstLine="4"/>
              <w:jc w:val="both"/>
              <w:rPr>
                <w:rFonts w:hint="eastAsia" w:ascii="宋体" w:hAnsi="宋体" w:eastAsia="宋体" w:cs="宋体"/>
              </w:rPr>
            </w:pPr>
            <w:r>
              <w:rPr>
                <w:rFonts w:hint="eastAsia" w:ascii="宋体" w:hAnsi="宋体" w:eastAsia="宋体" w:cs="宋体"/>
                <w:spacing w:val="11"/>
              </w:rPr>
              <w:t>2022-2024</w:t>
            </w:r>
            <w:r>
              <w:rPr>
                <w:rFonts w:hint="eastAsia" w:ascii="宋体" w:hAnsi="宋体" w:eastAsia="宋体" w:cs="宋体"/>
                <w:spacing w:val="23"/>
              </w:rPr>
              <w:t xml:space="preserve"> </w:t>
            </w:r>
            <w:r>
              <w:rPr>
                <w:rFonts w:hint="eastAsia" w:ascii="宋体" w:hAnsi="宋体" w:eastAsia="宋体" w:cs="宋体"/>
                <w:spacing w:val="11"/>
              </w:rPr>
              <w:t>年农业保险中央品种平均已决赔付率</w:t>
            </w:r>
            <w:r>
              <w:rPr>
                <w:rFonts w:hint="eastAsia" w:ascii="宋体" w:hAnsi="宋体" w:eastAsia="宋体" w:cs="宋体"/>
                <w:spacing w:val="10"/>
              </w:rPr>
              <w:t>=2022-2024</w:t>
            </w:r>
            <w:r>
              <w:rPr>
                <w:rFonts w:hint="eastAsia" w:ascii="宋体" w:hAnsi="宋体" w:eastAsia="宋体" w:cs="宋体"/>
                <w:spacing w:val="20"/>
                <w:w w:val="101"/>
              </w:rPr>
              <w:t xml:space="preserve"> </w:t>
            </w:r>
            <w:r>
              <w:rPr>
                <w:rFonts w:hint="eastAsia" w:ascii="宋体" w:hAnsi="宋体" w:eastAsia="宋体" w:cs="宋体"/>
                <w:spacing w:val="10"/>
              </w:rPr>
              <w:t>年已决赔款</w:t>
            </w:r>
            <w:r>
              <w:rPr>
                <w:rFonts w:hint="eastAsia" w:ascii="宋体" w:hAnsi="宋体" w:eastAsia="宋体" w:cs="宋体"/>
                <w:spacing w:val="7"/>
              </w:rPr>
              <w:t>/2022-2024 年保费收入。若参加遴</w:t>
            </w:r>
            <w:r>
              <w:rPr>
                <w:rFonts w:hint="eastAsia" w:ascii="宋体" w:hAnsi="宋体" w:eastAsia="宋体" w:cs="宋体"/>
                <w:spacing w:val="6"/>
              </w:rPr>
              <w:t>选的承保机构在遴选区域未开展中央品</w:t>
            </w:r>
            <w:r>
              <w:rPr>
                <w:rFonts w:hint="eastAsia" w:ascii="宋体" w:hAnsi="宋体" w:eastAsia="宋体" w:cs="宋体"/>
                <w:spacing w:val="7"/>
              </w:rPr>
              <w:t>种业务，而其省级公司开展过业务，则按省级公司该指标认定</w:t>
            </w:r>
            <w:r>
              <w:rPr>
                <w:rFonts w:hint="eastAsia" w:ascii="宋体" w:hAnsi="宋体" w:eastAsia="宋体" w:cs="宋体"/>
                <w:spacing w:val="6"/>
              </w:rPr>
              <w:t>；若其省级</w:t>
            </w:r>
            <w:r>
              <w:rPr>
                <w:rFonts w:hint="eastAsia" w:ascii="宋体" w:hAnsi="宋体" w:eastAsia="宋体" w:cs="宋体"/>
                <w:spacing w:val="7"/>
              </w:rPr>
              <w:t>公司未开展过政策性农业保险业务，则省级公司和遴选区域分支</w:t>
            </w:r>
            <w:r>
              <w:rPr>
                <w:rFonts w:hint="eastAsia" w:ascii="宋体" w:hAnsi="宋体" w:eastAsia="宋体" w:cs="宋体"/>
                <w:spacing w:val="6"/>
              </w:rPr>
              <w:t>机构均按</w:t>
            </w:r>
            <w:r>
              <w:rPr>
                <w:rFonts w:hint="eastAsia" w:ascii="宋体" w:hAnsi="宋体" w:eastAsia="宋体" w:cs="宋体"/>
                <w:spacing w:val="7"/>
              </w:rPr>
              <w:t>总公司该指标认定。保费与赔款均不包括省级共保品种。需提</w:t>
            </w:r>
            <w:r>
              <w:rPr>
                <w:rFonts w:hint="eastAsia" w:ascii="宋体" w:hAnsi="宋体" w:eastAsia="宋体" w:cs="宋体"/>
                <w:spacing w:val="6"/>
              </w:rPr>
              <w:t>供参加遴选</w:t>
            </w:r>
            <w:r>
              <w:rPr>
                <w:rFonts w:hint="eastAsia" w:ascii="宋体" w:hAnsi="宋体" w:eastAsia="宋体" w:cs="宋体"/>
                <w:spacing w:val="7"/>
              </w:rPr>
              <w:t>的承保机构会计报表“已决赔款、保费收入”相关科目页面复印件并加盖参加遴选的承保机构公章，通过湖南省农业保险综合管理平台数</w:t>
            </w:r>
            <w:r>
              <w:rPr>
                <w:rFonts w:hint="eastAsia" w:ascii="宋体" w:hAnsi="宋体" w:eastAsia="宋体" w:cs="宋体"/>
                <w:spacing w:val="6"/>
              </w:rPr>
              <w:t>据进行比对核实。</w:t>
            </w:r>
          </w:p>
          <w:p w14:paraId="09645A68">
            <w:pPr>
              <w:pStyle w:val="29"/>
              <w:widowControl/>
              <w:spacing w:before="5" w:line="226" w:lineRule="auto"/>
              <w:ind w:left="119"/>
              <w:rPr>
                <w:rFonts w:hint="eastAsia" w:ascii="宋体" w:hAnsi="宋体" w:eastAsia="宋体" w:cs="宋体"/>
              </w:rPr>
            </w:pPr>
            <w:r>
              <w:rPr>
                <w:rFonts w:hint="eastAsia" w:ascii="宋体" w:hAnsi="宋体" w:eastAsia="宋体" w:cs="宋体"/>
                <w:spacing w:val="9"/>
              </w:rPr>
              <w:t>省级公司数据是指省级公司归口的全省数据，下</w:t>
            </w:r>
            <w:r>
              <w:rPr>
                <w:rFonts w:hint="eastAsia" w:ascii="宋体" w:hAnsi="宋体" w:eastAsia="宋体" w:cs="宋体"/>
                <w:spacing w:val="8"/>
              </w:rPr>
              <w:t>同。</w:t>
            </w:r>
          </w:p>
        </w:tc>
      </w:tr>
      <w:tr w14:paraId="6BEEF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jc w:val="center"/>
        </w:trPr>
        <w:tc>
          <w:tcPr>
            <w:tcW w:w="924" w:type="dxa"/>
            <w:tcBorders>
              <w:top w:val="single" w:color="auto" w:sz="4" w:space="0"/>
            </w:tcBorders>
            <w:vAlign w:val="top"/>
          </w:tcPr>
          <w:p w14:paraId="497F29D5">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2684B6B2">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20" w:type="dxa"/>
            <w:tcBorders>
              <w:top w:val="single" w:color="auto" w:sz="4" w:space="0"/>
            </w:tcBorders>
            <w:vAlign w:val="top"/>
          </w:tcPr>
          <w:p w14:paraId="4ADA7C08">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357FF6B6">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91" w:type="dxa"/>
            <w:tcBorders>
              <w:top w:val="single" w:color="auto" w:sz="4" w:space="0"/>
            </w:tcBorders>
            <w:vAlign w:val="top"/>
          </w:tcPr>
          <w:p w14:paraId="37D62BB6">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38" w:type="dxa"/>
            <w:gridSpan w:val="2"/>
            <w:vAlign w:val="top"/>
          </w:tcPr>
          <w:p w14:paraId="010D19AB">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gridSpan w:val="2"/>
            <w:vAlign w:val="top"/>
          </w:tcPr>
          <w:p w14:paraId="137CB7E9">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11622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2" w:hRule="atLeast"/>
          <w:jc w:val="center"/>
        </w:trPr>
        <w:tc>
          <w:tcPr>
            <w:tcW w:w="924" w:type="dxa"/>
            <w:vMerge w:val="restart"/>
            <w:vAlign w:val="top"/>
          </w:tcPr>
          <w:p w14:paraId="1B04EBFE">
            <w:pPr>
              <w:widowControl/>
              <w:kinsoku w:val="0"/>
              <w:autoSpaceDE w:val="0"/>
              <w:autoSpaceDN w:val="0"/>
              <w:adjustRightInd w:val="0"/>
              <w:snapToGrid w:val="0"/>
              <w:spacing w:line="246" w:lineRule="auto"/>
              <w:jc w:val="left"/>
              <w:textAlignment w:val="baseline"/>
              <w:rPr>
                <w:rFonts w:hint="eastAsia" w:ascii="宋体" w:hAnsi="宋体" w:eastAsia="宋体" w:cs="宋体"/>
                <w:snapToGrid w:val="0"/>
                <w:color w:val="000000"/>
                <w:kern w:val="0"/>
                <w:sz w:val="21"/>
                <w:szCs w:val="21"/>
                <w:lang w:eastAsia="en-US"/>
              </w:rPr>
            </w:pPr>
          </w:p>
          <w:p w14:paraId="0E465360">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79EE050E">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15911F89">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0792DAB0">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3982E7E7">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1020" w:type="dxa"/>
            <w:vMerge w:val="restart"/>
            <w:vAlign w:val="top"/>
          </w:tcPr>
          <w:p w14:paraId="51B4A475">
            <w:pPr>
              <w:pStyle w:val="29"/>
              <w:widowControl/>
              <w:spacing w:before="65" w:line="226" w:lineRule="auto"/>
              <w:ind w:left="177"/>
              <w:rPr>
                <w:rFonts w:hint="eastAsia" w:ascii="宋体" w:hAnsi="宋体" w:eastAsia="宋体" w:cs="宋体"/>
                <w:spacing w:val="5"/>
              </w:rPr>
            </w:pPr>
            <w:r>
              <w:rPr>
                <w:rFonts w:hint="eastAsia" w:ascii="宋体" w:hAnsi="宋体" w:eastAsia="宋体" w:cs="宋体"/>
                <w:spacing w:val="5"/>
              </w:rPr>
              <w:t>历史</w:t>
            </w:r>
            <w:r>
              <w:rPr>
                <w:rFonts w:hint="eastAsia" w:ascii="宋体" w:hAnsi="宋体" w:eastAsia="宋体" w:cs="宋体"/>
                <w:spacing w:val="10"/>
              </w:rPr>
              <w:t>理赔</w:t>
            </w:r>
            <w:r>
              <w:rPr>
                <w:rFonts w:hint="eastAsia" w:ascii="宋体" w:hAnsi="宋体" w:eastAsia="宋体" w:cs="宋体"/>
                <w:spacing w:val="11"/>
              </w:rPr>
              <w:t>情况</w:t>
            </w:r>
            <w:r>
              <w:rPr>
                <w:rFonts w:hint="eastAsia" w:ascii="宋体" w:hAnsi="宋体" w:eastAsia="宋体" w:cs="宋体"/>
                <w:spacing w:val="-5"/>
              </w:rPr>
              <w:t>19</w:t>
            </w:r>
            <w:r>
              <w:rPr>
                <w:rFonts w:hint="eastAsia" w:ascii="宋体" w:hAnsi="宋体" w:eastAsia="宋体" w:cs="宋体"/>
                <w:spacing w:val="11"/>
              </w:rPr>
              <w:t xml:space="preserve"> </w:t>
            </w:r>
            <w:r>
              <w:rPr>
                <w:rFonts w:hint="eastAsia" w:ascii="宋体" w:hAnsi="宋体" w:eastAsia="宋体" w:cs="宋体"/>
                <w:spacing w:val="-5"/>
              </w:rPr>
              <w:t>分</w:t>
            </w:r>
          </w:p>
          <w:p w14:paraId="53865B8B">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0239F3EE">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521E5662">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62ECA3B6">
            <w:pPr>
              <w:pStyle w:val="29"/>
              <w:widowControl/>
              <w:spacing w:before="65" w:line="295" w:lineRule="auto"/>
              <w:ind w:right="146"/>
              <w:jc w:val="both"/>
              <w:rPr>
                <w:rFonts w:hint="eastAsia" w:ascii="宋体" w:hAnsi="宋体" w:eastAsia="宋体" w:cs="宋体"/>
              </w:rPr>
            </w:pPr>
          </w:p>
        </w:tc>
        <w:tc>
          <w:tcPr>
            <w:tcW w:w="591" w:type="dxa"/>
            <w:vAlign w:val="top"/>
          </w:tcPr>
          <w:p w14:paraId="663F84D8">
            <w:pPr>
              <w:widowControl/>
              <w:kinsoku w:val="0"/>
              <w:autoSpaceDE w:val="0"/>
              <w:autoSpaceDN w:val="0"/>
              <w:adjustRightInd w:val="0"/>
              <w:snapToGrid w:val="0"/>
              <w:spacing w:line="357" w:lineRule="auto"/>
              <w:jc w:val="left"/>
              <w:textAlignment w:val="baseline"/>
              <w:rPr>
                <w:rFonts w:hint="eastAsia" w:ascii="宋体" w:hAnsi="宋体" w:eastAsia="宋体" w:cs="宋体"/>
                <w:snapToGrid w:val="0"/>
                <w:color w:val="000000"/>
                <w:kern w:val="0"/>
                <w:sz w:val="21"/>
                <w:szCs w:val="21"/>
                <w:lang w:eastAsia="en-US"/>
              </w:rPr>
            </w:pPr>
          </w:p>
          <w:p w14:paraId="33267003">
            <w:pPr>
              <w:widowControl/>
              <w:kinsoku w:val="0"/>
              <w:autoSpaceDE w:val="0"/>
              <w:autoSpaceDN w:val="0"/>
              <w:adjustRightInd w:val="0"/>
              <w:snapToGrid w:val="0"/>
              <w:spacing w:line="357" w:lineRule="auto"/>
              <w:jc w:val="left"/>
              <w:textAlignment w:val="baseline"/>
              <w:rPr>
                <w:rFonts w:hint="eastAsia" w:ascii="宋体" w:hAnsi="宋体" w:eastAsia="宋体" w:cs="宋体"/>
                <w:snapToGrid w:val="0"/>
                <w:color w:val="000000"/>
                <w:kern w:val="0"/>
                <w:sz w:val="21"/>
                <w:szCs w:val="21"/>
                <w:lang w:eastAsia="en-US"/>
              </w:rPr>
            </w:pPr>
          </w:p>
          <w:p w14:paraId="78E430B5">
            <w:pPr>
              <w:widowControl/>
              <w:kinsoku w:val="0"/>
              <w:autoSpaceDE w:val="0"/>
              <w:autoSpaceDN w:val="0"/>
              <w:adjustRightInd w:val="0"/>
              <w:snapToGrid w:val="0"/>
              <w:spacing w:before="57" w:line="276" w:lineRule="exact"/>
              <w:ind w:firstLine="200" w:firstLineChars="10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38" w:type="dxa"/>
            <w:gridSpan w:val="2"/>
            <w:vAlign w:val="top"/>
          </w:tcPr>
          <w:p w14:paraId="295F4A95">
            <w:pPr>
              <w:pStyle w:val="29"/>
              <w:widowControl/>
              <w:spacing w:before="179" w:line="285" w:lineRule="auto"/>
              <w:ind w:left="109" w:leftChars="0" w:right="60" w:rightChars="0" w:firstLine="3" w:firstLineChars="0"/>
              <w:jc w:val="both"/>
              <w:rPr>
                <w:rFonts w:hint="eastAsia" w:ascii="宋体" w:hAnsi="宋体" w:eastAsia="宋体" w:cs="宋体"/>
                <w:b/>
                <w:bCs/>
                <w:spacing w:val="-1"/>
              </w:rPr>
            </w:pPr>
            <w:r>
              <w:rPr>
                <w:rFonts w:hint="eastAsia" w:ascii="宋体" w:hAnsi="宋体" w:eastAsia="宋体" w:cs="宋体"/>
                <w:spacing w:val="2"/>
              </w:rPr>
              <w:t>养殖险案均立案结案周期：案件从立案到结案的平均时间（单位：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3"/>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年的案均立案结案周期</w:t>
            </w:r>
            <w:r>
              <w:rPr>
                <w:rFonts w:hint="eastAsia" w:ascii="宋体" w:hAnsi="宋体" w:eastAsia="宋体" w:cs="宋体"/>
                <w:spacing w:val="8"/>
              </w:rPr>
              <w:t>最优值为评审基准值，该承保机构得满分。其他参加遴选的承保</w:t>
            </w:r>
            <w:r>
              <w:rPr>
                <w:rFonts w:hint="eastAsia" w:ascii="宋体" w:hAnsi="宋体" w:eastAsia="宋体" w:cs="宋体"/>
                <w:spacing w:val="9"/>
              </w:rPr>
              <w:t>机构按照下列公式计算：得分=评审基准值/其他参加遴选的承保</w:t>
            </w:r>
            <w:r>
              <w:rPr>
                <w:rFonts w:hint="eastAsia" w:ascii="宋体" w:hAnsi="宋体" w:eastAsia="宋体" w:cs="宋体"/>
                <w:spacing w:val="8"/>
              </w:rPr>
              <w:t>机构标准化养殖险案均立案结案周期×2 分。</w:t>
            </w:r>
          </w:p>
        </w:tc>
        <w:tc>
          <w:tcPr>
            <w:tcW w:w="5955" w:type="dxa"/>
            <w:gridSpan w:val="2"/>
            <w:vAlign w:val="top"/>
          </w:tcPr>
          <w:p w14:paraId="3D647BF0">
            <w:pPr>
              <w:pStyle w:val="29"/>
              <w:widowControl/>
              <w:spacing w:before="65" w:line="294" w:lineRule="auto"/>
              <w:ind w:right="106" w:rightChars="0"/>
              <w:jc w:val="both"/>
              <w:rPr>
                <w:rFonts w:hint="eastAsia" w:ascii="宋体" w:hAnsi="宋体" w:eastAsia="宋体" w:cs="宋体"/>
                <w:b/>
                <w:bCs/>
                <w:spacing w:val="-2"/>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r w14:paraId="3292B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2" w:hRule="atLeast"/>
          <w:jc w:val="center"/>
        </w:trPr>
        <w:tc>
          <w:tcPr>
            <w:tcW w:w="924" w:type="dxa"/>
            <w:vMerge w:val="continue"/>
            <w:vAlign w:val="top"/>
          </w:tcPr>
          <w:p w14:paraId="73DA4CD8">
            <w:pPr>
              <w:pStyle w:val="29"/>
              <w:widowControl/>
              <w:spacing w:before="65" w:line="294" w:lineRule="auto"/>
              <w:ind w:right="124"/>
              <w:jc w:val="both"/>
              <w:rPr>
                <w:rFonts w:hint="eastAsia" w:ascii="宋体" w:hAnsi="宋体" w:eastAsia="宋体" w:cs="宋体"/>
                <w:spacing w:val="4"/>
              </w:rPr>
            </w:pPr>
          </w:p>
        </w:tc>
        <w:tc>
          <w:tcPr>
            <w:tcW w:w="1020" w:type="dxa"/>
            <w:vMerge w:val="continue"/>
            <w:vAlign w:val="top"/>
          </w:tcPr>
          <w:p w14:paraId="4E9E2DBF">
            <w:pPr>
              <w:pStyle w:val="29"/>
              <w:widowControl/>
              <w:spacing w:before="65" w:line="295" w:lineRule="auto"/>
              <w:ind w:right="146"/>
              <w:jc w:val="both"/>
              <w:rPr>
                <w:rFonts w:hint="eastAsia" w:ascii="宋体" w:hAnsi="宋体" w:eastAsia="宋体" w:cs="宋体"/>
              </w:rPr>
            </w:pPr>
          </w:p>
        </w:tc>
        <w:tc>
          <w:tcPr>
            <w:tcW w:w="591" w:type="dxa"/>
            <w:vAlign w:val="top"/>
          </w:tcPr>
          <w:p w14:paraId="118F7232">
            <w:pPr>
              <w:widowControl/>
              <w:kinsoku w:val="0"/>
              <w:autoSpaceDE w:val="0"/>
              <w:autoSpaceDN w:val="0"/>
              <w:adjustRightInd w:val="0"/>
              <w:snapToGrid w:val="0"/>
              <w:spacing w:before="57" w:line="276" w:lineRule="exact"/>
              <w:ind w:firstLine="202" w:firstLineChars="100"/>
              <w:jc w:val="left"/>
              <w:textAlignment w:val="baseline"/>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snapToGrid w:val="0"/>
                <w:color w:val="000000"/>
                <w:spacing w:val="1"/>
                <w:kern w:val="0"/>
                <w:position w:val="2"/>
                <w:sz w:val="20"/>
                <w:szCs w:val="20"/>
                <w:lang w:eastAsia="en-US"/>
              </w:rPr>
              <w:t>4</w:t>
            </w:r>
          </w:p>
        </w:tc>
        <w:tc>
          <w:tcPr>
            <w:tcW w:w="5038" w:type="dxa"/>
            <w:gridSpan w:val="2"/>
            <w:vAlign w:val="top"/>
          </w:tcPr>
          <w:p w14:paraId="6F0ADCB2">
            <w:pPr>
              <w:pStyle w:val="29"/>
              <w:widowControl/>
              <w:spacing w:before="179" w:line="285" w:lineRule="auto"/>
              <w:ind w:left="109" w:leftChars="0" w:right="60" w:rightChars="0" w:firstLine="3" w:firstLineChars="0"/>
              <w:jc w:val="both"/>
              <w:rPr>
                <w:rFonts w:hint="eastAsia" w:ascii="宋体" w:hAnsi="宋体" w:eastAsia="宋体" w:cs="宋体"/>
                <w:spacing w:val="2"/>
              </w:rPr>
            </w:pPr>
            <w:r>
              <w:rPr>
                <w:rFonts w:hint="eastAsia" w:ascii="宋体" w:hAnsi="宋体" w:eastAsia="宋体" w:cs="宋体"/>
                <w:spacing w:val="8"/>
              </w:rPr>
              <w:t>平均结案率。根据参加遴选的承保机构省级公司和遴选区域</w:t>
            </w:r>
            <w:r>
              <w:rPr>
                <w:rFonts w:hint="eastAsia" w:ascii="宋体" w:hAnsi="宋体" w:eastAsia="宋体" w:cs="宋体"/>
                <w:spacing w:val="7"/>
              </w:rPr>
              <w:t>分支</w:t>
            </w:r>
            <w:r>
              <w:rPr>
                <w:rFonts w:hint="eastAsia" w:ascii="宋体" w:hAnsi="宋体" w:eastAsia="宋体" w:cs="宋体"/>
                <w:spacing w:val="8"/>
              </w:rPr>
              <w:t>机构</w:t>
            </w:r>
            <w:r>
              <w:rPr>
                <w:rFonts w:hint="eastAsia" w:ascii="宋体" w:hAnsi="宋体" w:eastAsia="宋体" w:cs="宋体"/>
                <w:spacing w:val="-41"/>
              </w:rPr>
              <w:t xml:space="preserve"> </w:t>
            </w:r>
            <w:r>
              <w:rPr>
                <w:rFonts w:hint="eastAsia" w:ascii="宋体" w:hAnsi="宋体" w:eastAsia="宋体" w:cs="宋体"/>
                <w:spacing w:val="8"/>
              </w:rPr>
              <w:t>2022-2024 年的农业保险中央品种</w:t>
            </w:r>
            <w:r>
              <w:rPr>
                <w:rFonts w:hint="eastAsia" w:ascii="宋体" w:hAnsi="宋体" w:eastAsia="宋体" w:cs="宋体"/>
                <w:spacing w:val="7"/>
              </w:rPr>
              <w:t>平均结案率计算得出。遴</w:t>
            </w:r>
            <w:r>
              <w:rPr>
                <w:rFonts w:hint="eastAsia" w:ascii="宋体" w:hAnsi="宋体" w:eastAsia="宋体" w:cs="宋体"/>
                <w:spacing w:val="8"/>
              </w:rPr>
              <w:t>选区域分支机构年度农业保险结案率</w:t>
            </w:r>
            <w:r>
              <w:rPr>
                <w:rFonts w:hint="eastAsia" w:ascii="宋体" w:hAnsi="宋体" w:eastAsia="宋体" w:cs="宋体"/>
                <w:spacing w:val="-31"/>
              </w:rPr>
              <w:t xml:space="preserve"> </w:t>
            </w:r>
            <w:r>
              <w:rPr>
                <w:rFonts w:hint="eastAsia" w:ascii="宋体" w:hAnsi="宋体" w:eastAsia="宋体" w:cs="宋体"/>
                <w:spacing w:val="8"/>
              </w:rPr>
              <w:t>85%以下，当年结案率按</w:t>
            </w:r>
            <w:r>
              <w:rPr>
                <w:rFonts w:hint="eastAsia" w:ascii="宋体" w:hAnsi="宋体" w:eastAsia="宋体" w:cs="宋体"/>
                <w:spacing w:val="-39"/>
              </w:rPr>
              <w:t xml:space="preserve"> </w:t>
            </w:r>
            <w:r>
              <w:rPr>
                <w:rFonts w:hint="eastAsia" w:ascii="宋体" w:hAnsi="宋体" w:eastAsia="宋体" w:cs="宋体"/>
                <w:spacing w:val="8"/>
              </w:rPr>
              <w:t>0计算。以参加遴选的承保机构结案率最高值为评审基准值，该承保机构得满分。其他参加遴选的承保机构按照下列公式计算：得</w:t>
            </w:r>
            <w:r>
              <w:rPr>
                <w:rFonts w:hint="eastAsia" w:ascii="宋体" w:hAnsi="宋体" w:eastAsia="宋体" w:cs="宋体"/>
                <w:spacing w:val="7"/>
              </w:rPr>
              <w:t>分=其他参加遴选的承保机构农业保险结案率/评审基准值×4 分。</w:t>
            </w:r>
          </w:p>
        </w:tc>
        <w:tc>
          <w:tcPr>
            <w:tcW w:w="5955" w:type="dxa"/>
            <w:gridSpan w:val="2"/>
            <w:vAlign w:val="top"/>
          </w:tcPr>
          <w:p w14:paraId="58A534E5">
            <w:pPr>
              <w:pStyle w:val="29"/>
              <w:widowControl/>
              <w:spacing w:before="65" w:line="294" w:lineRule="auto"/>
              <w:ind w:right="106" w:rightChars="0"/>
              <w:jc w:val="both"/>
              <w:rPr>
                <w:rFonts w:hint="eastAsia" w:ascii="宋体" w:hAnsi="宋体" w:eastAsia="宋体" w:cs="宋体"/>
                <w:spacing w:val="6"/>
              </w:rPr>
            </w:pPr>
            <w:r>
              <w:rPr>
                <w:rFonts w:hint="eastAsia" w:ascii="宋体" w:hAnsi="宋体" w:eastAsia="宋体" w:cs="宋体"/>
                <w:spacing w:val="9"/>
              </w:rPr>
              <w:t>年度农业保险结案率=年度已决赔款/（年度已决赔款+期末未决赔款</w:t>
            </w:r>
            <w:r>
              <w:rPr>
                <w:rFonts w:hint="eastAsia" w:ascii="宋体" w:hAnsi="宋体" w:eastAsia="宋体" w:cs="宋体"/>
                <w:spacing w:val="8"/>
              </w:rPr>
              <w:t>）,</w:t>
            </w:r>
            <w:r>
              <w:rPr>
                <w:rFonts w:hint="eastAsia" w:ascii="宋体" w:hAnsi="宋体" w:eastAsia="宋体" w:cs="宋体"/>
              </w:rPr>
              <w:t xml:space="preserve"> </w:t>
            </w:r>
            <w:r>
              <w:rPr>
                <w:rFonts w:hint="eastAsia" w:ascii="宋体" w:hAnsi="宋体" w:eastAsia="宋体" w:cs="宋体"/>
                <w:spacing w:val="7"/>
              </w:rPr>
              <w:t>即参加遴选的承保机构接到报案后，已经按规定程序确</w:t>
            </w:r>
            <w:r>
              <w:rPr>
                <w:rFonts w:hint="eastAsia" w:ascii="宋体" w:hAnsi="宋体" w:eastAsia="宋体" w:cs="宋体"/>
                <w:spacing w:val="6"/>
              </w:rPr>
              <w:t>定理赔的案件金额</w:t>
            </w:r>
            <w:r>
              <w:rPr>
                <w:rFonts w:hint="eastAsia" w:ascii="宋体" w:hAnsi="宋体" w:eastAsia="宋体" w:cs="宋体"/>
                <w:spacing w:val="7"/>
              </w:rPr>
              <w:t>占所有报案预计可能赔付的金额比例。遴选区域分支机</w:t>
            </w:r>
            <w:r>
              <w:rPr>
                <w:rFonts w:hint="eastAsia" w:ascii="宋体" w:hAnsi="宋体" w:eastAsia="宋体" w:cs="宋体"/>
                <w:spacing w:val="6"/>
              </w:rPr>
              <w:t>构年度农业保险结</w:t>
            </w:r>
            <w:r>
              <w:rPr>
                <w:rFonts w:hint="eastAsia" w:ascii="宋体" w:hAnsi="宋体" w:eastAsia="宋体" w:cs="宋体"/>
                <w:spacing w:val="7"/>
              </w:rPr>
              <w:t>案率</w:t>
            </w:r>
            <w:r>
              <w:rPr>
                <w:rFonts w:hint="eastAsia" w:ascii="宋体" w:hAnsi="宋体" w:eastAsia="宋体" w:cs="宋体"/>
                <w:spacing w:val="-23"/>
              </w:rPr>
              <w:t xml:space="preserve"> </w:t>
            </w:r>
            <w:r>
              <w:rPr>
                <w:rFonts w:hint="eastAsia" w:ascii="宋体" w:hAnsi="宋体" w:eastAsia="宋体" w:cs="宋体"/>
                <w:spacing w:val="7"/>
              </w:rPr>
              <w:t>85%以下，当年结案率按</w:t>
            </w:r>
            <w:r>
              <w:rPr>
                <w:rFonts w:hint="eastAsia" w:ascii="宋体" w:hAnsi="宋体" w:eastAsia="宋体" w:cs="宋体"/>
                <w:spacing w:val="-39"/>
              </w:rPr>
              <w:t xml:space="preserve"> </w:t>
            </w:r>
            <w:r>
              <w:rPr>
                <w:rFonts w:hint="eastAsia" w:ascii="宋体" w:hAnsi="宋体" w:eastAsia="宋体" w:cs="宋体"/>
                <w:spacing w:val="7"/>
              </w:rPr>
              <w:t>0</w:t>
            </w:r>
            <w:r>
              <w:rPr>
                <w:rFonts w:hint="eastAsia" w:ascii="宋体" w:hAnsi="宋体" w:eastAsia="宋体" w:cs="宋体"/>
                <w:spacing w:val="17"/>
              </w:rPr>
              <w:t xml:space="preserve"> </w:t>
            </w:r>
            <w:r>
              <w:rPr>
                <w:rFonts w:hint="eastAsia" w:ascii="宋体" w:hAnsi="宋体" w:eastAsia="宋体" w:cs="宋体"/>
                <w:spacing w:val="7"/>
              </w:rPr>
              <w:t>计算。年度平均结案率=（参加遴选的承</w:t>
            </w:r>
            <w:r>
              <w:rPr>
                <w:rFonts w:hint="eastAsia" w:ascii="宋体" w:hAnsi="宋体" w:eastAsia="宋体" w:cs="宋体"/>
                <w:spacing w:val="6"/>
              </w:rPr>
              <w:t>保机构省级公司农业保险结案率+遴选区域分支机构农业保险结案</w:t>
            </w:r>
            <w:r>
              <w:rPr>
                <w:rFonts w:hint="eastAsia" w:ascii="宋体" w:hAnsi="宋体" w:eastAsia="宋体" w:cs="宋体"/>
                <w:spacing w:val="5"/>
              </w:rPr>
              <w:t>率）/2，</w:t>
            </w:r>
            <w:r>
              <w:rPr>
                <w:rFonts w:hint="eastAsia" w:ascii="宋体" w:hAnsi="宋体" w:eastAsia="宋体" w:cs="宋体"/>
              </w:rPr>
              <w:t xml:space="preserve"> </w:t>
            </w:r>
            <w:r>
              <w:rPr>
                <w:rFonts w:hint="eastAsia" w:ascii="宋体" w:hAnsi="宋体" w:eastAsia="宋体" w:cs="宋体"/>
                <w:spacing w:val="9"/>
              </w:rPr>
              <w:t>2022-2024 年的平均结案率为3 年的算数平均。若参加遴选的承保机构在</w:t>
            </w:r>
            <w:r>
              <w:rPr>
                <w:rFonts w:hint="eastAsia" w:ascii="宋体" w:hAnsi="宋体" w:eastAsia="宋体" w:cs="宋体"/>
                <w:spacing w:val="7"/>
              </w:rPr>
              <w:t>遴选区域未开展业务，而其省级公司开展过政策性农</w:t>
            </w:r>
            <w:r>
              <w:rPr>
                <w:rFonts w:hint="eastAsia" w:ascii="宋体" w:hAnsi="宋体" w:eastAsia="宋体" w:cs="宋体"/>
                <w:spacing w:val="6"/>
              </w:rPr>
              <w:t>业保险业务，则按省</w:t>
            </w:r>
            <w:r>
              <w:rPr>
                <w:rFonts w:hint="eastAsia" w:ascii="宋体" w:hAnsi="宋体" w:eastAsia="宋体" w:cs="宋体"/>
                <w:spacing w:val="7"/>
              </w:rPr>
              <w:t>级公司该指标认定；若其省级公司未开展过政策性农</w:t>
            </w:r>
            <w:r>
              <w:rPr>
                <w:rFonts w:hint="eastAsia" w:ascii="宋体" w:hAnsi="宋体" w:eastAsia="宋体" w:cs="宋体"/>
                <w:spacing w:val="6"/>
              </w:rPr>
              <w:t>业保险业务，则省级</w:t>
            </w:r>
            <w:r>
              <w:rPr>
                <w:rFonts w:hint="eastAsia" w:ascii="宋体" w:hAnsi="宋体" w:eastAsia="宋体" w:cs="宋体"/>
                <w:spacing w:val="7"/>
              </w:rPr>
              <w:t>公司和遴选区域分支机构均按总公司该指标认定。赔</w:t>
            </w:r>
            <w:r>
              <w:rPr>
                <w:rFonts w:hint="eastAsia" w:ascii="宋体" w:hAnsi="宋体" w:eastAsia="宋体" w:cs="宋体"/>
                <w:spacing w:val="6"/>
              </w:rPr>
              <w:t>款不包括省级共保品</w:t>
            </w:r>
            <w:r>
              <w:rPr>
                <w:rFonts w:hint="eastAsia" w:ascii="宋体" w:hAnsi="宋体" w:eastAsia="宋体" w:cs="宋体"/>
                <w:spacing w:val="7"/>
              </w:rPr>
              <w:t>种。需提供参加遴选的承保机构会计报表“已决赔款、未决赔款”相关科目页面复印件并加盖参加遴选的承保机构公章，通过湖</w:t>
            </w:r>
            <w:r>
              <w:rPr>
                <w:rFonts w:hint="eastAsia" w:ascii="宋体" w:hAnsi="宋体" w:eastAsia="宋体" w:cs="宋体"/>
                <w:spacing w:val="6"/>
              </w:rPr>
              <w:t>南省农业保险综合管</w:t>
            </w:r>
            <w:r>
              <w:rPr>
                <w:rFonts w:hint="eastAsia" w:ascii="宋体" w:hAnsi="宋体" w:eastAsia="宋体" w:cs="宋体"/>
                <w:spacing w:val="8"/>
              </w:rPr>
              <w:t>理平台数据进行比对核实。</w:t>
            </w:r>
          </w:p>
        </w:tc>
      </w:tr>
      <w:tr w14:paraId="076BC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1" w:hRule="atLeast"/>
          <w:jc w:val="center"/>
        </w:trPr>
        <w:tc>
          <w:tcPr>
            <w:tcW w:w="924" w:type="dxa"/>
            <w:vMerge w:val="continue"/>
            <w:vAlign w:val="top"/>
          </w:tcPr>
          <w:p w14:paraId="4232AA07">
            <w:pPr>
              <w:pStyle w:val="29"/>
              <w:widowControl/>
              <w:spacing w:before="65" w:line="294" w:lineRule="auto"/>
              <w:ind w:right="124"/>
              <w:jc w:val="both"/>
              <w:rPr>
                <w:rFonts w:hint="eastAsia" w:ascii="宋体" w:hAnsi="宋体" w:eastAsia="宋体" w:cs="宋体"/>
              </w:rPr>
            </w:pPr>
          </w:p>
        </w:tc>
        <w:tc>
          <w:tcPr>
            <w:tcW w:w="1020" w:type="dxa"/>
            <w:vMerge w:val="continue"/>
            <w:vAlign w:val="top"/>
          </w:tcPr>
          <w:p w14:paraId="26DA4171">
            <w:pPr>
              <w:pStyle w:val="29"/>
              <w:widowControl/>
              <w:spacing w:before="65" w:line="295" w:lineRule="auto"/>
              <w:ind w:right="146"/>
              <w:jc w:val="both"/>
              <w:rPr>
                <w:rFonts w:hint="eastAsia" w:ascii="宋体" w:hAnsi="宋体" w:eastAsia="宋体" w:cs="宋体"/>
              </w:rPr>
            </w:pPr>
          </w:p>
        </w:tc>
        <w:tc>
          <w:tcPr>
            <w:tcW w:w="591" w:type="dxa"/>
            <w:vAlign w:val="top"/>
          </w:tcPr>
          <w:p w14:paraId="41A7A35C">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3FC2F79F">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40DE1DE6">
            <w:pPr>
              <w:widowControl/>
              <w:kinsoku w:val="0"/>
              <w:autoSpaceDE w:val="0"/>
              <w:autoSpaceDN w:val="0"/>
              <w:adjustRightInd w:val="0"/>
              <w:snapToGrid w:val="0"/>
              <w:spacing w:before="58" w:line="275" w:lineRule="exact"/>
              <w:ind w:firstLine="200" w:firstLineChars="100"/>
              <w:jc w:val="both"/>
              <w:textAlignment w:val="baseline"/>
              <w:rPr>
                <w:rFonts w:hint="eastAsia" w:ascii="宋体" w:hAnsi="宋体" w:eastAsia="宋体" w:cs="宋体"/>
                <w:snapToGrid w:val="0"/>
                <w:color w:val="000000"/>
                <w:kern w:val="0"/>
                <w:position w:val="2"/>
                <w:sz w:val="20"/>
                <w:szCs w:val="20"/>
                <w:lang w:val="en-US" w:eastAsia="zh-CN"/>
              </w:rPr>
            </w:pPr>
            <w:r>
              <w:rPr>
                <w:rFonts w:hint="eastAsia" w:ascii="宋体" w:hAnsi="宋体" w:eastAsia="宋体" w:cs="宋体"/>
                <w:snapToGrid w:val="0"/>
                <w:color w:val="000000"/>
                <w:kern w:val="0"/>
                <w:position w:val="2"/>
                <w:sz w:val="20"/>
                <w:szCs w:val="20"/>
                <w:lang w:eastAsia="en-US"/>
              </w:rPr>
              <w:t>2</w:t>
            </w:r>
            <w:r>
              <w:rPr>
                <w:rFonts w:hint="eastAsia" w:ascii="宋体" w:hAnsi="宋体" w:eastAsia="宋体" w:cs="宋体"/>
                <w:snapToGrid w:val="0"/>
                <w:color w:val="000000"/>
                <w:kern w:val="0"/>
                <w:position w:val="2"/>
                <w:sz w:val="20"/>
                <w:szCs w:val="20"/>
                <w:lang w:val="en-US" w:eastAsia="zh-CN"/>
              </w:rPr>
              <w:t xml:space="preserve"> </w:t>
            </w:r>
          </w:p>
          <w:p w14:paraId="60C439F5">
            <w:pPr>
              <w:bidi w:val="0"/>
              <w:ind w:firstLine="281" w:firstLineChars="0"/>
              <w:jc w:val="left"/>
              <w:rPr>
                <w:rFonts w:hint="eastAsia" w:ascii="宋体" w:hAnsi="宋体" w:eastAsia="宋体" w:cs="宋体"/>
                <w:kern w:val="2"/>
                <w:sz w:val="21"/>
                <w:szCs w:val="24"/>
                <w:lang w:val="en-US" w:eastAsia="en-US" w:bidi="ar-SA"/>
              </w:rPr>
            </w:pPr>
          </w:p>
        </w:tc>
        <w:tc>
          <w:tcPr>
            <w:tcW w:w="5038" w:type="dxa"/>
            <w:gridSpan w:val="2"/>
            <w:vAlign w:val="top"/>
          </w:tcPr>
          <w:p w14:paraId="340865B2">
            <w:pPr>
              <w:pStyle w:val="29"/>
              <w:widowControl/>
              <w:spacing w:before="34" w:line="251" w:lineRule="auto"/>
              <w:ind w:left="111" w:right="60" w:firstLine="3"/>
              <w:jc w:val="both"/>
              <w:rPr>
                <w:rFonts w:hint="eastAsia" w:ascii="宋体" w:hAnsi="宋体" w:eastAsia="宋体" w:cs="宋体"/>
              </w:rPr>
            </w:pPr>
            <w:r>
              <w:rPr>
                <w:rFonts w:hint="eastAsia" w:ascii="宋体" w:hAnsi="宋体" w:eastAsia="宋体" w:cs="宋体"/>
                <w:spacing w:val="2"/>
              </w:rPr>
              <w:t>种植险案均立案结案周期：案件从立案到结案的平均时间（单位：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5"/>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年案均立案结案周期最</w:t>
            </w:r>
            <w:r>
              <w:rPr>
                <w:rFonts w:hint="eastAsia" w:ascii="宋体" w:hAnsi="宋体" w:eastAsia="宋体" w:cs="宋体"/>
                <w:spacing w:val="8"/>
              </w:rPr>
              <w:t>优值为评审基准值，该承保机构得满分。其他参加遴选的承保机</w:t>
            </w:r>
            <w:r>
              <w:rPr>
                <w:rFonts w:hint="eastAsia" w:ascii="宋体" w:hAnsi="宋体" w:eastAsia="宋体" w:cs="宋体"/>
                <w:spacing w:val="9"/>
              </w:rPr>
              <w:t>构按照下列公式计算：得分=评审基准值/其他参加遴</w:t>
            </w:r>
            <w:r>
              <w:rPr>
                <w:rFonts w:hint="eastAsia" w:ascii="宋体" w:hAnsi="宋体" w:eastAsia="宋体" w:cs="宋体"/>
                <w:spacing w:val="8"/>
              </w:rPr>
              <w:t>选的承保机</w:t>
            </w:r>
            <w:r>
              <w:rPr>
                <w:rFonts w:hint="eastAsia" w:ascii="宋体" w:hAnsi="宋体" w:eastAsia="宋体" w:cs="宋体"/>
                <w:spacing w:val="7"/>
              </w:rPr>
              <w:t>构种植险案均立案结案周期×2 分。</w:t>
            </w:r>
          </w:p>
        </w:tc>
        <w:tc>
          <w:tcPr>
            <w:tcW w:w="5955" w:type="dxa"/>
            <w:gridSpan w:val="2"/>
            <w:vAlign w:val="top"/>
          </w:tcPr>
          <w:p w14:paraId="34B09E65">
            <w:pPr>
              <w:pStyle w:val="29"/>
              <w:widowControl/>
              <w:spacing w:before="253" w:line="294" w:lineRule="auto"/>
              <w:ind w:left="110" w:right="106" w:firstLine="31"/>
              <w:jc w:val="both"/>
              <w:rPr>
                <w:rFonts w:hint="eastAsia" w:ascii="宋体" w:hAnsi="宋体" w:eastAsia="宋体" w:cs="宋体"/>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bl>
    <w:tbl>
      <w:tblPr>
        <w:tblStyle w:val="25"/>
        <w:tblpPr w:leftFromText="180" w:rightFromText="180" w:vertAnchor="text" w:horzAnchor="page" w:tblpX="1665" w:tblpY="94"/>
        <w:tblOverlap w:val="never"/>
        <w:tblW w:w="1350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0"/>
        <w:gridCol w:w="1005"/>
        <w:gridCol w:w="600"/>
        <w:gridCol w:w="5534"/>
        <w:gridCol w:w="5431"/>
      </w:tblGrid>
      <w:tr w14:paraId="1605E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Align w:val="top"/>
          </w:tcPr>
          <w:p w14:paraId="3AB7C6E6">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609E192D">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05" w:type="dxa"/>
            <w:vAlign w:val="top"/>
          </w:tcPr>
          <w:p w14:paraId="44636895">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4597BABE">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600" w:type="dxa"/>
            <w:vAlign w:val="top"/>
          </w:tcPr>
          <w:p w14:paraId="1BE9E32E">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534" w:type="dxa"/>
            <w:vAlign w:val="top"/>
          </w:tcPr>
          <w:p w14:paraId="4093CE3B">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431" w:type="dxa"/>
            <w:vAlign w:val="top"/>
          </w:tcPr>
          <w:p w14:paraId="64E0F575">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78960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restart"/>
            <w:vAlign w:val="top"/>
          </w:tcPr>
          <w:p w14:paraId="099D8EA4">
            <w:pPr>
              <w:pStyle w:val="29"/>
              <w:widowControl/>
              <w:spacing w:before="65" w:line="226" w:lineRule="auto"/>
              <w:ind w:left="159"/>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1005" w:type="dxa"/>
            <w:vAlign w:val="top"/>
          </w:tcPr>
          <w:p w14:paraId="47AE7E32">
            <w:pPr>
              <w:pStyle w:val="29"/>
              <w:widowControl/>
              <w:spacing w:before="65" w:line="226" w:lineRule="auto"/>
              <w:ind w:left="177"/>
              <w:rPr>
                <w:rFonts w:hint="eastAsia" w:ascii="宋体" w:hAnsi="宋体" w:eastAsia="宋体" w:cs="宋体"/>
                <w:b/>
                <w:bCs/>
                <w:spacing w:val="3"/>
              </w:rPr>
            </w:pPr>
          </w:p>
        </w:tc>
        <w:tc>
          <w:tcPr>
            <w:tcW w:w="600" w:type="dxa"/>
            <w:vAlign w:val="top"/>
          </w:tcPr>
          <w:p w14:paraId="332997C5">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36906728">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04926655">
            <w:pPr>
              <w:widowControl/>
              <w:kinsoku w:val="0"/>
              <w:autoSpaceDE w:val="0"/>
              <w:autoSpaceDN w:val="0"/>
              <w:adjustRightInd w:val="0"/>
              <w:snapToGrid w:val="0"/>
              <w:spacing w:before="57" w:line="276" w:lineRule="exact"/>
              <w:ind w:firstLine="200" w:firstLineChars="100"/>
              <w:jc w:val="both"/>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1</w:t>
            </w:r>
          </w:p>
        </w:tc>
        <w:tc>
          <w:tcPr>
            <w:tcW w:w="5534" w:type="dxa"/>
            <w:vAlign w:val="top"/>
          </w:tcPr>
          <w:p w14:paraId="71ABE8DD">
            <w:pPr>
              <w:pStyle w:val="29"/>
              <w:widowControl/>
              <w:spacing w:before="34" w:line="251" w:lineRule="auto"/>
              <w:ind w:left="110" w:leftChars="0" w:right="60" w:rightChars="0" w:hanging="1" w:firstLineChars="0"/>
              <w:jc w:val="both"/>
              <w:rPr>
                <w:rFonts w:hint="eastAsia" w:ascii="宋体" w:hAnsi="宋体" w:eastAsia="宋体" w:cs="宋体"/>
                <w:b/>
                <w:bCs/>
                <w:spacing w:val="-1"/>
              </w:rPr>
            </w:pPr>
            <w:r>
              <w:rPr>
                <w:rFonts w:hint="eastAsia" w:ascii="宋体" w:hAnsi="宋体" w:eastAsia="宋体" w:cs="宋体"/>
                <w:spacing w:val="2"/>
              </w:rPr>
              <w:t>森林险案均立案结案周期：案件从立案到结案的平均时间（单位：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5"/>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年案均立案结案周期最</w:t>
            </w:r>
            <w:r>
              <w:rPr>
                <w:rFonts w:hint="eastAsia" w:ascii="宋体" w:hAnsi="宋体" w:eastAsia="宋体" w:cs="宋体"/>
                <w:spacing w:val="8"/>
              </w:rPr>
              <w:t>优值为评审基准值，该承保机构得满分。其他参加遴选的承保机</w:t>
            </w:r>
            <w:r>
              <w:rPr>
                <w:rFonts w:hint="eastAsia" w:ascii="宋体" w:hAnsi="宋体" w:eastAsia="宋体" w:cs="宋体"/>
                <w:spacing w:val="9"/>
              </w:rPr>
              <w:t>构按照下列公式计算：得分=评审基准值/其他参加遴</w:t>
            </w:r>
            <w:r>
              <w:rPr>
                <w:rFonts w:hint="eastAsia" w:ascii="宋体" w:hAnsi="宋体" w:eastAsia="宋体" w:cs="宋体"/>
                <w:spacing w:val="8"/>
              </w:rPr>
              <w:t>选的承保机</w:t>
            </w:r>
            <w:r>
              <w:rPr>
                <w:rFonts w:hint="eastAsia" w:ascii="宋体" w:hAnsi="宋体" w:eastAsia="宋体" w:cs="宋体"/>
                <w:spacing w:val="7"/>
              </w:rPr>
              <w:t>构森林险案均立案结案周期×1 分。</w:t>
            </w:r>
          </w:p>
        </w:tc>
        <w:tc>
          <w:tcPr>
            <w:tcW w:w="5431" w:type="dxa"/>
            <w:vAlign w:val="top"/>
          </w:tcPr>
          <w:p w14:paraId="31F33E64">
            <w:pPr>
              <w:pStyle w:val="29"/>
              <w:widowControl/>
              <w:spacing w:before="253" w:line="295" w:lineRule="auto"/>
              <w:ind w:left="110" w:leftChars="0" w:right="106" w:rightChars="0" w:firstLine="31" w:firstLineChars="0"/>
              <w:jc w:val="both"/>
              <w:rPr>
                <w:rFonts w:hint="eastAsia" w:ascii="宋体" w:hAnsi="宋体" w:eastAsia="宋体" w:cs="宋体"/>
                <w:b/>
                <w:bCs/>
                <w:spacing w:val="-2"/>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r w14:paraId="725BE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continue"/>
            <w:vAlign w:val="top"/>
          </w:tcPr>
          <w:p w14:paraId="0D21EE90">
            <w:pPr>
              <w:pStyle w:val="29"/>
              <w:widowControl/>
              <w:spacing w:before="65" w:line="226" w:lineRule="auto"/>
              <w:ind w:left="159"/>
              <w:rPr>
                <w:rFonts w:hint="eastAsia" w:ascii="宋体" w:hAnsi="宋体" w:eastAsia="宋体" w:cs="宋体"/>
                <w:b/>
                <w:bCs/>
                <w:spacing w:val="3"/>
              </w:rPr>
            </w:pPr>
          </w:p>
        </w:tc>
        <w:tc>
          <w:tcPr>
            <w:tcW w:w="1005" w:type="dxa"/>
            <w:vAlign w:val="top"/>
          </w:tcPr>
          <w:p w14:paraId="23C295A0">
            <w:pPr>
              <w:pStyle w:val="29"/>
              <w:widowControl/>
              <w:spacing w:before="65" w:line="226" w:lineRule="auto"/>
              <w:ind w:left="177"/>
              <w:rPr>
                <w:rFonts w:hint="eastAsia" w:ascii="宋体" w:hAnsi="宋体" w:eastAsia="宋体" w:cs="宋体"/>
                <w:b/>
                <w:bCs/>
                <w:spacing w:val="3"/>
              </w:rPr>
            </w:pPr>
            <w:r>
              <w:rPr>
                <w:rFonts w:hint="eastAsia" w:ascii="宋体" w:hAnsi="宋体" w:eastAsia="宋体" w:cs="宋体"/>
                <w:spacing w:val="4"/>
              </w:rPr>
              <w:t>承保</w:t>
            </w:r>
            <w:r>
              <w:rPr>
                <w:rFonts w:hint="eastAsia" w:ascii="宋体" w:hAnsi="宋体" w:eastAsia="宋体" w:cs="宋体"/>
                <w:spacing w:val="1"/>
              </w:rPr>
              <w:t>业绩</w:t>
            </w:r>
            <w:r>
              <w:rPr>
                <w:rFonts w:hint="eastAsia" w:ascii="宋体" w:hAnsi="宋体" w:eastAsia="宋体" w:cs="宋体"/>
                <w:spacing w:val="7"/>
              </w:rPr>
              <w:t>4</w:t>
            </w:r>
            <w:r>
              <w:rPr>
                <w:rFonts w:hint="eastAsia" w:ascii="宋体" w:hAnsi="宋体" w:eastAsia="宋体" w:cs="宋体"/>
                <w:spacing w:val="10"/>
              </w:rPr>
              <w:t xml:space="preserve"> </w:t>
            </w:r>
            <w:r>
              <w:rPr>
                <w:rFonts w:hint="eastAsia" w:ascii="宋体" w:hAnsi="宋体" w:eastAsia="宋体" w:cs="宋体"/>
                <w:spacing w:val="7"/>
              </w:rPr>
              <w:t>分</w:t>
            </w:r>
          </w:p>
        </w:tc>
        <w:tc>
          <w:tcPr>
            <w:tcW w:w="600" w:type="dxa"/>
            <w:vAlign w:val="top"/>
          </w:tcPr>
          <w:p w14:paraId="22A1AC33">
            <w:pPr>
              <w:widowControl/>
              <w:kinsoku w:val="0"/>
              <w:autoSpaceDE w:val="0"/>
              <w:autoSpaceDN w:val="0"/>
              <w:adjustRightInd w:val="0"/>
              <w:snapToGrid w:val="0"/>
              <w:spacing w:line="322" w:lineRule="auto"/>
              <w:jc w:val="both"/>
              <w:textAlignment w:val="baseline"/>
              <w:rPr>
                <w:rFonts w:hint="eastAsia" w:ascii="宋体" w:hAnsi="宋体" w:eastAsia="宋体" w:cs="宋体"/>
                <w:snapToGrid w:val="0"/>
                <w:color w:val="000000"/>
                <w:kern w:val="0"/>
                <w:sz w:val="21"/>
                <w:szCs w:val="21"/>
                <w:lang w:eastAsia="en-US"/>
              </w:rPr>
            </w:pPr>
          </w:p>
          <w:p w14:paraId="3B704A6C">
            <w:pPr>
              <w:widowControl/>
              <w:kinsoku w:val="0"/>
              <w:autoSpaceDE w:val="0"/>
              <w:autoSpaceDN w:val="0"/>
              <w:adjustRightInd w:val="0"/>
              <w:snapToGrid w:val="0"/>
              <w:spacing w:line="322" w:lineRule="auto"/>
              <w:jc w:val="both"/>
              <w:textAlignment w:val="baseline"/>
              <w:rPr>
                <w:rFonts w:hint="eastAsia" w:ascii="宋体" w:hAnsi="宋体" w:eastAsia="宋体" w:cs="宋体"/>
                <w:snapToGrid w:val="0"/>
                <w:color w:val="000000"/>
                <w:kern w:val="0"/>
                <w:sz w:val="21"/>
                <w:szCs w:val="21"/>
                <w:lang w:eastAsia="en-US"/>
              </w:rPr>
            </w:pPr>
          </w:p>
          <w:p w14:paraId="0A3738B5">
            <w:pPr>
              <w:widowControl/>
              <w:kinsoku w:val="0"/>
              <w:autoSpaceDE w:val="0"/>
              <w:autoSpaceDN w:val="0"/>
              <w:adjustRightInd w:val="0"/>
              <w:snapToGrid w:val="0"/>
              <w:spacing w:before="58" w:line="276" w:lineRule="exact"/>
              <w:ind w:firstLine="202" w:firstLineChars="100"/>
              <w:jc w:val="both"/>
              <w:textAlignment w:val="baseline"/>
              <w:rPr>
                <w:rFonts w:hint="eastAsia" w:ascii="宋体" w:hAnsi="宋体" w:eastAsia="宋体" w:cs="宋体"/>
                <w:b/>
                <w:bCs/>
                <w:spacing w:val="3"/>
              </w:rPr>
            </w:pPr>
            <w:r>
              <w:rPr>
                <w:rFonts w:hint="eastAsia" w:ascii="宋体" w:hAnsi="宋体" w:eastAsia="宋体" w:cs="宋体"/>
                <w:snapToGrid w:val="0"/>
                <w:color w:val="000000"/>
                <w:spacing w:val="1"/>
                <w:kern w:val="0"/>
                <w:position w:val="2"/>
                <w:sz w:val="20"/>
                <w:szCs w:val="20"/>
                <w:lang w:eastAsia="en-US"/>
              </w:rPr>
              <w:t>4</w:t>
            </w:r>
          </w:p>
        </w:tc>
        <w:tc>
          <w:tcPr>
            <w:tcW w:w="5534" w:type="dxa"/>
            <w:vAlign w:val="top"/>
          </w:tcPr>
          <w:p w14:paraId="5C909CD3">
            <w:pPr>
              <w:pStyle w:val="29"/>
              <w:widowControl/>
              <w:spacing w:before="36" w:line="252" w:lineRule="auto"/>
              <w:ind w:left="108" w:leftChars="0" w:right="103" w:rightChars="0" w:firstLine="4" w:firstLineChars="0"/>
              <w:jc w:val="both"/>
              <w:rPr>
                <w:rFonts w:hint="eastAsia" w:ascii="宋体" w:hAnsi="宋体" w:eastAsia="宋体" w:cs="宋体"/>
                <w:b/>
                <w:bCs/>
                <w:spacing w:val="-1"/>
              </w:rPr>
            </w:pPr>
            <w:r>
              <w:rPr>
                <w:rFonts w:hint="eastAsia" w:ascii="宋体" w:hAnsi="宋体" w:eastAsia="宋体" w:cs="宋体"/>
                <w:spacing w:val="8"/>
              </w:rPr>
              <w:t>农业保险（包括政策性和商业性种植险、养殖险、森林险）</w:t>
            </w:r>
            <w:r>
              <w:rPr>
                <w:rFonts w:hint="eastAsia" w:ascii="宋体" w:hAnsi="宋体" w:eastAsia="宋体" w:cs="宋体"/>
                <w:spacing w:val="7"/>
              </w:rPr>
              <w:t>的承</w:t>
            </w:r>
            <w:r>
              <w:rPr>
                <w:rFonts w:hint="eastAsia" w:ascii="宋体" w:hAnsi="宋体" w:eastAsia="宋体" w:cs="宋体"/>
                <w:spacing w:val="6"/>
              </w:rPr>
              <w:t>保业绩。</w:t>
            </w:r>
            <w:r>
              <w:rPr>
                <w:rFonts w:hint="eastAsia" w:ascii="宋体" w:hAnsi="宋体" w:eastAsia="宋体" w:cs="宋体"/>
                <w:spacing w:val="-43"/>
              </w:rPr>
              <w:t xml:space="preserve"> </w:t>
            </w:r>
            <w:r>
              <w:rPr>
                <w:rFonts w:hint="eastAsia" w:ascii="宋体" w:hAnsi="宋体" w:eastAsia="宋体" w:cs="宋体"/>
                <w:spacing w:val="6"/>
              </w:rPr>
              <w:t>以参加遴选的承保机构</w:t>
            </w:r>
            <w:r>
              <w:rPr>
                <w:rFonts w:hint="eastAsia" w:ascii="宋体" w:hAnsi="宋体" w:eastAsia="宋体" w:cs="宋体"/>
                <w:spacing w:val="-42"/>
              </w:rPr>
              <w:t xml:space="preserve"> </w:t>
            </w:r>
            <w:r>
              <w:rPr>
                <w:rFonts w:hint="eastAsia" w:ascii="宋体" w:hAnsi="宋体" w:eastAsia="宋体" w:cs="宋体"/>
                <w:spacing w:val="6"/>
              </w:rPr>
              <w:t>2022-2024 年遴选区域农业保险</w:t>
            </w:r>
            <w:r>
              <w:rPr>
                <w:rFonts w:hint="eastAsia" w:ascii="宋体" w:hAnsi="宋体" w:eastAsia="宋体" w:cs="宋体"/>
                <w:spacing w:val="8"/>
              </w:rPr>
              <w:t>年平均保费收入（按实际开展业务年限计算）最多的为评审基准值，该承保机构得满分。其他参加遴选的承保机构按照下列公式计算：得分=其他参加遴选的承保机构</w:t>
            </w:r>
            <w:r>
              <w:rPr>
                <w:rFonts w:hint="eastAsia" w:ascii="宋体" w:hAnsi="宋体" w:eastAsia="宋体" w:cs="宋体"/>
                <w:spacing w:val="-45"/>
              </w:rPr>
              <w:t xml:space="preserve"> </w:t>
            </w:r>
            <w:r>
              <w:rPr>
                <w:rFonts w:hint="eastAsia" w:ascii="宋体" w:hAnsi="宋体" w:eastAsia="宋体" w:cs="宋体"/>
                <w:spacing w:val="8"/>
              </w:rPr>
              <w:t>2022-2024 年遴选</w:t>
            </w:r>
            <w:r>
              <w:rPr>
                <w:rFonts w:hint="eastAsia" w:ascii="宋体" w:hAnsi="宋体" w:eastAsia="宋体" w:cs="宋体"/>
                <w:spacing w:val="7"/>
              </w:rPr>
              <w:t>区域农</w:t>
            </w:r>
            <w:r>
              <w:rPr>
                <w:rFonts w:hint="eastAsia" w:ascii="宋体" w:hAnsi="宋体" w:eastAsia="宋体" w:cs="宋体"/>
                <w:spacing w:val="8"/>
              </w:rPr>
              <w:t>业保险年平均保费收入/评审基准值×4 分。</w:t>
            </w:r>
          </w:p>
        </w:tc>
        <w:tc>
          <w:tcPr>
            <w:tcW w:w="5431" w:type="dxa"/>
            <w:vAlign w:val="top"/>
          </w:tcPr>
          <w:p w14:paraId="57AFF8B1">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5E6B183B">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7BDB23FD">
            <w:pPr>
              <w:pStyle w:val="29"/>
              <w:widowControl/>
              <w:spacing w:before="65" w:line="288" w:lineRule="auto"/>
              <w:ind w:left="114" w:leftChars="0" w:right="215" w:rightChars="0"/>
              <w:rPr>
                <w:rFonts w:hint="eastAsia" w:ascii="宋体" w:hAnsi="宋体" w:eastAsia="宋体" w:cs="宋体"/>
                <w:b/>
                <w:bCs/>
                <w:spacing w:val="-2"/>
              </w:rPr>
            </w:pPr>
            <w:r>
              <w:rPr>
                <w:rFonts w:hint="eastAsia" w:ascii="宋体" w:hAnsi="宋体" w:eastAsia="宋体" w:cs="宋体"/>
                <w:spacing w:val="10"/>
              </w:rPr>
              <w:t>承保业绩由参加遴选的承保机构提供经金融监管部门</w:t>
            </w:r>
            <w:r>
              <w:rPr>
                <w:rFonts w:hint="eastAsia" w:ascii="宋体" w:hAnsi="宋体" w:eastAsia="宋体" w:cs="宋体"/>
                <w:spacing w:val="9"/>
              </w:rPr>
              <w:t>或保险行业协会认定的相关证明文件，并加盖证明出具单位公章。</w:t>
            </w:r>
          </w:p>
        </w:tc>
      </w:tr>
      <w:tr w14:paraId="036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0" w:hRule="atLeast"/>
        </w:trPr>
        <w:tc>
          <w:tcPr>
            <w:tcW w:w="930" w:type="dxa"/>
            <w:vMerge w:val="continue"/>
            <w:vAlign w:val="top"/>
          </w:tcPr>
          <w:p w14:paraId="3FC9EACD">
            <w:pPr>
              <w:pStyle w:val="29"/>
              <w:widowControl/>
              <w:spacing w:before="65" w:line="226" w:lineRule="auto"/>
              <w:ind w:left="159"/>
              <w:rPr>
                <w:rFonts w:hint="eastAsia" w:ascii="宋体" w:hAnsi="宋体" w:eastAsia="宋体" w:cs="宋体"/>
                <w:b/>
                <w:bCs/>
                <w:spacing w:val="3"/>
              </w:rPr>
            </w:pPr>
          </w:p>
        </w:tc>
        <w:tc>
          <w:tcPr>
            <w:tcW w:w="1005" w:type="dxa"/>
            <w:vAlign w:val="top"/>
          </w:tcPr>
          <w:p w14:paraId="436F11CB">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46D26FBF">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6B720214">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44DBF30F">
            <w:pPr>
              <w:pStyle w:val="29"/>
              <w:widowControl/>
              <w:spacing w:before="65" w:line="294" w:lineRule="auto"/>
              <w:ind w:right="170" w:rightChars="0"/>
              <w:jc w:val="both"/>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3"/>
              </w:rPr>
              <w:t>经验</w:t>
            </w:r>
            <w:r>
              <w:rPr>
                <w:rFonts w:hint="eastAsia" w:ascii="宋体" w:hAnsi="宋体" w:eastAsia="宋体" w:cs="宋体"/>
                <w:spacing w:val="9"/>
              </w:rPr>
              <w:t>2</w:t>
            </w:r>
            <w:r>
              <w:rPr>
                <w:rFonts w:hint="eastAsia" w:ascii="宋体" w:hAnsi="宋体" w:eastAsia="宋体" w:cs="宋体"/>
                <w:spacing w:val="10"/>
              </w:rPr>
              <w:t xml:space="preserve"> </w:t>
            </w:r>
            <w:r>
              <w:rPr>
                <w:rFonts w:hint="eastAsia" w:ascii="宋体" w:hAnsi="宋体" w:eastAsia="宋体" w:cs="宋体"/>
                <w:spacing w:val="9"/>
              </w:rPr>
              <w:t>分</w:t>
            </w:r>
          </w:p>
        </w:tc>
        <w:tc>
          <w:tcPr>
            <w:tcW w:w="600" w:type="dxa"/>
            <w:vAlign w:val="top"/>
          </w:tcPr>
          <w:p w14:paraId="2563AA68">
            <w:pPr>
              <w:widowControl/>
              <w:kinsoku w:val="0"/>
              <w:autoSpaceDE w:val="0"/>
              <w:autoSpaceDN w:val="0"/>
              <w:adjustRightInd w:val="0"/>
              <w:snapToGrid w:val="0"/>
              <w:spacing w:line="262" w:lineRule="auto"/>
              <w:jc w:val="left"/>
              <w:textAlignment w:val="baseline"/>
              <w:rPr>
                <w:rFonts w:hint="eastAsia" w:ascii="宋体" w:hAnsi="宋体" w:eastAsia="宋体" w:cs="宋体"/>
                <w:snapToGrid w:val="0"/>
                <w:color w:val="000000"/>
                <w:kern w:val="0"/>
                <w:sz w:val="21"/>
                <w:szCs w:val="21"/>
                <w:lang w:eastAsia="en-US"/>
              </w:rPr>
            </w:pPr>
          </w:p>
          <w:p w14:paraId="3A315894">
            <w:pPr>
              <w:widowControl/>
              <w:kinsoku w:val="0"/>
              <w:autoSpaceDE w:val="0"/>
              <w:autoSpaceDN w:val="0"/>
              <w:adjustRightInd w:val="0"/>
              <w:snapToGrid w:val="0"/>
              <w:spacing w:line="263" w:lineRule="auto"/>
              <w:jc w:val="left"/>
              <w:textAlignment w:val="baseline"/>
              <w:rPr>
                <w:rFonts w:hint="eastAsia" w:ascii="宋体" w:hAnsi="宋体" w:eastAsia="宋体" w:cs="宋体"/>
                <w:snapToGrid w:val="0"/>
                <w:color w:val="000000"/>
                <w:kern w:val="0"/>
                <w:sz w:val="21"/>
                <w:szCs w:val="21"/>
                <w:lang w:eastAsia="en-US"/>
              </w:rPr>
            </w:pPr>
          </w:p>
          <w:p w14:paraId="7581B88A">
            <w:pPr>
              <w:widowControl/>
              <w:kinsoku w:val="0"/>
              <w:autoSpaceDE w:val="0"/>
              <w:autoSpaceDN w:val="0"/>
              <w:adjustRightInd w:val="0"/>
              <w:snapToGrid w:val="0"/>
              <w:spacing w:line="263" w:lineRule="auto"/>
              <w:jc w:val="left"/>
              <w:textAlignment w:val="baseline"/>
              <w:rPr>
                <w:rFonts w:hint="eastAsia" w:ascii="宋体" w:hAnsi="宋体" w:eastAsia="宋体" w:cs="宋体"/>
                <w:snapToGrid w:val="0"/>
                <w:color w:val="000000"/>
                <w:kern w:val="0"/>
                <w:sz w:val="21"/>
                <w:szCs w:val="21"/>
                <w:lang w:eastAsia="en-US"/>
              </w:rPr>
            </w:pPr>
          </w:p>
          <w:p w14:paraId="01D1A669">
            <w:pPr>
              <w:widowControl/>
              <w:kinsoku w:val="0"/>
              <w:autoSpaceDE w:val="0"/>
              <w:autoSpaceDN w:val="0"/>
              <w:adjustRightInd w:val="0"/>
              <w:snapToGrid w:val="0"/>
              <w:spacing w:before="57" w:line="276"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534" w:type="dxa"/>
            <w:vAlign w:val="top"/>
          </w:tcPr>
          <w:p w14:paraId="6685AF4F">
            <w:pPr>
              <w:pStyle w:val="29"/>
              <w:widowControl/>
              <w:spacing w:before="20" w:line="285" w:lineRule="auto"/>
              <w:ind w:left="108" w:leftChars="0" w:right="93" w:rightChars="0" w:hanging="1" w:firstLineChars="0"/>
              <w:jc w:val="both"/>
              <w:rPr>
                <w:rFonts w:hint="eastAsia" w:ascii="宋体" w:hAnsi="宋体" w:eastAsia="宋体" w:cs="宋体"/>
                <w:b/>
                <w:bCs/>
                <w:spacing w:val="-1"/>
              </w:rPr>
            </w:pPr>
            <w:r>
              <w:rPr>
                <w:rFonts w:hint="eastAsia" w:ascii="宋体" w:hAnsi="宋体" w:eastAsia="宋体" w:cs="宋体"/>
                <w:spacing w:val="8"/>
              </w:rPr>
              <w:t>2022-2024 年期间参加遴选的承保机构总公司系统内其它省分公</w:t>
            </w:r>
            <w:r>
              <w:rPr>
                <w:rFonts w:hint="eastAsia" w:ascii="宋体" w:hAnsi="宋体" w:eastAsia="宋体" w:cs="宋体"/>
                <w:spacing w:val="6"/>
              </w:rPr>
              <w:t>司获得（直辖市、</w:t>
            </w:r>
            <w:r>
              <w:rPr>
                <w:rFonts w:hint="eastAsia" w:ascii="宋体" w:hAnsi="宋体" w:eastAsia="宋体" w:cs="宋体"/>
                <w:spacing w:val="-39"/>
              </w:rPr>
              <w:t xml:space="preserve"> </w:t>
            </w:r>
            <w:r>
              <w:rPr>
                <w:rFonts w:hint="eastAsia" w:ascii="宋体" w:hAnsi="宋体" w:eastAsia="宋体" w:cs="宋体"/>
                <w:spacing w:val="6"/>
              </w:rPr>
              <w:t>自治区、新疆生产建设兵团）农业保险遴选业</w:t>
            </w:r>
            <w:r>
              <w:rPr>
                <w:rFonts w:hint="eastAsia" w:ascii="宋体" w:hAnsi="宋体" w:eastAsia="宋体" w:cs="宋体"/>
                <w:spacing w:val="5"/>
              </w:rPr>
              <w:t>务承保资格并开展业务的，承保区域覆盖省份＞20</w:t>
            </w:r>
            <w:r>
              <w:rPr>
                <w:rFonts w:hint="eastAsia" w:ascii="宋体" w:hAnsi="宋体" w:eastAsia="宋体" w:cs="宋体"/>
                <w:spacing w:val="31"/>
                <w:w w:val="101"/>
              </w:rPr>
              <w:t xml:space="preserve"> </w:t>
            </w:r>
            <w:r>
              <w:rPr>
                <w:rFonts w:hint="eastAsia" w:ascii="宋体" w:hAnsi="宋体" w:eastAsia="宋体" w:cs="宋体"/>
                <w:spacing w:val="5"/>
              </w:rPr>
              <w:t>个（含）以上</w:t>
            </w:r>
            <w:r>
              <w:rPr>
                <w:rFonts w:hint="eastAsia" w:ascii="宋体" w:hAnsi="宋体" w:eastAsia="宋体" w:cs="宋体"/>
                <w:spacing w:val="-4"/>
              </w:rPr>
              <w:t>计</w:t>
            </w:r>
            <w:r>
              <w:rPr>
                <w:rFonts w:hint="eastAsia" w:ascii="宋体" w:hAnsi="宋体" w:eastAsia="宋体" w:cs="宋体"/>
                <w:spacing w:val="-53"/>
              </w:rPr>
              <w:t xml:space="preserve"> </w:t>
            </w:r>
            <w:r>
              <w:rPr>
                <w:rFonts w:hint="eastAsia" w:ascii="宋体" w:hAnsi="宋体" w:eastAsia="宋体" w:cs="宋体"/>
                <w:spacing w:val="-4"/>
              </w:rPr>
              <w:t>2 分，承保区域覆盖省份</w:t>
            </w:r>
            <w:r>
              <w:rPr>
                <w:rFonts w:hint="eastAsia" w:ascii="宋体" w:hAnsi="宋体" w:eastAsia="宋体" w:cs="宋体"/>
                <w:spacing w:val="-37"/>
              </w:rPr>
              <w:t xml:space="preserve"> </w:t>
            </w:r>
            <w:r>
              <w:rPr>
                <w:rFonts w:hint="eastAsia" w:ascii="宋体" w:hAnsi="宋体" w:eastAsia="宋体" w:cs="宋体"/>
                <w:spacing w:val="-4"/>
              </w:rPr>
              <w:t>15 个（含）-20 个（不含）计</w:t>
            </w:r>
            <w:r>
              <w:rPr>
                <w:rFonts w:hint="eastAsia" w:ascii="宋体" w:hAnsi="宋体" w:eastAsia="宋体" w:cs="宋体"/>
                <w:spacing w:val="-38"/>
              </w:rPr>
              <w:t xml:space="preserve"> </w:t>
            </w:r>
            <w:r>
              <w:rPr>
                <w:rFonts w:hint="eastAsia" w:ascii="宋体" w:hAnsi="宋体" w:eastAsia="宋体" w:cs="宋体"/>
                <w:spacing w:val="-4"/>
              </w:rPr>
              <w:t>1.5 分，承</w:t>
            </w:r>
            <w:r>
              <w:rPr>
                <w:rFonts w:hint="eastAsia" w:ascii="宋体" w:hAnsi="宋体" w:eastAsia="宋体" w:cs="宋体"/>
              </w:rPr>
              <w:t>保区域覆盖省份</w:t>
            </w:r>
            <w:r>
              <w:rPr>
                <w:rFonts w:hint="eastAsia" w:ascii="宋体" w:hAnsi="宋体" w:eastAsia="宋体" w:cs="宋体"/>
                <w:spacing w:val="-39"/>
              </w:rPr>
              <w:t xml:space="preserve"> </w:t>
            </w:r>
            <w:r>
              <w:rPr>
                <w:rFonts w:hint="eastAsia" w:ascii="宋体" w:hAnsi="宋体" w:eastAsia="宋体" w:cs="宋体"/>
              </w:rPr>
              <w:t>10 个（含）-15 个</w:t>
            </w:r>
            <w:r>
              <w:rPr>
                <w:rFonts w:hint="eastAsia" w:ascii="宋体" w:hAnsi="宋体" w:eastAsia="宋体" w:cs="宋体"/>
                <w:spacing w:val="-1"/>
              </w:rPr>
              <w:t>（不含）计1 分，承保区域覆盖</w:t>
            </w:r>
            <w:r>
              <w:rPr>
                <w:rFonts w:hint="eastAsia" w:ascii="宋体" w:hAnsi="宋体" w:eastAsia="宋体" w:cs="宋体"/>
                <w:spacing w:val="-2"/>
              </w:rPr>
              <w:t>省份</w:t>
            </w:r>
            <w:r>
              <w:rPr>
                <w:rFonts w:hint="eastAsia" w:ascii="宋体" w:hAnsi="宋体" w:eastAsia="宋体" w:cs="宋体"/>
                <w:spacing w:val="-33"/>
              </w:rPr>
              <w:t xml:space="preserve"> </w:t>
            </w:r>
            <w:r>
              <w:rPr>
                <w:rFonts w:hint="eastAsia" w:ascii="宋体" w:hAnsi="宋体" w:eastAsia="宋体" w:cs="宋体"/>
                <w:spacing w:val="-2"/>
              </w:rPr>
              <w:t>5 个（含）-10 个（不含）计</w:t>
            </w:r>
            <w:r>
              <w:rPr>
                <w:rFonts w:hint="eastAsia" w:ascii="宋体" w:hAnsi="宋体" w:eastAsia="宋体" w:cs="宋体"/>
                <w:spacing w:val="-53"/>
              </w:rPr>
              <w:t xml:space="preserve"> </w:t>
            </w:r>
            <w:r>
              <w:rPr>
                <w:rFonts w:hint="eastAsia" w:ascii="宋体" w:hAnsi="宋体" w:eastAsia="宋体" w:cs="宋体"/>
                <w:spacing w:val="-2"/>
              </w:rPr>
              <w:t>0.5 分，承保区域覆盖省份</w:t>
            </w:r>
            <w:r>
              <w:rPr>
                <w:rFonts w:hint="eastAsia" w:ascii="宋体" w:hAnsi="宋体" w:eastAsia="宋体" w:cs="宋体"/>
                <w:spacing w:val="-52"/>
              </w:rPr>
              <w:t xml:space="preserve"> </w:t>
            </w:r>
            <w:r>
              <w:rPr>
                <w:rFonts w:hint="eastAsia" w:ascii="宋体" w:hAnsi="宋体" w:eastAsia="宋体" w:cs="宋体"/>
                <w:spacing w:val="-2"/>
              </w:rPr>
              <w:t>5 个以下计</w:t>
            </w:r>
            <w:r>
              <w:rPr>
                <w:rFonts w:hint="eastAsia" w:ascii="宋体" w:hAnsi="宋体" w:eastAsia="宋体" w:cs="宋体"/>
                <w:spacing w:val="-40"/>
              </w:rPr>
              <w:t xml:space="preserve"> </w:t>
            </w:r>
            <w:r>
              <w:rPr>
                <w:rFonts w:hint="eastAsia" w:ascii="宋体" w:hAnsi="宋体" w:eastAsia="宋体" w:cs="宋体"/>
                <w:spacing w:val="-2"/>
              </w:rPr>
              <w:t>0 分。同一省份（直辖市、自治区、新疆生产建设兵团）下辖</w:t>
            </w:r>
            <w:r>
              <w:rPr>
                <w:rFonts w:hint="eastAsia" w:ascii="宋体" w:hAnsi="宋体" w:eastAsia="宋体" w:cs="宋体"/>
              </w:rPr>
              <w:t>机构于</w:t>
            </w:r>
            <w:r>
              <w:rPr>
                <w:rFonts w:hint="eastAsia" w:ascii="宋体" w:hAnsi="宋体" w:eastAsia="宋体" w:cs="宋体"/>
                <w:spacing w:val="-49"/>
              </w:rPr>
              <w:t xml:space="preserve"> </w:t>
            </w:r>
            <w:r>
              <w:rPr>
                <w:rFonts w:hint="eastAsia" w:ascii="宋体" w:hAnsi="宋体" w:eastAsia="宋体" w:cs="宋体"/>
              </w:rPr>
              <w:t>2022-2024 年多次农业保险遴选中选的，只计算1 次。</w:t>
            </w:r>
          </w:p>
        </w:tc>
        <w:tc>
          <w:tcPr>
            <w:tcW w:w="5431" w:type="dxa"/>
            <w:vAlign w:val="top"/>
          </w:tcPr>
          <w:p w14:paraId="4C961AA3">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060FF709">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61CA326B">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69E59BF7">
            <w:pPr>
              <w:pStyle w:val="29"/>
              <w:widowControl/>
              <w:spacing w:before="65" w:line="288" w:lineRule="auto"/>
              <w:ind w:left="111" w:leftChars="0" w:right="107" w:rightChars="0"/>
              <w:jc w:val="both"/>
              <w:rPr>
                <w:rFonts w:hint="eastAsia" w:ascii="宋体" w:hAnsi="宋体" w:eastAsia="宋体" w:cs="宋体"/>
                <w:b/>
                <w:bCs/>
                <w:spacing w:val="-2"/>
              </w:rPr>
            </w:pPr>
            <w:r>
              <w:rPr>
                <w:rFonts w:hint="eastAsia" w:ascii="宋体" w:hAnsi="宋体" w:eastAsia="宋体" w:cs="宋体"/>
                <w:spacing w:val="7"/>
              </w:rPr>
              <w:t>遴选业务承保资格覆盖省份（直辖市、自治区</w:t>
            </w:r>
            <w:r>
              <w:rPr>
                <w:rFonts w:hint="eastAsia" w:ascii="宋体" w:hAnsi="宋体" w:eastAsia="宋体" w:cs="宋体"/>
                <w:spacing w:val="6"/>
              </w:rPr>
              <w:t>）根据相应地区遴选中标合</w:t>
            </w:r>
            <w:r>
              <w:rPr>
                <w:rFonts w:hint="eastAsia" w:ascii="宋体" w:hAnsi="宋体" w:eastAsia="宋体" w:cs="宋体"/>
                <w:spacing w:val="7"/>
              </w:rPr>
              <w:t>同复印件（提供合同首页及盖章，可证明开展</w:t>
            </w:r>
            <w:r>
              <w:rPr>
                <w:rFonts w:hint="eastAsia" w:ascii="宋体" w:hAnsi="宋体" w:eastAsia="宋体" w:cs="宋体"/>
                <w:spacing w:val="6"/>
              </w:rPr>
              <w:t>了相关业务即可，无需提供</w:t>
            </w:r>
            <w:r>
              <w:rPr>
                <w:rFonts w:hint="eastAsia" w:ascii="宋体" w:hAnsi="宋体" w:eastAsia="宋体" w:cs="宋体"/>
                <w:spacing w:val="7"/>
              </w:rPr>
              <w:t>全部合同）核定。</w:t>
            </w:r>
          </w:p>
        </w:tc>
      </w:tr>
      <w:tr w14:paraId="5E44E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continue"/>
            <w:vAlign w:val="top"/>
          </w:tcPr>
          <w:p w14:paraId="5D3AFB94">
            <w:pPr>
              <w:pStyle w:val="29"/>
              <w:widowControl/>
              <w:spacing w:before="65" w:line="226" w:lineRule="auto"/>
              <w:ind w:left="159"/>
              <w:rPr>
                <w:rFonts w:hint="eastAsia" w:ascii="宋体" w:hAnsi="宋体" w:eastAsia="宋体" w:cs="宋体"/>
                <w:b/>
                <w:bCs/>
                <w:spacing w:val="3"/>
              </w:rPr>
            </w:pPr>
          </w:p>
        </w:tc>
        <w:tc>
          <w:tcPr>
            <w:tcW w:w="1005" w:type="dxa"/>
            <w:vAlign w:val="top"/>
          </w:tcPr>
          <w:p w14:paraId="0A0AAA18">
            <w:pPr>
              <w:pStyle w:val="29"/>
              <w:widowControl/>
              <w:spacing w:before="132" w:line="226" w:lineRule="auto"/>
              <w:ind w:left="173"/>
              <w:rPr>
                <w:rFonts w:hint="eastAsia" w:ascii="宋体" w:hAnsi="宋体" w:eastAsia="宋体" w:cs="宋体"/>
              </w:rPr>
            </w:pPr>
            <w:r>
              <w:rPr>
                <w:rFonts w:hint="eastAsia" w:ascii="宋体" w:hAnsi="宋体" w:eastAsia="宋体" w:cs="宋体"/>
                <w:spacing w:val="6"/>
              </w:rPr>
              <w:t>表彰</w:t>
            </w:r>
          </w:p>
          <w:p w14:paraId="5ED0D75F">
            <w:pPr>
              <w:pStyle w:val="29"/>
              <w:widowControl/>
              <w:spacing w:before="67" w:line="229" w:lineRule="auto"/>
              <w:ind w:left="172"/>
              <w:rPr>
                <w:rFonts w:hint="eastAsia" w:ascii="宋体" w:hAnsi="宋体" w:eastAsia="宋体" w:cs="宋体"/>
              </w:rPr>
            </w:pPr>
            <w:r>
              <w:rPr>
                <w:rFonts w:hint="eastAsia" w:ascii="宋体" w:hAnsi="宋体" w:eastAsia="宋体" w:cs="宋体"/>
                <w:spacing w:val="6"/>
              </w:rPr>
              <w:t>及试</w:t>
            </w:r>
          </w:p>
          <w:p w14:paraId="4843BB13">
            <w:pPr>
              <w:pStyle w:val="29"/>
              <w:widowControl/>
              <w:spacing w:before="32" w:line="289" w:lineRule="auto"/>
              <w:ind w:right="198" w:rightChars="0" w:firstLine="180" w:firstLineChars="100"/>
              <w:rPr>
                <w:rFonts w:hint="eastAsia" w:ascii="宋体" w:hAnsi="宋体" w:eastAsia="宋体" w:cs="宋体"/>
                <w:b/>
                <w:bCs/>
                <w:spacing w:val="3"/>
              </w:rPr>
            </w:pPr>
            <w:r>
              <w:rPr>
                <w:rFonts w:hint="eastAsia" w:ascii="宋体" w:hAnsi="宋体" w:eastAsia="宋体" w:cs="宋体"/>
                <w:spacing w:val="-10"/>
              </w:rPr>
              <w:t>点3</w:t>
            </w:r>
            <w:r>
              <w:rPr>
                <w:rFonts w:hint="eastAsia" w:ascii="宋体" w:hAnsi="宋体" w:eastAsia="宋体" w:cs="宋体"/>
              </w:rPr>
              <w:t>分</w:t>
            </w:r>
          </w:p>
        </w:tc>
        <w:tc>
          <w:tcPr>
            <w:tcW w:w="600" w:type="dxa"/>
            <w:vAlign w:val="top"/>
          </w:tcPr>
          <w:p w14:paraId="0702CC63">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2D65447C">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28E3EF3B">
            <w:pPr>
              <w:widowControl/>
              <w:kinsoku w:val="0"/>
              <w:autoSpaceDE w:val="0"/>
              <w:autoSpaceDN w:val="0"/>
              <w:adjustRightInd w:val="0"/>
              <w:snapToGrid w:val="0"/>
              <w:spacing w:before="58" w:line="275" w:lineRule="exact"/>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534" w:type="dxa"/>
            <w:vAlign w:val="top"/>
          </w:tcPr>
          <w:p w14:paraId="4601910C">
            <w:pPr>
              <w:pStyle w:val="29"/>
              <w:widowControl/>
              <w:spacing w:before="37" w:line="251" w:lineRule="auto"/>
              <w:ind w:left="107" w:leftChars="0" w:right="104" w:rightChars="0" w:firstLine="7" w:firstLineChars="0"/>
              <w:jc w:val="both"/>
              <w:rPr>
                <w:rFonts w:hint="eastAsia" w:ascii="宋体" w:hAnsi="宋体" w:eastAsia="宋体" w:cs="宋体"/>
                <w:b/>
                <w:bCs/>
                <w:spacing w:val="-1"/>
              </w:rPr>
            </w:pPr>
            <w:r>
              <w:rPr>
                <w:rFonts w:hint="eastAsia" w:ascii="宋体" w:hAnsi="宋体" w:eastAsia="宋体" w:cs="宋体"/>
                <w:spacing w:val="8"/>
              </w:rPr>
              <w:t>获得奖励表彰和项目试点的情况。参加遴选的承保机构省级</w:t>
            </w:r>
            <w:r>
              <w:rPr>
                <w:rFonts w:hint="eastAsia" w:ascii="宋体" w:hAnsi="宋体" w:eastAsia="宋体" w:cs="宋体"/>
                <w:spacing w:val="7"/>
              </w:rPr>
              <w:t>公司2022-2024 年获得省级（含）</w:t>
            </w:r>
            <w:r>
              <w:rPr>
                <w:rFonts w:hint="eastAsia" w:ascii="宋体" w:hAnsi="宋体" w:eastAsia="宋体" w:cs="宋体"/>
                <w:spacing w:val="-53"/>
              </w:rPr>
              <w:t xml:space="preserve"> </w:t>
            </w:r>
            <w:r>
              <w:rPr>
                <w:rFonts w:hint="eastAsia" w:ascii="宋体" w:hAnsi="宋体" w:eastAsia="宋体" w:cs="宋体"/>
                <w:spacing w:val="7"/>
              </w:rPr>
              <w:t>以上有关财政、农</w:t>
            </w:r>
            <w:r>
              <w:rPr>
                <w:rFonts w:hint="eastAsia" w:ascii="宋体" w:hAnsi="宋体" w:eastAsia="宋体" w:cs="宋体"/>
                <w:spacing w:val="6"/>
              </w:rPr>
              <w:t>业农村、金融管</w:t>
            </w:r>
            <w:r>
              <w:rPr>
                <w:rFonts w:hint="eastAsia" w:ascii="宋体" w:hAnsi="宋体" w:eastAsia="宋体" w:cs="宋体"/>
                <w:spacing w:val="8"/>
              </w:rPr>
              <w:t>理及监管等部门在农业保险工作方面的表彰，以及参加遴选的承保机构在遴选区域承担省级（含）以上职能部门农业保险试点项</w:t>
            </w:r>
            <w:r>
              <w:rPr>
                <w:rFonts w:hint="eastAsia" w:ascii="宋体" w:hAnsi="宋体" w:eastAsia="宋体" w:cs="宋体"/>
                <w:spacing w:val="7"/>
              </w:rPr>
              <w:t>目或任务的。每一项计</w:t>
            </w:r>
            <w:r>
              <w:rPr>
                <w:rFonts w:hint="eastAsia" w:ascii="宋体" w:hAnsi="宋体" w:eastAsia="宋体" w:cs="宋体"/>
                <w:spacing w:val="-23"/>
              </w:rPr>
              <w:t xml:space="preserve"> </w:t>
            </w:r>
            <w:r>
              <w:rPr>
                <w:rFonts w:hint="eastAsia" w:ascii="宋体" w:hAnsi="宋体" w:eastAsia="宋体" w:cs="宋体"/>
                <w:spacing w:val="7"/>
              </w:rPr>
              <w:t>1 分，最高分不超过</w:t>
            </w:r>
            <w:r>
              <w:rPr>
                <w:rFonts w:hint="eastAsia" w:ascii="宋体" w:hAnsi="宋体" w:eastAsia="宋体" w:cs="宋体"/>
                <w:spacing w:val="-41"/>
              </w:rPr>
              <w:t xml:space="preserve"> </w:t>
            </w:r>
            <w:r>
              <w:rPr>
                <w:rFonts w:hint="eastAsia" w:ascii="宋体" w:hAnsi="宋体" w:eastAsia="宋体" w:cs="宋体"/>
                <w:spacing w:val="7"/>
              </w:rPr>
              <w:t>3 分。</w:t>
            </w:r>
          </w:p>
        </w:tc>
        <w:tc>
          <w:tcPr>
            <w:tcW w:w="5431" w:type="dxa"/>
            <w:vAlign w:val="top"/>
          </w:tcPr>
          <w:p w14:paraId="1A00987E">
            <w:pPr>
              <w:pStyle w:val="29"/>
              <w:widowControl/>
              <w:spacing w:before="257" w:line="294" w:lineRule="auto"/>
              <w:ind w:left="107" w:leftChars="0" w:right="107" w:rightChars="0" w:firstLine="9" w:firstLineChars="0"/>
              <w:jc w:val="both"/>
              <w:rPr>
                <w:rFonts w:hint="eastAsia" w:ascii="宋体" w:hAnsi="宋体" w:eastAsia="宋体" w:cs="宋体"/>
                <w:b/>
                <w:bCs/>
                <w:spacing w:val="-2"/>
              </w:rPr>
            </w:pPr>
            <w:r>
              <w:rPr>
                <w:rFonts w:hint="eastAsia" w:ascii="宋体" w:hAnsi="宋体" w:eastAsia="宋体" w:cs="宋体"/>
                <w:spacing w:val="6"/>
              </w:rPr>
              <w:t>参加遴选的承保机构需提供</w:t>
            </w:r>
            <w:r>
              <w:rPr>
                <w:rFonts w:hint="eastAsia" w:ascii="宋体" w:hAnsi="宋体" w:eastAsia="宋体" w:cs="宋体"/>
                <w:spacing w:val="-32"/>
              </w:rPr>
              <w:t xml:space="preserve"> </w:t>
            </w:r>
            <w:r>
              <w:rPr>
                <w:rFonts w:hint="eastAsia" w:ascii="宋体" w:hAnsi="宋体" w:eastAsia="宋体" w:cs="宋体"/>
                <w:spacing w:val="6"/>
              </w:rPr>
              <w:t>2022-2024 年受表彰的证明材料复印件、试点</w:t>
            </w:r>
            <w:r>
              <w:rPr>
                <w:rFonts w:hint="eastAsia" w:ascii="宋体" w:hAnsi="宋体" w:eastAsia="宋体" w:cs="宋体"/>
                <w:spacing w:val="7"/>
              </w:rPr>
              <w:t>项目或任务的证明材料复印件并加盖参加遴选的承保机</w:t>
            </w:r>
            <w:r>
              <w:rPr>
                <w:rFonts w:hint="eastAsia" w:ascii="宋体" w:hAnsi="宋体" w:eastAsia="宋体" w:cs="宋体"/>
                <w:spacing w:val="6"/>
              </w:rPr>
              <w:t>构公章。如提供虚</w:t>
            </w:r>
            <w:r>
              <w:rPr>
                <w:rFonts w:hint="eastAsia" w:ascii="宋体" w:hAnsi="宋体" w:eastAsia="宋体" w:cs="宋体"/>
                <w:spacing w:val="8"/>
              </w:rPr>
              <w:t>假材料，则中选资格作废。</w:t>
            </w:r>
          </w:p>
        </w:tc>
      </w:tr>
    </w:tbl>
    <w:tbl>
      <w:tblPr>
        <w:tblStyle w:val="25"/>
        <w:tblW w:w="134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1"/>
        <w:gridCol w:w="1001"/>
        <w:gridCol w:w="574"/>
        <w:gridCol w:w="5040"/>
        <w:gridCol w:w="5955"/>
      </w:tblGrid>
      <w:tr w14:paraId="28CCB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Align w:val="top"/>
          </w:tcPr>
          <w:p w14:paraId="2D36066A">
            <w:pPr>
              <w:pStyle w:val="29"/>
              <w:widowControl/>
              <w:spacing w:before="54" w:line="228" w:lineRule="auto"/>
              <w:ind w:left="170" w:firstLine="195" w:firstLineChars="100"/>
              <w:rPr>
                <w:rFonts w:hint="eastAsia" w:ascii="宋体" w:hAnsi="宋体" w:eastAsia="宋体" w:cs="宋体"/>
              </w:rPr>
            </w:pPr>
            <w:r>
              <w:rPr>
                <w:rFonts w:hint="eastAsia" w:ascii="宋体" w:hAnsi="宋体" w:eastAsia="宋体" w:cs="宋体"/>
                <w:b/>
                <w:bCs/>
                <w:spacing w:val="-3"/>
              </w:rPr>
              <w:t>一级</w:t>
            </w:r>
          </w:p>
          <w:p w14:paraId="293243E1">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01" w:type="dxa"/>
            <w:vAlign w:val="top"/>
          </w:tcPr>
          <w:p w14:paraId="43A71DFE">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4751386D">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74" w:type="dxa"/>
            <w:vAlign w:val="top"/>
          </w:tcPr>
          <w:p w14:paraId="71F45574">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40" w:type="dxa"/>
            <w:vAlign w:val="top"/>
          </w:tcPr>
          <w:p w14:paraId="4D3232A7">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vAlign w:val="top"/>
          </w:tcPr>
          <w:p w14:paraId="5E365338">
            <w:pPr>
              <w:pStyle w:val="29"/>
              <w:widowControl/>
              <w:tabs>
                <w:tab w:val="left" w:pos="5573"/>
              </w:tabs>
              <w:spacing w:before="210" w:line="226" w:lineRule="auto"/>
              <w:ind w:left="2687"/>
              <w:rPr>
                <w:rFonts w:hint="eastAsia" w:ascii="宋体" w:hAnsi="宋体" w:eastAsia="宋体" w:cs="宋体"/>
                <w:lang w:eastAsia="zh-CN"/>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r>
              <w:rPr>
                <w:rFonts w:hint="eastAsia" w:ascii="宋体" w:hAnsi="宋体" w:eastAsia="宋体" w:cs="宋体"/>
                <w:b/>
                <w:bCs/>
                <w:spacing w:val="-2"/>
                <w:lang w:eastAsia="zh-CN"/>
              </w:rPr>
              <w:tab/>
            </w:r>
          </w:p>
        </w:tc>
      </w:tr>
      <w:tr w14:paraId="2B378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restart"/>
            <w:vAlign w:val="top"/>
          </w:tcPr>
          <w:p w14:paraId="18523416">
            <w:pPr>
              <w:pStyle w:val="29"/>
              <w:widowControl/>
              <w:spacing w:before="65" w:line="228" w:lineRule="auto"/>
              <w:ind w:left="161"/>
              <w:rPr>
                <w:rFonts w:hint="eastAsia" w:ascii="宋体" w:hAnsi="宋体" w:eastAsia="宋体" w:cs="宋体"/>
              </w:rPr>
            </w:pPr>
            <w:r>
              <w:rPr>
                <w:rFonts w:hint="eastAsia" w:ascii="宋体" w:hAnsi="宋体" w:eastAsia="宋体" w:cs="宋体"/>
                <w:spacing w:val="4"/>
              </w:rPr>
              <w:t>合规</w:t>
            </w:r>
          </w:p>
          <w:p w14:paraId="70DAE016">
            <w:pPr>
              <w:pStyle w:val="29"/>
              <w:widowControl/>
              <w:spacing w:before="64" w:line="228" w:lineRule="auto"/>
              <w:ind w:left="164"/>
              <w:rPr>
                <w:rFonts w:hint="eastAsia" w:ascii="宋体" w:hAnsi="宋体" w:eastAsia="宋体" w:cs="宋体"/>
              </w:rPr>
            </w:pPr>
            <w:r>
              <w:rPr>
                <w:rFonts w:hint="eastAsia" w:ascii="宋体" w:hAnsi="宋体" w:eastAsia="宋体" w:cs="宋体"/>
                <w:spacing w:val="2"/>
              </w:rPr>
              <w:t>经营</w:t>
            </w:r>
          </w:p>
          <w:p w14:paraId="7C1A5EA5">
            <w:pPr>
              <w:pStyle w:val="29"/>
              <w:widowControl/>
              <w:spacing w:before="64" w:line="229" w:lineRule="auto"/>
              <w:ind w:left="156"/>
              <w:rPr>
                <w:rFonts w:hint="eastAsia" w:ascii="宋体" w:hAnsi="宋体" w:eastAsia="宋体" w:cs="宋体"/>
              </w:rPr>
            </w:pPr>
            <w:r>
              <w:rPr>
                <w:rFonts w:hint="eastAsia" w:ascii="宋体" w:hAnsi="宋体" w:eastAsia="宋体" w:cs="宋体"/>
                <w:spacing w:val="6"/>
              </w:rPr>
              <w:t>及风</w:t>
            </w:r>
          </w:p>
          <w:p w14:paraId="35A0E609">
            <w:pPr>
              <w:pStyle w:val="29"/>
              <w:widowControl/>
              <w:spacing w:before="64" w:line="228" w:lineRule="auto"/>
              <w:ind w:left="175"/>
              <w:rPr>
                <w:rFonts w:hint="eastAsia" w:ascii="宋体" w:hAnsi="宋体" w:eastAsia="宋体" w:cs="宋体"/>
              </w:rPr>
            </w:pPr>
            <w:r>
              <w:rPr>
                <w:rFonts w:hint="eastAsia" w:ascii="宋体" w:hAnsi="宋体" w:eastAsia="宋体" w:cs="宋体"/>
                <w:spacing w:val="-3"/>
              </w:rPr>
              <w:t>险管</w:t>
            </w:r>
          </w:p>
          <w:p w14:paraId="78CFB665">
            <w:pPr>
              <w:pStyle w:val="29"/>
              <w:widowControl/>
              <w:spacing w:before="64" w:line="226" w:lineRule="auto"/>
              <w:ind w:left="161"/>
              <w:rPr>
                <w:rFonts w:hint="eastAsia" w:ascii="宋体" w:hAnsi="宋体" w:eastAsia="宋体" w:cs="宋体"/>
              </w:rPr>
            </w:pPr>
            <w:r>
              <w:rPr>
                <w:rFonts w:hint="eastAsia" w:ascii="宋体" w:hAnsi="宋体" w:eastAsia="宋体" w:cs="宋体"/>
                <w:spacing w:val="4"/>
              </w:rPr>
              <w:t>控能</w:t>
            </w:r>
          </w:p>
          <w:p w14:paraId="7B4A2FE1">
            <w:pPr>
              <w:pStyle w:val="29"/>
              <w:widowControl/>
              <w:spacing w:before="36" w:line="276" w:lineRule="exact"/>
              <w:ind w:left="120"/>
              <w:rPr>
                <w:rFonts w:hint="eastAsia" w:ascii="宋体" w:hAnsi="宋体" w:eastAsia="宋体" w:cs="宋体"/>
              </w:rPr>
            </w:pPr>
            <w:r>
              <w:rPr>
                <w:rFonts w:hint="eastAsia" w:ascii="宋体" w:hAnsi="宋体" w:eastAsia="宋体" w:cs="宋体"/>
                <w:spacing w:val="1"/>
                <w:position w:val="1"/>
              </w:rPr>
              <w:t>力</w:t>
            </w:r>
            <w:r>
              <w:rPr>
                <w:rFonts w:hint="eastAsia" w:ascii="宋体" w:hAnsi="宋体" w:eastAsia="宋体" w:cs="宋体"/>
                <w:spacing w:val="-45"/>
                <w:position w:val="1"/>
              </w:rPr>
              <w:t xml:space="preserve"> </w:t>
            </w:r>
            <w:r>
              <w:rPr>
                <w:rFonts w:hint="eastAsia" w:ascii="宋体" w:hAnsi="宋体" w:eastAsia="宋体" w:cs="宋体"/>
                <w:spacing w:val="1"/>
                <w:position w:val="1"/>
              </w:rPr>
              <w:t>20</w:t>
            </w:r>
          </w:p>
          <w:p w14:paraId="2C75066E">
            <w:pPr>
              <w:pStyle w:val="29"/>
              <w:widowControl/>
              <w:spacing w:before="65" w:line="226" w:lineRule="auto"/>
              <w:ind w:left="159"/>
              <w:rPr>
                <w:rFonts w:hint="eastAsia" w:ascii="宋体" w:hAnsi="宋体" w:eastAsia="宋体" w:cs="宋体"/>
              </w:rPr>
            </w:pPr>
            <w:r>
              <w:rPr>
                <w:rFonts w:hint="eastAsia" w:ascii="宋体" w:hAnsi="宋体" w:eastAsia="宋体" w:cs="宋体"/>
              </w:rPr>
              <w:t>分</w:t>
            </w:r>
          </w:p>
          <w:p w14:paraId="2A13B387">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16BD0E25">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0C1605E3">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57315344">
            <w:pPr>
              <w:widowControl/>
              <w:kinsoku w:val="0"/>
              <w:autoSpaceDE w:val="0"/>
              <w:autoSpaceDN w:val="0"/>
              <w:adjustRightInd w:val="0"/>
              <w:snapToGrid w:val="0"/>
              <w:spacing w:line="289" w:lineRule="auto"/>
              <w:jc w:val="left"/>
              <w:textAlignment w:val="baseline"/>
              <w:rPr>
                <w:rFonts w:hint="eastAsia" w:ascii="宋体" w:hAnsi="宋体" w:eastAsia="宋体" w:cs="宋体"/>
                <w:snapToGrid w:val="0"/>
                <w:color w:val="000000"/>
                <w:kern w:val="0"/>
                <w:sz w:val="21"/>
                <w:szCs w:val="21"/>
                <w:lang w:eastAsia="en-US"/>
              </w:rPr>
            </w:pPr>
          </w:p>
          <w:p w14:paraId="449219A6">
            <w:pPr>
              <w:pStyle w:val="29"/>
              <w:widowControl/>
              <w:spacing w:before="64" w:line="229" w:lineRule="auto"/>
              <w:rPr>
                <w:rFonts w:hint="eastAsia" w:ascii="宋体" w:hAnsi="宋体" w:eastAsia="宋体" w:cs="宋体"/>
              </w:rPr>
            </w:pPr>
          </w:p>
          <w:p w14:paraId="1CAA01CB">
            <w:pPr>
              <w:pStyle w:val="29"/>
              <w:widowControl/>
              <w:spacing w:before="68" w:line="228" w:lineRule="auto"/>
              <w:rPr>
                <w:rFonts w:hint="eastAsia" w:ascii="宋体" w:hAnsi="宋体" w:eastAsia="宋体" w:cs="宋体"/>
              </w:rPr>
            </w:pPr>
          </w:p>
        </w:tc>
        <w:tc>
          <w:tcPr>
            <w:tcW w:w="1001" w:type="dxa"/>
            <w:vAlign w:val="top"/>
          </w:tcPr>
          <w:p w14:paraId="5228A0BB">
            <w:pPr>
              <w:widowControl/>
              <w:kinsoku w:val="0"/>
              <w:autoSpaceDE w:val="0"/>
              <w:autoSpaceDN w:val="0"/>
              <w:adjustRightInd w:val="0"/>
              <w:snapToGrid w:val="0"/>
              <w:spacing w:line="325" w:lineRule="auto"/>
              <w:jc w:val="left"/>
              <w:textAlignment w:val="baseline"/>
              <w:rPr>
                <w:rFonts w:hint="eastAsia" w:ascii="宋体" w:hAnsi="宋体" w:eastAsia="宋体" w:cs="宋体"/>
                <w:snapToGrid w:val="0"/>
                <w:color w:val="000000"/>
                <w:kern w:val="0"/>
                <w:sz w:val="21"/>
                <w:szCs w:val="21"/>
                <w:lang w:eastAsia="en-US"/>
              </w:rPr>
            </w:pPr>
          </w:p>
          <w:p w14:paraId="76401DCD">
            <w:pPr>
              <w:pStyle w:val="29"/>
              <w:widowControl/>
              <w:spacing w:before="65" w:line="282" w:lineRule="auto"/>
              <w:ind w:left="187" w:leftChars="0" w:right="172" w:rightChars="0" w:hanging="4" w:firstLineChars="0"/>
              <w:jc w:val="both"/>
              <w:rPr>
                <w:rFonts w:hint="eastAsia" w:ascii="宋体" w:hAnsi="宋体" w:eastAsia="宋体" w:cs="宋体"/>
                <w:b/>
                <w:bCs/>
                <w:spacing w:val="3"/>
              </w:rPr>
            </w:pPr>
            <w:r>
              <w:rPr>
                <w:rFonts w:hint="eastAsia" w:ascii="宋体" w:hAnsi="宋体" w:eastAsia="宋体" w:cs="宋体"/>
              </w:rPr>
              <w:t>综合</w:t>
            </w:r>
            <w:r>
              <w:rPr>
                <w:rFonts w:hint="eastAsia" w:ascii="宋体" w:hAnsi="宋体" w:eastAsia="宋体" w:cs="宋体"/>
                <w:spacing w:val="-2"/>
              </w:rPr>
              <w:t>费用</w:t>
            </w:r>
            <w:r>
              <w:rPr>
                <w:rFonts w:hint="eastAsia" w:ascii="宋体" w:hAnsi="宋体" w:eastAsia="宋体" w:cs="宋体"/>
                <w:spacing w:val="5"/>
              </w:rPr>
              <w:t>率</w:t>
            </w:r>
            <w:r>
              <w:rPr>
                <w:rFonts w:hint="eastAsia" w:ascii="宋体" w:hAnsi="宋体" w:eastAsia="宋体" w:cs="宋体"/>
                <w:spacing w:val="-40"/>
              </w:rPr>
              <w:t xml:space="preserve"> </w:t>
            </w:r>
            <w:r>
              <w:rPr>
                <w:rFonts w:hint="eastAsia" w:ascii="宋体" w:hAnsi="宋体" w:eastAsia="宋体" w:cs="宋体"/>
                <w:spacing w:val="5"/>
              </w:rPr>
              <w:t>3</w:t>
            </w:r>
            <w:r>
              <w:rPr>
                <w:rFonts w:hint="eastAsia" w:ascii="宋体" w:hAnsi="宋体" w:eastAsia="宋体" w:cs="宋体"/>
                <w:spacing w:val="43"/>
                <w:w w:val="125"/>
              </w:rPr>
              <w:t>分</w:t>
            </w:r>
          </w:p>
        </w:tc>
        <w:tc>
          <w:tcPr>
            <w:tcW w:w="574" w:type="dxa"/>
            <w:vAlign w:val="top"/>
          </w:tcPr>
          <w:p w14:paraId="3C09C0A4">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6D1905A0">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5F975DDB">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0C160AD6">
            <w:pPr>
              <w:widowControl/>
              <w:kinsoku w:val="0"/>
              <w:autoSpaceDE w:val="0"/>
              <w:autoSpaceDN w:val="0"/>
              <w:adjustRightInd w:val="0"/>
              <w:snapToGrid w:val="0"/>
              <w:spacing w:before="57" w:line="276" w:lineRule="exact"/>
              <w:ind w:left="379"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115AC81E">
            <w:pPr>
              <w:widowControl/>
              <w:kinsoku w:val="0"/>
              <w:autoSpaceDE w:val="0"/>
              <w:autoSpaceDN w:val="0"/>
              <w:adjustRightInd w:val="0"/>
              <w:snapToGrid w:val="0"/>
              <w:spacing w:line="478" w:lineRule="auto"/>
              <w:jc w:val="left"/>
              <w:textAlignment w:val="baseline"/>
              <w:rPr>
                <w:rFonts w:hint="eastAsia" w:ascii="宋体" w:hAnsi="宋体" w:eastAsia="宋体" w:cs="宋体"/>
                <w:snapToGrid w:val="0"/>
                <w:color w:val="000000"/>
                <w:kern w:val="0"/>
                <w:sz w:val="21"/>
                <w:szCs w:val="21"/>
                <w:lang w:eastAsia="en-US"/>
              </w:rPr>
            </w:pPr>
          </w:p>
          <w:p w14:paraId="6CE6B99A">
            <w:pPr>
              <w:pStyle w:val="29"/>
              <w:widowControl/>
              <w:spacing w:before="65" w:line="269" w:lineRule="auto"/>
              <w:ind w:left="108" w:leftChars="0" w:right="104" w:rightChars="0" w:firstLine="7" w:firstLineChars="0"/>
              <w:jc w:val="both"/>
              <w:rPr>
                <w:rFonts w:hint="eastAsia" w:ascii="宋体" w:hAnsi="宋体" w:eastAsia="宋体" w:cs="宋体"/>
                <w:b/>
                <w:bCs/>
                <w:spacing w:val="-1"/>
              </w:rPr>
            </w:pPr>
            <w:r>
              <w:rPr>
                <w:rFonts w:hint="eastAsia" w:ascii="宋体" w:hAnsi="宋体" w:eastAsia="宋体" w:cs="宋体"/>
                <w:spacing w:val="9"/>
              </w:rPr>
              <w:t>参加遴选的承保机构省级分公司2022-2024 年农业保险平均综合</w:t>
            </w:r>
            <w:r>
              <w:rPr>
                <w:rFonts w:hint="eastAsia" w:ascii="宋体" w:hAnsi="宋体" w:eastAsia="宋体" w:cs="宋体"/>
                <w:spacing w:val="-9"/>
              </w:rPr>
              <w:t>费用率</w:t>
            </w:r>
            <w:r>
              <w:rPr>
                <w:rFonts w:hint="eastAsia" w:ascii="宋体" w:hAnsi="宋体" w:eastAsia="宋体" w:cs="宋体"/>
                <w:spacing w:val="-20"/>
              </w:rPr>
              <w:t xml:space="preserve"> </w:t>
            </w:r>
            <w:r>
              <w:rPr>
                <w:rFonts w:hint="eastAsia" w:ascii="宋体" w:hAnsi="宋体" w:eastAsia="宋体" w:cs="宋体"/>
                <w:spacing w:val="-9"/>
              </w:rPr>
              <w:t>15%（含）以下计</w:t>
            </w:r>
            <w:r>
              <w:rPr>
                <w:rFonts w:hint="eastAsia" w:ascii="宋体" w:hAnsi="宋体" w:eastAsia="宋体" w:cs="宋体"/>
                <w:spacing w:val="-40"/>
              </w:rPr>
              <w:t xml:space="preserve"> </w:t>
            </w:r>
            <w:r>
              <w:rPr>
                <w:rFonts w:hint="eastAsia" w:ascii="宋体" w:hAnsi="宋体" w:eastAsia="宋体" w:cs="宋体"/>
                <w:spacing w:val="-9"/>
              </w:rPr>
              <w:t>3</w:t>
            </w:r>
            <w:r>
              <w:rPr>
                <w:rFonts w:hint="eastAsia" w:ascii="宋体" w:hAnsi="宋体" w:eastAsia="宋体" w:cs="宋体"/>
                <w:spacing w:val="13"/>
                <w:w w:val="101"/>
              </w:rPr>
              <w:t xml:space="preserve"> </w:t>
            </w:r>
            <w:r>
              <w:rPr>
                <w:rFonts w:hint="eastAsia" w:ascii="宋体" w:hAnsi="宋体" w:eastAsia="宋体" w:cs="宋体"/>
                <w:spacing w:val="-9"/>
              </w:rPr>
              <w:t>分，15%-17.5%（含）计</w:t>
            </w:r>
            <w:r>
              <w:rPr>
                <w:rFonts w:hint="eastAsia" w:ascii="宋体" w:hAnsi="宋体" w:eastAsia="宋体" w:cs="宋体"/>
                <w:spacing w:val="-42"/>
              </w:rPr>
              <w:t xml:space="preserve"> </w:t>
            </w:r>
            <w:r>
              <w:rPr>
                <w:rFonts w:hint="eastAsia" w:ascii="宋体" w:hAnsi="宋体" w:eastAsia="宋体" w:cs="宋体"/>
                <w:spacing w:val="-9"/>
              </w:rPr>
              <w:t>2</w:t>
            </w:r>
            <w:r>
              <w:rPr>
                <w:rFonts w:hint="eastAsia" w:ascii="宋体" w:hAnsi="宋体" w:eastAsia="宋体" w:cs="宋体"/>
                <w:spacing w:val="11"/>
              </w:rPr>
              <w:t xml:space="preserve"> </w:t>
            </w:r>
            <w:r>
              <w:rPr>
                <w:rFonts w:hint="eastAsia" w:ascii="宋体" w:hAnsi="宋体" w:eastAsia="宋体" w:cs="宋体"/>
                <w:spacing w:val="-9"/>
              </w:rPr>
              <w:t>分，17.5%-20%</w:t>
            </w:r>
            <w:r>
              <w:rPr>
                <w:rFonts w:hint="eastAsia" w:ascii="宋体" w:hAnsi="宋体" w:eastAsia="宋体" w:cs="宋体"/>
              </w:rPr>
              <w:t xml:space="preserve"> </w:t>
            </w:r>
            <w:r>
              <w:rPr>
                <w:rFonts w:hint="eastAsia" w:ascii="宋体" w:hAnsi="宋体" w:eastAsia="宋体" w:cs="宋体"/>
                <w:spacing w:val="6"/>
              </w:rPr>
              <w:t>（含）计</w:t>
            </w:r>
            <w:r>
              <w:rPr>
                <w:rFonts w:hint="eastAsia" w:ascii="宋体" w:hAnsi="宋体" w:eastAsia="宋体" w:cs="宋体"/>
                <w:spacing w:val="-20"/>
              </w:rPr>
              <w:t xml:space="preserve"> </w:t>
            </w:r>
            <w:r>
              <w:rPr>
                <w:rFonts w:hint="eastAsia" w:ascii="宋体" w:hAnsi="宋体" w:eastAsia="宋体" w:cs="宋体"/>
                <w:spacing w:val="6"/>
              </w:rPr>
              <w:t>1 分，20%以上不计分。</w:t>
            </w:r>
          </w:p>
        </w:tc>
        <w:tc>
          <w:tcPr>
            <w:tcW w:w="5955" w:type="dxa"/>
            <w:vAlign w:val="top"/>
          </w:tcPr>
          <w:p w14:paraId="386005C4">
            <w:pPr>
              <w:widowControl/>
              <w:kinsoku w:val="0"/>
              <w:autoSpaceDE w:val="0"/>
              <w:autoSpaceDN w:val="0"/>
              <w:adjustRightInd w:val="0"/>
              <w:snapToGrid w:val="0"/>
              <w:spacing w:line="291" w:lineRule="auto"/>
              <w:jc w:val="left"/>
              <w:textAlignment w:val="baseline"/>
              <w:rPr>
                <w:rFonts w:hint="eastAsia" w:ascii="宋体" w:hAnsi="宋体" w:eastAsia="宋体" w:cs="宋体"/>
                <w:snapToGrid w:val="0"/>
                <w:color w:val="000000"/>
                <w:kern w:val="0"/>
                <w:sz w:val="21"/>
                <w:szCs w:val="21"/>
                <w:lang w:eastAsia="en-US"/>
              </w:rPr>
            </w:pPr>
          </w:p>
          <w:p w14:paraId="6FBE1F21">
            <w:pPr>
              <w:pStyle w:val="29"/>
              <w:widowControl/>
              <w:spacing w:before="65" w:line="289" w:lineRule="auto"/>
              <w:ind w:left="110" w:leftChars="0" w:right="108" w:rightChars="0" w:firstLine="11" w:firstLineChars="0"/>
              <w:jc w:val="both"/>
              <w:rPr>
                <w:rFonts w:hint="eastAsia" w:ascii="宋体" w:hAnsi="宋体" w:eastAsia="宋体" w:cs="宋体"/>
                <w:b/>
                <w:bCs/>
                <w:spacing w:val="-2"/>
              </w:rPr>
            </w:pPr>
            <w:r>
              <w:rPr>
                <w:rFonts w:hint="eastAsia" w:ascii="宋体" w:hAnsi="宋体" w:eastAsia="宋体" w:cs="宋体"/>
                <w:spacing w:val="8"/>
              </w:rPr>
              <w:t>综合费用率=（业务及管理费用+手续费及佣金支出+分保费用+</w:t>
            </w:r>
            <w:r>
              <w:rPr>
                <w:rFonts w:hint="eastAsia" w:ascii="宋体" w:hAnsi="宋体" w:eastAsia="宋体" w:cs="宋体"/>
                <w:spacing w:val="-21"/>
              </w:rPr>
              <w:t xml:space="preserve"> </w:t>
            </w:r>
            <w:r>
              <w:rPr>
                <w:rFonts w:hint="eastAsia" w:ascii="宋体" w:hAnsi="宋体" w:eastAsia="宋体" w:cs="宋体"/>
                <w:spacing w:val="8"/>
              </w:rPr>
              <w:t>营业税金</w:t>
            </w:r>
            <w:r>
              <w:rPr>
                <w:rFonts w:hint="eastAsia" w:ascii="宋体" w:hAnsi="宋体" w:eastAsia="宋体" w:cs="宋体"/>
                <w:spacing w:val="7"/>
              </w:rPr>
              <w:t>及附加-摊回分保费用）/（本年自留保费-</w:t>
            </w:r>
            <w:r>
              <w:rPr>
                <w:rFonts w:hint="eastAsia" w:ascii="宋体" w:hAnsi="宋体" w:eastAsia="宋体" w:cs="宋体"/>
                <w:spacing w:val="6"/>
              </w:rPr>
              <w:t>提取未到期责任准备金）。由参</w:t>
            </w:r>
            <w:r>
              <w:rPr>
                <w:rFonts w:hint="eastAsia" w:ascii="宋体" w:hAnsi="宋体" w:eastAsia="宋体" w:cs="宋体"/>
                <w:spacing w:val="10"/>
              </w:rPr>
              <w:t>加遴选的承保机构提供省级公司农业保险综合费用率相关财务</w:t>
            </w:r>
            <w:r>
              <w:rPr>
                <w:rFonts w:hint="eastAsia" w:ascii="宋体" w:hAnsi="宋体" w:eastAsia="宋体" w:cs="宋体"/>
                <w:spacing w:val="9"/>
              </w:rPr>
              <w:t>指标证明</w:t>
            </w:r>
            <w:r>
              <w:rPr>
                <w:rFonts w:hint="eastAsia" w:ascii="宋体" w:hAnsi="宋体" w:eastAsia="宋体" w:cs="宋体"/>
                <w:spacing w:val="8"/>
              </w:rPr>
              <w:t>材料，并加盖公章。</w:t>
            </w:r>
          </w:p>
        </w:tc>
      </w:tr>
      <w:tr w14:paraId="5C067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390B8A43">
            <w:pPr>
              <w:pStyle w:val="29"/>
              <w:widowControl/>
              <w:spacing w:before="65" w:line="226" w:lineRule="auto"/>
              <w:ind w:left="159"/>
              <w:rPr>
                <w:rFonts w:hint="eastAsia" w:ascii="宋体" w:hAnsi="宋体" w:eastAsia="宋体" w:cs="宋体"/>
                <w:b/>
                <w:bCs/>
                <w:spacing w:val="3"/>
              </w:rPr>
            </w:pPr>
          </w:p>
        </w:tc>
        <w:tc>
          <w:tcPr>
            <w:tcW w:w="1001" w:type="dxa"/>
            <w:vAlign w:val="top"/>
          </w:tcPr>
          <w:p w14:paraId="2959443F">
            <w:pPr>
              <w:pStyle w:val="29"/>
              <w:widowControl/>
              <w:spacing w:before="51" w:line="228" w:lineRule="auto"/>
              <w:ind w:left="181"/>
              <w:rPr>
                <w:rFonts w:hint="eastAsia" w:ascii="宋体" w:hAnsi="宋体" w:eastAsia="宋体" w:cs="宋体"/>
              </w:rPr>
            </w:pPr>
            <w:r>
              <w:rPr>
                <w:rFonts w:hint="eastAsia" w:ascii="宋体" w:hAnsi="宋体" w:eastAsia="宋体" w:cs="宋体"/>
                <w:spacing w:val="2"/>
              </w:rPr>
              <w:t>监管</w:t>
            </w:r>
          </w:p>
          <w:p w14:paraId="38B0FD2D">
            <w:pPr>
              <w:pStyle w:val="29"/>
              <w:widowControl/>
              <w:spacing w:before="65" w:line="224" w:lineRule="auto"/>
              <w:ind w:left="172"/>
              <w:rPr>
                <w:rFonts w:hint="eastAsia" w:ascii="宋体" w:hAnsi="宋体" w:eastAsia="宋体" w:cs="宋体"/>
              </w:rPr>
            </w:pPr>
            <w:r>
              <w:rPr>
                <w:rFonts w:hint="eastAsia" w:ascii="宋体" w:hAnsi="宋体" w:eastAsia="宋体" w:cs="宋体"/>
                <w:spacing w:val="6"/>
              </w:rPr>
              <w:t>检查</w:t>
            </w:r>
          </w:p>
          <w:p w14:paraId="6302DD8E">
            <w:pPr>
              <w:pStyle w:val="29"/>
              <w:widowControl/>
              <w:spacing w:before="69" w:line="229" w:lineRule="auto"/>
              <w:ind w:left="172"/>
              <w:rPr>
                <w:rFonts w:hint="eastAsia" w:ascii="宋体" w:hAnsi="宋体" w:eastAsia="宋体" w:cs="宋体"/>
              </w:rPr>
            </w:pPr>
            <w:r>
              <w:rPr>
                <w:rFonts w:hint="eastAsia" w:ascii="宋体" w:hAnsi="宋体" w:eastAsia="宋体" w:cs="宋体"/>
                <w:spacing w:val="6"/>
              </w:rPr>
              <w:t>及处</w:t>
            </w:r>
          </w:p>
          <w:p w14:paraId="6DEA19C7">
            <w:pPr>
              <w:pStyle w:val="29"/>
              <w:widowControl/>
              <w:spacing w:before="62" w:line="262" w:lineRule="auto"/>
              <w:ind w:left="281" w:leftChars="0" w:right="198" w:rightChars="0" w:hanging="69" w:firstLineChars="0"/>
              <w:rPr>
                <w:rFonts w:hint="eastAsia" w:ascii="宋体" w:hAnsi="宋体" w:eastAsia="宋体" w:cs="宋体"/>
                <w:b/>
                <w:bCs/>
                <w:spacing w:val="3"/>
              </w:rPr>
            </w:pPr>
            <w:r>
              <w:rPr>
                <w:rFonts w:hint="eastAsia" w:ascii="宋体" w:hAnsi="宋体" w:eastAsia="宋体" w:cs="宋体"/>
                <w:spacing w:val="-8"/>
              </w:rPr>
              <w:t>罚</w:t>
            </w:r>
            <w:r>
              <w:rPr>
                <w:rFonts w:hint="eastAsia" w:ascii="宋体" w:hAnsi="宋体" w:eastAsia="宋体" w:cs="宋体"/>
                <w:spacing w:val="-39"/>
              </w:rPr>
              <w:t xml:space="preserve"> </w:t>
            </w:r>
            <w:r>
              <w:rPr>
                <w:rFonts w:hint="eastAsia" w:ascii="宋体" w:hAnsi="宋体" w:eastAsia="宋体" w:cs="宋体"/>
                <w:spacing w:val="-8"/>
              </w:rPr>
              <w:t>5</w:t>
            </w:r>
            <w:r>
              <w:rPr>
                <w:rFonts w:hint="eastAsia" w:ascii="宋体" w:hAnsi="宋体" w:eastAsia="宋体" w:cs="宋体"/>
              </w:rPr>
              <w:t>分</w:t>
            </w:r>
          </w:p>
        </w:tc>
        <w:tc>
          <w:tcPr>
            <w:tcW w:w="574" w:type="dxa"/>
            <w:vAlign w:val="top"/>
          </w:tcPr>
          <w:p w14:paraId="4ACA3453">
            <w:pPr>
              <w:widowControl/>
              <w:kinsoku w:val="0"/>
              <w:autoSpaceDE w:val="0"/>
              <w:autoSpaceDN w:val="0"/>
              <w:adjustRightInd w:val="0"/>
              <w:snapToGrid w:val="0"/>
              <w:spacing w:line="326" w:lineRule="auto"/>
              <w:jc w:val="left"/>
              <w:textAlignment w:val="baseline"/>
              <w:rPr>
                <w:rFonts w:hint="eastAsia" w:ascii="宋体" w:hAnsi="宋体" w:eastAsia="宋体" w:cs="宋体"/>
                <w:snapToGrid w:val="0"/>
                <w:color w:val="000000"/>
                <w:kern w:val="0"/>
                <w:sz w:val="21"/>
                <w:szCs w:val="21"/>
                <w:lang w:eastAsia="en-US"/>
              </w:rPr>
            </w:pPr>
          </w:p>
          <w:p w14:paraId="1FE0EF76">
            <w:pPr>
              <w:widowControl/>
              <w:kinsoku w:val="0"/>
              <w:autoSpaceDE w:val="0"/>
              <w:autoSpaceDN w:val="0"/>
              <w:adjustRightInd w:val="0"/>
              <w:snapToGrid w:val="0"/>
              <w:spacing w:line="326" w:lineRule="auto"/>
              <w:jc w:val="left"/>
              <w:textAlignment w:val="baseline"/>
              <w:rPr>
                <w:rFonts w:hint="eastAsia" w:ascii="宋体" w:hAnsi="宋体" w:eastAsia="宋体" w:cs="宋体"/>
                <w:snapToGrid w:val="0"/>
                <w:color w:val="000000"/>
                <w:kern w:val="0"/>
                <w:sz w:val="21"/>
                <w:szCs w:val="21"/>
                <w:lang w:eastAsia="en-US"/>
              </w:rPr>
            </w:pPr>
          </w:p>
          <w:p w14:paraId="2398EEE8">
            <w:pPr>
              <w:widowControl/>
              <w:kinsoku w:val="0"/>
              <w:autoSpaceDE w:val="0"/>
              <w:autoSpaceDN w:val="0"/>
              <w:adjustRightInd w:val="0"/>
              <w:snapToGrid w:val="0"/>
              <w:spacing w:before="58" w:line="192" w:lineRule="auto"/>
              <w:ind w:left="380"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sz w:val="20"/>
                <w:szCs w:val="20"/>
                <w:lang w:eastAsia="en-US"/>
              </w:rPr>
              <w:t>5</w:t>
            </w:r>
          </w:p>
        </w:tc>
        <w:tc>
          <w:tcPr>
            <w:tcW w:w="5040" w:type="dxa"/>
            <w:vAlign w:val="top"/>
          </w:tcPr>
          <w:p w14:paraId="46FB1480">
            <w:pPr>
              <w:widowControl/>
              <w:kinsoku w:val="0"/>
              <w:autoSpaceDE w:val="0"/>
              <w:autoSpaceDN w:val="0"/>
              <w:adjustRightInd w:val="0"/>
              <w:snapToGrid w:val="0"/>
              <w:spacing w:line="299" w:lineRule="auto"/>
              <w:jc w:val="left"/>
              <w:textAlignment w:val="baseline"/>
              <w:rPr>
                <w:rFonts w:hint="eastAsia" w:ascii="宋体" w:hAnsi="宋体" w:eastAsia="宋体" w:cs="宋体"/>
                <w:snapToGrid w:val="0"/>
                <w:color w:val="000000"/>
                <w:kern w:val="0"/>
                <w:sz w:val="21"/>
                <w:szCs w:val="21"/>
                <w:lang w:eastAsia="en-US"/>
              </w:rPr>
            </w:pPr>
          </w:p>
          <w:p w14:paraId="263EE64E">
            <w:pPr>
              <w:pStyle w:val="29"/>
              <w:widowControl/>
              <w:spacing w:before="65" w:line="268" w:lineRule="auto"/>
              <w:ind w:left="111" w:leftChars="0" w:right="52" w:rightChars="0" w:firstLine="4" w:firstLineChars="0"/>
              <w:jc w:val="both"/>
              <w:rPr>
                <w:rFonts w:hint="eastAsia" w:ascii="宋体" w:hAnsi="宋体" w:eastAsia="宋体" w:cs="宋体"/>
                <w:b/>
                <w:bCs/>
                <w:spacing w:val="-1"/>
              </w:rPr>
            </w:pPr>
            <w:r>
              <w:rPr>
                <w:rFonts w:hint="eastAsia" w:ascii="宋体" w:hAnsi="宋体" w:eastAsia="宋体" w:cs="宋体"/>
                <w:spacing w:val="8"/>
              </w:rPr>
              <w:t>参加遴选的承保机构</w:t>
            </w:r>
            <w:r>
              <w:rPr>
                <w:rFonts w:hint="eastAsia" w:ascii="宋体" w:hAnsi="宋体" w:eastAsia="宋体" w:cs="宋体"/>
                <w:spacing w:val="-45"/>
              </w:rPr>
              <w:t xml:space="preserve"> </w:t>
            </w:r>
            <w:r>
              <w:rPr>
                <w:rFonts w:hint="eastAsia" w:ascii="宋体" w:hAnsi="宋体" w:eastAsia="宋体" w:cs="宋体"/>
                <w:spacing w:val="8"/>
              </w:rPr>
              <w:t xml:space="preserve">2022-2024 </w:t>
            </w:r>
            <w:r>
              <w:rPr>
                <w:rFonts w:hint="eastAsia" w:ascii="宋体" w:hAnsi="宋体" w:eastAsia="宋体" w:cs="宋体"/>
                <w:spacing w:val="7"/>
              </w:rPr>
              <w:t>年期间开展的农业保险业务，被</w:t>
            </w:r>
            <w:r>
              <w:rPr>
                <w:rFonts w:hint="eastAsia" w:ascii="宋体" w:hAnsi="宋体" w:eastAsia="宋体" w:cs="宋体"/>
                <w:spacing w:val="3"/>
              </w:rPr>
              <w:t>财政、审计和金融监管部门检查发现虚假承保、</w:t>
            </w:r>
            <w:r>
              <w:rPr>
                <w:rFonts w:hint="eastAsia" w:ascii="宋体" w:hAnsi="宋体" w:eastAsia="宋体" w:cs="宋体"/>
                <w:spacing w:val="2"/>
              </w:rPr>
              <w:t>虚假理赔问题的，</w:t>
            </w:r>
            <w:r>
              <w:rPr>
                <w:rFonts w:hint="eastAsia" w:ascii="宋体" w:hAnsi="宋体" w:eastAsia="宋体" w:cs="宋体"/>
                <w:spacing w:val="5"/>
              </w:rPr>
              <w:t>每项扣</w:t>
            </w:r>
            <w:r>
              <w:rPr>
                <w:rFonts w:hint="eastAsia" w:ascii="宋体" w:hAnsi="宋体" w:eastAsia="宋体" w:cs="宋体"/>
                <w:spacing w:val="-20"/>
              </w:rPr>
              <w:t xml:space="preserve"> </w:t>
            </w:r>
            <w:r>
              <w:rPr>
                <w:rFonts w:hint="eastAsia" w:ascii="宋体" w:hAnsi="宋体" w:eastAsia="宋体" w:cs="宋体"/>
                <w:spacing w:val="5"/>
              </w:rPr>
              <w:t>1 分，扣完为止。</w:t>
            </w:r>
          </w:p>
        </w:tc>
        <w:tc>
          <w:tcPr>
            <w:tcW w:w="5955" w:type="dxa"/>
            <w:vAlign w:val="top"/>
          </w:tcPr>
          <w:p w14:paraId="68AA7319">
            <w:pPr>
              <w:widowControl/>
              <w:kinsoku w:val="0"/>
              <w:autoSpaceDE w:val="0"/>
              <w:autoSpaceDN w:val="0"/>
              <w:adjustRightInd w:val="0"/>
              <w:snapToGrid w:val="0"/>
              <w:spacing w:line="297" w:lineRule="auto"/>
              <w:jc w:val="left"/>
              <w:textAlignment w:val="baseline"/>
              <w:rPr>
                <w:rFonts w:hint="eastAsia" w:ascii="宋体" w:hAnsi="宋体" w:eastAsia="宋体" w:cs="宋体"/>
                <w:snapToGrid w:val="0"/>
                <w:color w:val="000000"/>
                <w:kern w:val="0"/>
                <w:sz w:val="21"/>
                <w:szCs w:val="21"/>
                <w:lang w:eastAsia="en-US"/>
              </w:rPr>
            </w:pPr>
          </w:p>
          <w:p w14:paraId="2B7C1CF9">
            <w:pPr>
              <w:pStyle w:val="29"/>
              <w:widowControl/>
              <w:spacing w:before="65" w:line="288" w:lineRule="auto"/>
              <w:ind w:left="118" w:leftChars="0" w:right="108" w:rightChars="0" w:hanging="3" w:firstLineChars="0"/>
              <w:jc w:val="both"/>
              <w:rPr>
                <w:rFonts w:hint="eastAsia" w:ascii="宋体" w:hAnsi="宋体" w:eastAsia="宋体" w:cs="宋体"/>
                <w:b/>
                <w:bCs/>
                <w:spacing w:val="-2"/>
              </w:rPr>
            </w:pPr>
            <w:r>
              <w:rPr>
                <w:rFonts w:hint="eastAsia" w:ascii="宋体" w:hAnsi="宋体" w:eastAsia="宋体" w:cs="宋体"/>
                <w:spacing w:val="6"/>
              </w:rPr>
              <w:t>违规问题以检查报告、审计报告、处罚文件以及监管通报等为准，同一违规事实或负面事件不重复扣分。如隐瞒不报或少报，则中选资格作废。违</w:t>
            </w:r>
            <w:r>
              <w:rPr>
                <w:rFonts w:hint="eastAsia" w:ascii="宋体" w:hAnsi="宋体" w:eastAsia="宋体" w:cs="宋体"/>
                <w:spacing w:val="8"/>
              </w:rPr>
              <w:t>规问题以报告或文件下达的时间为准。</w:t>
            </w:r>
          </w:p>
        </w:tc>
      </w:tr>
      <w:tr w14:paraId="61C77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588F72F8">
            <w:pPr>
              <w:pStyle w:val="29"/>
              <w:widowControl/>
              <w:spacing w:before="68" w:line="228" w:lineRule="auto"/>
              <w:rPr>
                <w:rFonts w:hint="eastAsia" w:ascii="宋体" w:hAnsi="宋体" w:eastAsia="宋体" w:cs="宋体"/>
              </w:rPr>
            </w:pPr>
          </w:p>
        </w:tc>
        <w:tc>
          <w:tcPr>
            <w:tcW w:w="1001" w:type="dxa"/>
            <w:vMerge w:val="restart"/>
            <w:vAlign w:val="top"/>
          </w:tcPr>
          <w:p w14:paraId="2E09745A">
            <w:pPr>
              <w:pStyle w:val="29"/>
              <w:widowControl/>
              <w:spacing w:before="65" w:line="226" w:lineRule="auto"/>
              <w:ind w:left="177"/>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3"/>
              </w:rPr>
              <w:t>对象满意</w:t>
            </w:r>
            <w:r>
              <w:rPr>
                <w:rFonts w:hint="eastAsia" w:ascii="宋体" w:hAnsi="宋体" w:eastAsia="宋体" w:cs="宋体"/>
                <w:spacing w:val="10"/>
              </w:rPr>
              <w:t>度</w:t>
            </w:r>
            <w:r>
              <w:rPr>
                <w:rFonts w:hint="eastAsia" w:ascii="宋体" w:hAnsi="宋体" w:eastAsia="宋体" w:cs="宋体"/>
                <w:spacing w:val="-40"/>
              </w:rPr>
              <w:t xml:space="preserve"> </w:t>
            </w:r>
            <w:r>
              <w:rPr>
                <w:rFonts w:hint="eastAsia" w:ascii="宋体" w:hAnsi="宋体" w:eastAsia="宋体" w:cs="宋体"/>
                <w:spacing w:val="10"/>
              </w:rPr>
              <w:t>3</w:t>
            </w:r>
            <w:r>
              <w:rPr>
                <w:rFonts w:hint="eastAsia" w:ascii="宋体" w:hAnsi="宋体" w:eastAsia="宋体" w:cs="宋体"/>
                <w:spacing w:val="51"/>
                <w:w w:val="126"/>
              </w:rPr>
              <w:t>分</w:t>
            </w:r>
          </w:p>
        </w:tc>
        <w:tc>
          <w:tcPr>
            <w:tcW w:w="574" w:type="dxa"/>
            <w:vMerge w:val="restart"/>
            <w:vAlign w:val="top"/>
          </w:tcPr>
          <w:p w14:paraId="29B456D4">
            <w:pPr>
              <w:pStyle w:val="29"/>
              <w:widowControl/>
              <w:spacing w:before="210" w:line="227" w:lineRule="auto"/>
              <w:ind w:left="224"/>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26E556C4">
            <w:pPr>
              <w:pStyle w:val="29"/>
              <w:widowControl/>
              <w:spacing w:before="210" w:line="226" w:lineRule="auto"/>
              <w:rPr>
                <w:rFonts w:hint="eastAsia" w:ascii="宋体" w:hAnsi="宋体" w:eastAsia="宋体" w:cs="宋体"/>
                <w:b/>
                <w:bCs/>
                <w:spacing w:val="-1"/>
              </w:rPr>
            </w:pPr>
            <w:r>
              <w:rPr>
                <w:rFonts w:hint="eastAsia" w:ascii="宋体" w:hAnsi="宋体" w:eastAsia="宋体" w:cs="宋体"/>
                <w:spacing w:val="9"/>
              </w:rPr>
              <w:t>1、参加遴选的承保机构所属省级分公司消费者权益保护监管评</w:t>
            </w:r>
            <w:r>
              <w:rPr>
                <w:rFonts w:hint="eastAsia" w:ascii="宋体" w:hAnsi="宋体" w:eastAsia="宋体" w:cs="宋体"/>
                <w:spacing w:val="7"/>
              </w:rPr>
              <w:t>价情况。按评价情况打分，一级的计</w:t>
            </w:r>
            <w:r>
              <w:rPr>
                <w:rFonts w:hint="eastAsia" w:ascii="宋体" w:hAnsi="宋体" w:eastAsia="宋体" w:cs="宋体"/>
                <w:spacing w:val="-15"/>
              </w:rPr>
              <w:t xml:space="preserve"> </w:t>
            </w:r>
            <w:r>
              <w:rPr>
                <w:rFonts w:hint="eastAsia" w:ascii="宋体" w:hAnsi="宋体" w:eastAsia="宋体" w:cs="宋体"/>
                <w:spacing w:val="7"/>
              </w:rPr>
              <w:t>1 分；二级</w:t>
            </w:r>
            <w:r>
              <w:rPr>
                <w:rFonts w:hint="eastAsia" w:ascii="宋体" w:hAnsi="宋体" w:eastAsia="宋体" w:cs="宋体"/>
                <w:spacing w:val="-45"/>
              </w:rPr>
              <w:t xml:space="preserve"> </w:t>
            </w:r>
            <w:r>
              <w:rPr>
                <w:rFonts w:hint="eastAsia" w:ascii="宋体" w:hAnsi="宋体" w:eastAsia="宋体" w:cs="宋体"/>
                <w:spacing w:val="7"/>
              </w:rPr>
              <w:t>A</w:t>
            </w:r>
            <w:r>
              <w:rPr>
                <w:rFonts w:hint="eastAsia" w:ascii="宋体" w:hAnsi="宋体" w:eastAsia="宋体" w:cs="宋体"/>
                <w:spacing w:val="16"/>
              </w:rPr>
              <w:t xml:space="preserve"> </w:t>
            </w:r>
            <w:r>
              <w:rPr>
                <w:rFonts w:hint="eastAsia" w:ascii="宋体" w:hAnsi="宋体" w:eastAsia="宋体" w:cs="宋体"/>
                <w:spacing w:val="7"/>
              </w:rPr>
              <w:t>计0.8</w:t>
            </w:r>
            <w:r>
              <w:rPr>
                <w:rFonts w:hint="eastAsia" w:ascii="宋体" w:hAnsi="宋体" w:eastAsia="宋体" w:cs="宋体"/>
                <w:spacing w:val="15"/>
                <w:w w:val="101"/>
              </w:rPr>
              <w:t xml:space="preserve"> </w:t>
            </w:r>
            <w:r>
              <w:rPr>
                <w:rFonts w:hint="eastAsia" w:ascii="宋体" w:hAnsi="宋体" w:eastAsia="宋体" w:cs="宋体"/>
                <w:spacing w:val="7"/>
              </w:rPr>
              <w:t>分，二</w:t>
            </w:r>
            <w:r>
              <w:rPr>
                <w:rFonts w:hint="eastAsia" w:ascii="宋体" w:hAnsi="宋体" w:eastAsia="宋体" w:cs="宋体"/>
                <w:spacing w:val="3"/>
              </w:rPr>
              <w:t>级</w:t>
            </w:r>
            <w:r>
              <w:rPr>
                <w:rFonts w:hint="eastAsia" w:ascii="宋体" w:hAnsi="宋体" w:eastAsia="宋体" w:cs="宋体"/>
                <w:spacing w:val="-28"/>
              </w:rPr>
              <w:t xml:space="preserve"> </w:t>
            </w:r>
            <w:r>
              <w:rPr>
                <w:rFonts w:hint="eastAsia" w:ascii="宋体" w:hAnsi="宋体" w:eastAsia="宋体" w:cs="宋体"/>
                <w:spacing w:val="3"/>
              </w:rPr>
              <w:t>B</w:t>
            </w:r>
            <w:r>
              <w:rPr>
                <w:rFonts w:hint="eastAsia" w:ascii="宋体" w:hAnsi="宋体" w:eastAsia="宋体" w:cs="宋体"/>
                <w:spacing w:val="18"/>
              </w:rPr>
              <w:t xml:space="preserve"> </w:t>
            </w:r>
            <w:r>
              <w:rPr>
                <w:rFonts w:hint="eastAsia" w:ascii="宋体" w:hAnsi="宋体" w:eastAsia="宋体" w:cs="宋体"/>
                <w:spacing w:val="3"/>
              </w:rPr>
              <w:t>计</w:t>
            </w:r>
            <w:r>
              <w:rPr>
                <w:rFonts w:hint="eastAsia" w:ascii="宋体" w:hAnsi="宋体" w:eastAsia="宋体" w:cs="宋体"/>
                <w:spacing w:val="-41"/>
              </w:rPr>
              <w:t xml:space="preserve"> </w:t>
            </w:r>
            <w:r>
              <w:rPr>
                <w:rFonts w:hint="eastAsia" w:ascii="宋体" w:hAnsi="宋体" w:eastAsia="宋体" w:cs="宋体"/>
                <w:spacing w:val="3"/>
              </w:rPr>
              <w:t>0.6 分，二级</w:t>
            </w:r>
            <w:r>
              <w:rPr>
                <w:rFonts w:hint="eastAsia" w:ascii="宋体" w:hAnsi="宋体" w:eastAsia="宋体" w:cs="宋体"/>
                <w:spacing w:val="-39"/>
              </w:rPr>
              <w:t xml:space="preserve"> </w:t>
            </w:r>
            <w:r>
              <w:rPr>
                <w:rFonts w:hint="eastAsia" w:ascii="宋体" w:hAnsi="宋体" w:eastAsia="宋体" w:cs="宋体"/>
                <w:spacing w:val="3"/>
              </w:rPr>
              <w:t>C</w:t>
            </w:r>
            <w:r>
              <w:rPr>
                <w:rFonts w:hint="eastAsia" w:ascii="宋体" w:hAnsi="宋体" w:eastAsia="宋体" w:cs="宋体"/>
                <w:spacing w:val="16"/>
              </w:rPr>
              <w:t xml:space="preserve"> </w:t>
            </w:r>
            <w:r>
              <w:rPr>
                <w:rFonts w:hint="eastAsia" w:ascii="宋体" w:hAnsi="宋体" w:eastAsia="宋体" w:cs="宋体"/>
                <w:spacing w:val="3"/>
              </w:rPr>
              <w:t>计</w:t>
            </w:r>
            <w:r>
              <w:rPr>
                <w:rFonts w:hint="eastAsia" w:ascii="宋体" w:hAnsi="宋体" w:eastAsia="宋体" w:cs="宋体"/>
                <w:spacing w:val="-39"/>
              </w:rPr>
              <w:t xml:space="preserve"> </w:t>
            </w:r>
            <w:r>
              <w:rPr>
                <w:rFonts w:hint="eastAsia" w:ascii="宋体" w:hAnsi="宋体" w:eastAsia="宋体" w:cs="宋体"/>
                <w:spacing w:val="3"/>
              </w:rPr>
              <w:t>0.4 分；</w:t>
            </w:r>
            <w:r>
              <w:rPr>
                <w:rFonts w:hint="eastAsia" w:ascii="宋体" w:hAnsi="宋体" w:eastAsia="宋体" w:cs="宋体"/>
                <w:spacing w:val="-59"/>
              </w:rPr>
              <w:t xml:space="preserve"> </w:t>
            </w:r>
            <w:r>
              <w:rPr>
                <w:rFonts w:hint="eastAsia" w:ascii="宋体" w:hAnsi="宋体" w:eastAsia="宋体" w:cs="宋体"/>
                <w:spacing w:val="3"/>
              </w:rPr>
              <w:t>三、四级不计分。</w:t>
            </w:r>
          </w:p>
        </w:tc>
        <w:tc>
          <w:tcPr>
            <w:tcW w:w="5955" w:type="dxa"/>
            <w:vMerge w:val="restart"/>
            <w:vAlign w:val="top"/>
          </w:tcPr>
          <w:p w14:paraId="1739ADD4">
            <w:pPr>
              <w:pStyle w:val="29"/>
              <w:widowControl/>
              <w:spacing w:before="210" w:line="226" w:lineRule="auto"/>
              <w:jc w:val="both"/>
              <w:rPr>
                <w:rFonts w:hint="eastAsia" w:ascii="宋体" w:hAnsi="宋体" w:eastAsia="宋体" w:cs="宋体"/>
                <w:spacing w:val="9"/>
              </w:rPr>
            </w:pPr>
            <w:r>
              <w:rPr>
                <w:rFonts w:hint="eastAsia" w:ascii="宋体" w:hAnsi="宋体" w:eastAsia="宋体" w:cs="宋体"/>
                <w:spacing w:val="9"/>
              </w:rPr>
              <w:t>参加遴选的承保机构需提供</w:t>
            </w:r>
            <w:r>
              <w:rPr>
                <w:rFonts w:hint="eastAsia" w:ascii="宋体" w:hAnsi="宋体" w:eastAsia="宋体" w:cs="宋体"/>
                <w:spacing w:val="-43"/>
              </w:rPr>
              <w:t xml:space="preserve"> </w:t>
            </w:r>
            <w:r>
              <w:rPr>
                <w:rFonts w:hint="eastAsia" w:ascii="宋体" w:hAnsi="宋体" w:eastAsia="宋体" w:cs="宋体"/>
                <w:spacing w:val="9"/>
              </w:rPr>
              <w:t>2024 年度经金融监管</w:t>
            </w:r>
            <w:r>
              <w:rPr>
                <w:rFonts w:hint="eastAsia" w:ascii="宋体" w:hAnsi="宋体" w:eastAsia="宋体" w:cs="宋体"/>
                <w:spacing w:val="8"/>
              </w:rPr>
              <w:t>部门评定的消费者权益</w:t>
            </w:r>
            <w:r>
              <w:rPr>
                <w:rFonts w:hint="eastAsia" w:ascii="宋体" w:hAnsi="宋体" w:eastAsia="宋体" w:cs="宋体"/>
                <w:spacing w:val="9"/>
              </w:rPr>
              <w:t>保护监管评价证明材料，并加盖公章。</w:t>
            </w:r>
          </w:p>
          <w:p w14:paraId="480AB057">
            <w:pPr>
              <w:tabs>
                <w:tab w:val="left" w:pos="5198"/>
              </w:tabs>
              <w:bidi w:val="0"/>
              <w:jc w:val="left"/>
              <w:rPr>
                <w:rFonts w:hint="eastAsia" w:ascii="宋体" w:hAnsi="宋体" w:eastAsia="宋体" w:cs="宋体"/>
                <w:lang w:eastAsia="zh-CN"/>
              </w:rPr>
            </w:pPr>
            <w:r>
              <w:rPr>
                <w:rFonts w:hint="eastAsia" w:ascii="宋体" w:hAnsi="宋体" w:eastAsia="宋体" w:cs="宋体"/>
                <w:lang w:eastAsia="zh-CN"/>
              </w:rPr>
              <w:tab/>
            </w:r>
          </w:p>
        </w:tc>
      </w:tr>
      <w:tr w14:paraId="0048E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359F512D">
            <w:pPr>
              <w:pStyle w:val="29"/>
              <w:widowControl/>
              <w:spacing w:before="65" w:line="226" w:lineRule="auto"/>
              <w:ind w:left="159"/>
              <w:rPr>
                <w:rFonts w:hint="eastAsia" w:ascii="宋体" w:hAnsi="宋体" w:eastAsia="宋体" w:cs="宋体"/>
                <w:b/>
                <w:bCs/>
                <w:spacing w:val="3"/>
              </w:rPr>
            </w:pPr>
          </w:p>
        </w:tc>
        <w:tc>
          <w:tcPr>
            <w:tcW w:w="1001" w:type="dxa"/>
            <w:vMerge w:val="continue"/>
            <w:vAlign w:val="top"/>
          </w:tcPr>
          <w:p w14:paraId="7237E373">
            <w:pPr>
              <w:pStyle w:val="29"/>
              <w:widowControl/>
              <w:spacing w:before="65" w:line="226" w:lineRule="auto"/>
              <w:ind w:left="177"/>
              <w:rPr>
                <w:rFonts w:hint="eastAsia" w:ascii="宋体" w:hAnsi="宋体" w:eastAsia="宋体" w:cs="宋体"/>
                <w:b/>
                <w:bCs/>
                <w:spacing w:val="3"/>
              </w:rPr>
            </w:pPr>
          </w:p>
        </w:tc>
        <w:tc>
          <w:tcPr>
            <w:tcW w:w="574" w:type="dxa"/>
            <w:vMerge w:val="continue"/>
            <w:vAlign w:val="top"/>
          </w:tcPr>
          <w:p w14:paraId="1347952D">
            <w:pPr>
              <w:pStyle w:val="29"/>
              <w:widowControl/>
              <w:spacing w:before="210" w:line="227" w:lineRule="auto"/>
              <w:ind w:left="224"/>
              <w:rPr>
                <w:rFonts w:hint="eastAsia" w:ascii="宋体" w:hAnsi="宋体" w:eastAsia="宋体" w:cs="宋体"/>
                <w:b/>
                <w:bCs/>
                <w:spacing w:val="3"/>
              </w:rPr>
            </w:pPr>
          </w:p>
        </w:tc>
        <w:tc>
          <w:tcPr>
            <w:tcW w:w="5040" w:type="dxa"/>
            <w:vAlign w:val="top"/>
          </w:tcPr>
          <w:p w14:paraId="1BF701A1">
            <w:pPr>
              <w:pStyle w:val="29"/>
              <w:widowControl/>
              <w:spacing w:before="210" w:line="226" w:lineRule="auto"/>
              <w:rPr>
                <w:rFonts w:hint="eastAsia" w:ascii="宋体" w:hAnsi="宋体" w:eastAsia="宋体" w:cs="宋体"/>
                <w:b/>
                <w:bCs/>
                <w:spacing w:val="-1"/>
              </w:rPr>
            </w:pPr>
            <w:r>
              <w:rPr>
                <w:rFonts w:hint="eastAsia" w:ascii="宋体" w:hAnsi="宋体" w:eastAsia="宋体" w:cs="宋体"/>
                <w:spacing w:val="7"/>
              </w:rPr>
              <w:t>2、服务对象满意度，按省财政厅委托开展的</w:t>
            </w:r>
            <w:r>
              <w:rPr>
                <w:rFonts w:hint="eastAsia" w:ascii="宋体" w:hAnsi="宋体" w:eastAsia="宋体" w:cs="宋体"/>
                <w:spacing w:val="-29"/>
              </w:rPr>
              <w:t xml:space="preserve"> </w:t>
            </w:r>
            <w:r>
              <w:rPr>
                <w:rFonts w:hint="eastAsia" w:ascii="宋体" w:hAnsi="宋体" w:eastAsia="宋体" w:cs="宋体"/>
                <w:spacing w:val="7"/>
              </w:rPr>
              <w:t>2023</w:t>
            </w:r>
            <w:r>
              <w:rPr>
                <w:rFonts w:hint="eastAsia" w:ascii="宋体" w:hAnsi="宋体" w:eastAsia="宋体" w:cs="宋体"/>
                <w:spacing w:val="16"/>
                <w:w w:val="101"/>
              </w:rPr>
              <w:t xml:space="preserve"> </w:t>
            </w:r>
            <w:r>
              <w:rPr>
                <w:rFonts w:hint="eastAsia" w:ascii="宋体" w:hAnsi="宋体" w:eastAsia="宋体" w:cs="宋体"/>
                <w:spacing w:val="7"/>
              </w:rPr>
              <w:t>和</w:t>
            </w:r>
            <w:r>
              <w:rPr>
                <w:rFonts w:hint="eastAsia" w:ascii="宋体" w:hAnsi="宋体" w:eastAsia="宋体" w:cs="宋体"/>
                <w:spacing w:val="-44"/>
              </w:rPr>
              <w:t xml:space="preserve"> </w:t>
            </w:r>
            <w:r>
              <w:rPr>
                <w:rFonts w:hint="eastAsia" w:ascii="宋体" w:hAnsi="宋体" w:eastAsia="宋体" w:cs="宋体"/>
                <w:spacing w:val="7"/>
              </w:rPr>
              <w:t>2024 年度</w:t>
            </w:r>
            <w:r>
              <w:rPr>
                <w:rFonts w:hint="eastAsia" w:ascii="宋体" w:hAnsi="宋体" w:eastAsia="宋体" w:cs="宋体"/>
                <w:spacing w:val="6"/>
              </w:rPr>
              <w:t>电话回访满意度评价结果，每年分值</w:t>
            </w:r>
            <w:r>
              <w:rPr>
                <w:rFonts w:hint="eastAsia" w:ascii="宋体" w:hAnsi="宋体" w:eastAsia="宋体" w:cs="宋体"/>
                <w:spacing w:val="-17"/>
              </w:rPr>
              <w:t xml:space="preserve"> </w:t>
            </w:r>
            <w:r>
              <w:rPr>
                <w:rFonts w:hint="eastAsia" w:ascii="宋体" w:hAnsi="宋体" w:eastAsia="宋体" w:cs="宋体"/>
                <w:spacing w:val="6"/>
              </w:rPr>
              <w:t>1 分，总计</w:t>
            </w:r>
            <w:r>
              <w:rPr>
                <w:rFonts w:hint="eastAsia" w:ascii="宋体" w:hAnsi="宋体" w:eastAsia="宋体" w:cs="宋体"/>
                <w:spacing w:val="-42"/>
              </w:rPr>
              <w:t xml:space="preserve"> </w:t>
            </w:r>
            <w:r>
              <w:rPr>
                <w:rFonts w:hint="eastAsia" w:ascii="宋体" w:hAnsi="宋体" w:eastAsia="宋体" w:cs="宋体"/>
                <w:spacing w:val="6"/>
              </w:rPr>
              <w:t>2 分，从高到低排名，第一名得</w:t>
            </w:r>
            <w:r>
              <w:rPr>
                <w:rFonts w:hint="eastAsia" w:ascii="宋体" w:hAnsi="宋体" w:eastAsia="宋体" w:cs="宋体"/>
                <w:spacing w:val="-14"/>
              </w:rPr>
              <w:t xml:space="preserve"> </w:t>
            </w:r>
            <w:r>
              <w:rPr>
                <w:rFonts w:hint="eastAsia" w:ascii="宋体" w:hAnsi="宋体" w:eastAsia="宋体" w:cs="宋体"/>
                <w:spacing w:val="6"/>
              </w:rPr>
              <w:t>1 分，按</w:t>
            </w:r>
            <w:r>
              <w:rPr>
                <w:rFonts w:hint="eastAsia" w:ascii="宋体" w:hAnsi="宋体" w:eastAsia="宋体" w:cs="宋体"/>
                <w:spacing w:val="-41"/>
              </w:rPr>
              <w:t xml:space="preserve"> </w:t>
            </w:r>
            <w:r>
              <w:rPr>
                <w:rFonts w:hint="eastAsia" w:ascii="宋体" w:hAnsi="宋体" w:eastAsia="宋体" w:cs="宋体"/>
                <w:spacing w:val="6"/>
              </w:rPr>
              <w:t>0.2</w:t>
            </w:r>
            <w:r>
              <w:rPr>
                <w:rFonts w:hint="eastAsia" w:ascii="宋体" w:hAnsi="宋体" w:eastAsia="宋体" w:cs="宋体"/>
                <w:spacing w:val="15"/>
              </w:rPr>
              <w:t xml:space="preserve"> </w:t>
            </w:r>
            <w:r>
              <w:rPr>
                <w:rFonts w:hint="eastAsia" w:ascii="宋体" w:hAnsi="宋体" w:eastAsia="宋体" w:cs="宋体"/>
                <w:spacing w:val="6"/>
              </w:rPr>
              <w:t>分依次递减，减完为止。</w:t>
            </w:r>
          </w:p>
        </w:tc>
        <w:tc>
          <w:tcPr>
            <w:tcW w:w="5955" w:type="dxa"/>
            <w:vMerge w:val="continue"/>
            <w:vAlign w:val="top"/>
          </w:tcPr>
          <w:p w14:paraId="5BF49786">
            <w:pPr>
              <w:pStyle w:val="29"/>
              <w:widowControl/>
              <w:spacing w:before="210" w:line="226" w:lineRule="auto"/>
              <w:ind w:left="2687"/>
              <w:jc w:val="center"/>
              <w:rPr>
                <w:rFonts w:hint="eastAsia" w:ascii="宋体" w:hAnsi="宋体" w:eastAsia="宋体" w:cs="宋体"/>
                <w:b/>
                <w:bCs/>
                <w:spacing w:val="-2"/>
              </w:rPr>
            </w:pPr>
          </w:p>
        </w:tc>
      </w:tr>
      <w:tr w14:paraId="1F99C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1" w:hRule="atLeast"/>
        </w:trPr>
        <w:tc>
          <w:tcPr>
            <w:tcW w:w="921" w:type="dxa"/>
            <w:vMerge w:val="continue"/>
            <w:vAlign w:val="top"/>
          </w:tcPr>
          <w:p w14:paraId="46005D50">
            <w:pPr>
              <w:pStyle w:val="29"/>
              <w:widowControl/>
              <w:spacing w:before="65" w:line="226" w:lineRule="auto"/>
              <w:ind w:left="159"/>
              <w:rPr>
                <w:rFonts w:hint="eastAsia" w:ascii="宋体" w:hAnsi="宋体" w:eastAsia="宋体" w:cs="宋体"/>
                <w:b/>
                <w:bCs/>
                <w:spacing w:val="3"/>
              </w:rPr>
            </w:pPr>
          </w:p>
        </w:tc>
        <w:tc>
          <w:tcPr>
            <w:tcW w:w="1001" w:type="dxa"/>
            <w:vAlign w:val="top"/>
          </w:tcPr>
          <w:p w14:paraId="58A4969E">
            <w:pPr>
              <w:pStyle w:val="29"/>
              <w:widowControl/>
              <w:spacing w:before="65" w:line="226" w:lineRule="auto"/>
              <w:ind w:left="177"/>
              <w:rPr>
                <w:rFonts w:hint="eastAsia" w:ascii="宋体" w:hAnsi="宋体" w:eastAsia="宋体" w:cs="宋体"/>
                <w:b/>
                <w:bCs/>
                <w:spacing w:val="3"/>
              </w:rPr>
            </w:pPr>
          </w:p>
          <w:p w14:paraId="789F393C">
            <w:pPr>
              <w:pStyle w:val="29"/>
              <w:widowControl/>
              <w:spacing w:before="65" w:line="226" w:lineRule="auto"/>
              <w:ind w:left="168"/>
              <w:rPr>
                <w:rFonts w:hint="eastAsia" w:ascii="宋体" w:hAnsi="宋体" w:eastAsia="宋体" w:cs="宋体"/>
              </w:rPr>
            </w:pPr>
            <w:r>
              <w:rPr>
                <w:rFonts w:hint="eastAsia" w:ascii="宋体" w:hAnsi="宋体" w:eastAsia="宋体" w:cs="宋体"/>
                <w:spacing w:val="8"/>
              </w:rPr>
              <w:t>偿付</w:t>
            </w:r>
          </w:p>
          <w:p w14:paraId="0FDD9DD9">
            <w:pPr>
              <w:pStyle w:val="29"/>
              <w:widowControl/>
              <w:spacing w:before="66" w:line="226" w:lineRule="auto"/>
              <w:ind w:left="192"/>
              <w:rPr>
                <w:rFonts w:hint="eastAsia" w:ascii="宋体" w:hAnsi="宋体" w:eastAsia="宋体" w:cs="宋体"/>
              </w:rPr>
            </w:pPr>
            <w:r>
              <w:rPr>
                <w:rFonts w:hint="eastAsia" w:ascii="宋体" w:hAnsi="宋体" w:eastAsia="宋体" w:cs="宋体"/>
                <w:spacing w:val="-4"/>
              </w:rPr>
              <w:t>能力</w:t>
            </w:r>
          </w:p>
          <w:p w14:paraId="316983BC">
            <w:pPr>
              <w:pStyle w:val="29"/>
              <w:widowControl/>
              <w:spacing w:before="67" w:line="228" w:lineRule="auto"/>
              <w:ind w:left="179"/>
              <w:rPr>
                <w:rFonts w:hint="eastAsia" w:ascii="宋体" w:hAnsi="宋体" w:eastAsia="宋体" w:cs="宋体"/>
              </w:rPr>
            </w:pPr>
            <w:r>
              <w:rPr>
                <w:rFonts w:hint="eastAsia" w:ascii="宋体" w:hAnsi="宋体" w:eastAsia="宋体" w:cs="宋体"/>
                <w:spacing w:val="2"/>
              </w:rPr>
              <w:t>充足</w:t>
            </w:r>
          </w:p>
          <w:p w14:paraId="40413A7D">
            <w:pPr>
              <w:pStyle w:val="29"/>
              <w:widowControl/>
              <w:spacing w:before="33" w:line="276" w:lineRule="exact"/>
              <w:ind w:left="207"/>
              <w:rPr>
                <w:rFonts w:hint="eastAsia" w:ascii="宋体" w:hAnsi="宋体" w:eastAsia="宋体" w:cs="宋体"/>
              </w:rPr>
            </w:pPr>
            <w:r>
              <w:rPr>
                <w:rFonts w:hint="eastAsia" w:ascii="宋体" w:hAnsi="宋体" w:eastAsia="宋体" w:cs="宋体"/>
                <w:spacing w:val="-3"/>
                <w:position w:val="1"/>
              </w:rPr>
              <w:t>率</w:t>
            </w:r>
            <w:r>
              <w:rPr>
                <w:rFonts w:hint="eastAsia" w:ascii="宋体" w:hAnsi="宋体" w:eastAsia="宋体" w:cs="宋体"/>
                <w:spacing w:val="-44"/>
                <w:position w:val="1"/>
              </w:rPr>
              <w:t xml:space="preserve"> </w:t>
            </w:r>
            <w:r>
              <w:rPr>
                <w:rFonts w:hint="eastAsia" w:ascii="宋体" w:hAnsi="宋体" w:eastAsia="宋体" w:cs="宋体"/>
                <w:spacing w:val="-3"/>
                <w:position w:val="1"/>
              </w:rPr>
              <w:t>2</w:t>
            </w:r>
          </w:p>
          <w:p w14:paraId="2C85EADF">
            <w:pPr>
              <w:bidi w:val="0"/>
              <w:ind w:firstLine="400" w:firstLineChars="0"/>
              <w:jc w:val="left"/>
              <w:rPr>
                <w:rFonts w:hint="eastAsia" w:ascii="宋体" w:hAnsi="宋体" w:eastAsia="宋体" w:cs="宋体"/>
              </w:rPr>
            </w:pPr>
            <w:r>
              <w:rPr>
                <w:rFonts w:hint="eastAsia" w:ascii="宋体" w:hAnsi="宋体" w:eastAsia="宋体" w:cs="宋体"/>
              </w:rPr>
              <w:t>分</w:t>
            </w:r>
          </w:p>
        </w:tc>
        <w:tc>
          <w:tcPr>
            <w:tcW w:w="574" w:type="dxa"/>
            <w:vAlign w:val="top"/>
          </w:tcPr>
          <w:p w14:paraId="46DE4323">
            <w:pPr>
              <w:pStyle w:val="29"/>
              <w:widowControl/>
              <w:spacing w:before="210" w:line="227" w:lineRule="auto"/>
              <w:ind w:left="224"/>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2E448AD3">
            <w:pPr>
              <w:pStyle w:val="29"/>
              <w:widowControl/>
              <w:spacing w:before="156" w:line="275" w:lineRule="exact"/>
              <w:ind w:left="104"/>
              <w:rPr>
                <w:rFonts w:hint="eastAsia" w:ascii="宋体" w:hAnsi="宋体" w:eastAsia="宋体" w:cs="宋体"/>
              </w:rPr>
            </w:pPr>
            <w:r>
              <w:rPr>
                <w:rFonts w:hint="eastAsia" w:ascii="宋体" w:hAnsi="宋体" w:eastAsia="宋体" w:cs="宋体"/>
                <w:spacing w:val="8"/>
                <w:position w:val="1"/>
              </w:rPr>
              <w:t>偿付能力充足率总计</w:t>
            </w:r>
            <w:r>
              <w:rPr>
                <w:rFonts w:hint="eastAsia" w:ascii="宋体" w:hAnsi="宋体" w:eastAsia="宋体" w:cs="宋体"/>
                <w:spacing w:val="-42"/>
                <w:position w:val="1"/>
              </w:rPr>
              <w:t xml:space="preserve"> </w:t>
            </w:r>
            <w:r>
              <w:rPr>
                <w:rFonts w:hint="eastAsia" w:ascii="宋体" w:hAnsi="宋体" w:eastAsia="宋体" w:cs="宋体"/>
                <w:spacing w:val="8"/>
                <w:position w:val="1"/>
              </w:rPr>
              <w:t>2 分，其中：</w:t>
            </w:r>
          </w:p>
          <w:p w14:paraId="7E542797">
            <w:pPr>
              <w:pStyle w:val="29"/>
              <w:widowControl/>
              <w:spacing w:before="36" w:line="288" w:lineRule="auto"/>
              <w:ind w:left="107" w:right="165" w:firstLine="7"/>
              <w:rPr>
                <w:rFonts w:hint="eastAsia" w:ascii="宋体" w:hAnsi="宋体" w:eastAsia="宋体" w:cs="宋体"/>
              </w:rPr>
            </w:pPr>
            <w:r>
              <w:rPr>
                <w:rFonts w:hint="eastAsia" w:ascii="宋体" w:hAnsi="宋体" w:eastAsia="宋体" w:cs="宋体"/>
                <w:spacing w:val="8"/>
              </w:rPr>
              <w:t>参加遴选的承保机构所属总公司</w:t>
            </w:r>
            <w:r>
              <w:rPr>
                <w:rFonts w:hint="eastAsia" w:ascii="宋体" w:hAnsi="宋体" w:eastAsia="宋体" w:cs="宋体"/>
                <w:spacing w:val="-28"/>
              </w:rPr>
              <w:t xml:space="preserve"> </w:t>
            </w:r>
            <w:r>
              <w:rPr>
                <w:rFonts w:hint="eastAsia" w:ascii="宋体" w:hAnsi="宋体" w:eastAsia="宋体" w:cs="宋体"/>
                <w:spacing w:val="8"/>
              </w:rPr>
              <w:t>2024 年度综合偿付能力充足率</w:t>
            </w:r>
            <w:r>
              <w:rPr>
                <w:rFonts w:hint="eastAsia" w:ascii="宋体" w:hAnsi="宋体" w:eastAsia="宋体" w:cs="宋体"/>
                <w:spacing w:val="4"/>
              </w:rPr>
              <w:t>230%（含）</w:t>
            </w:r>
            <w:r>
              <w:rPr>
                <w:rFonts w:hint="eastAsia" w:ascii="宋体" w:hAnsi="宋体" w:eastAsia="宋体" w:cs="宋体"/>
                <w:spacing w:val="-41"/>
              </w:rPr>
              <w:t xml:space="preserve"> </w:t>
            </w:r>
            <w:r>
              <w:rPr>
                <w:rFonts w:hint="eastAsia" w:ascii="宋体" w:hAnsi="宋体" w:eastAsia="宋体" w:cs="宋体"/>
                <w:spacing w:val="4"/>
              </w:rPr>
              <w:t>以上的计满分</w:t>
            </w:r>
            <w:r>
              <w:rPr>
                <w:rFonts w:hint="eastAsia" w:ascii="宋体" w:hAnsi="宋体" w:eastAsia="宋体" w:cs="宋体"/>
                <w:spacing w:val="-20"/>
              </w:rPr>
              <w:t xml:space="preserve"> </w:t>
            </w:r>
            <w:r>
              <w:rPr>
                <w:rFonts w:hint="eastAsia" w:ascii="宋体" w:hAnsi="宋体" w:eastAsia="宋体" w:cs="宋体"/>
                <w:spacing w:val="4"/>
              </w:rPr>
              <w:t>1 分；</w:t>
            </w:r>
            <w:r>
              <w:rPr>
                <w:rFonts w:hint="eastAsia" w:ascii="宋体" w:hAnsi="宋体" w:eastAsia="宋体" w:cs="宋体"/>
                <w:spacing w:val="-58"/>
              </w:rPr>
              <w:t xml:space="preserve"> </w:t>
            </w:r>
            <w:r>
              <w:rPr>
                <w:rFonts w:hint="eastAsia" w:ascii="宋体" w:hAnsi="宋体" w:eastAsia="宋体" w:cs="宋体"/>
                <w:spacing w:val="4"/>
              </w:rPr>
              <w:t>180%（含）-230%（不含）的</w:t>
            </w:r>
            <w:r>
              <w:rPr>
                <w:rFonts w:hint="eastAsia" w:ascii="宋体" w:hAnsi="宋体" w:eastAsia="宋体" w:cs="宋体"/>
                <w:spacing w:val="5"/>
              </w:rPr>
              <w:t>按排名依次递减</w:t>
            </w:r>
            <w:r>
              <w:rPr>
                <w:rFonts w:hint="eastAsia" w:ascii="宋体" w:hAnsi="宋体" w:eastAsia="宋体" w:cs="宋体"/>
                <w:spacing w:val="-24"/>
              </w:rPr>
              <w:t xml:space="preserve"> </w:t>
            </w:r>
            <w:r>
              <w:rPr>
                <w:rFonts w:hint="eastAsia" w:ascii="宋体" w:hAnsi="宋体" w:eastAsia="宋体" w:cs="宋体"/>
                <w:spacing w:val="5"/>
              </w:rPr>
              <w:t>0.1</w:t>
            </w:r>
            <w:r>
              <w:rPr>
                <w:rFonts w:hint="eastAsia" w:ascii="宋体" w:hAnsi="宋体" w:eastAsia="宋体" w:cs="宋体"/>
                <w:spacing w:val="16"/>
              </w:rPr>
              <w:t xml:space="preserve"> </w:t>
            </w:r>
            <w:r>
              <w:rPr>
                <w:rFonts w:hint="eastAsia" w:ascii="宋体" w:hAnsi="宋体" w:eastAsia="宋体" w:cs="宋体"/>
                <w:spacing w:val="5"/>
              </w:rPr>
              <w:t>分；低于</w:t>
            </w:r>
            <w:r>
              <w:rPr>
                <w:rFonts w:hint="eastAsia" w:ascii="宋体" w:hAnsi="宋体" w:eastAsia="宋体" w:cs="宋体"/>
                <w:spacing w:val="-22"/>
              </w:rPr>
              <w:t xml:space="preserve"> </w:t>
            </w:r>
            <w:r>
              <w:rPr>
                <w:rFonts w:hint="eastAsia" w:ascii="宋体" w:hAnsi="宋体" w:eastAsia="宋体" w:cs="宋体"/>
                <w:spacing w:val="5"/>
              </w:rPr>
              <w:t>180%的不计分。</w:t>
            </w:r>
          </w:p>
          <w:p w14:paraId="04834575">
            <w:pPr>
              <w:pStyle w:val="29"/>
              <w:widowControl/>
              <w:spacing w:before="210" w:line="226" w:lineRule="auto"/>
              <w:rPr>
                <w:rFonts w:hint="eastAsia" w:ascii="宋体" w:hAnsi="宋体" w:eastAsia="宋体" w:cs="宋体"/>
                <w:spacing w:val="7"/>
              </w:rPr>
            </w:pPr>
            <w:r>
              <w:rPr>
                <w:rFonts w:hint="eastAsia" w:ascii="宋体" w:hAnsi="宋体" w:eastAsia="宋体" w:cs="宋体"/>
                <w:spacing w:val="9"/>
              </w:rPr>
              <w:t>参加遴选的承保机构所属总公司最近一期综合偿付能力充足率</w:t>
            </w:r>
            <w:r>
              <w:rPr>
                <w:rFonts w:hint="eastAsia" w:ascii="宋体" w:hAnsi="宋体" w:eastAsia="宋体" w:cs="宋体"/>
                <w:spacing w:val="4"/>
              </w:rPr>
              <w:t>230%（含）</w:t>
            </w:r>
            <w:r>
              <w:rPr>
                <w:rFonts w:hint="eastAsia" w:ascii="宋体" w:hAnsi="宋体" w:eastAsia="宋体" w:cs="宋体"/>
                <w:spacing w:val="-41"/>
              </w:rPr>
              <w:t xml:space="preserve"> </w:t>
            </w:r>
            <w:r>
              <w:rPr>
                <w:rFonts w:hint="eastAsia" w:ascii="宋体" w:hAnsi="宋体" w:eastAsia="宋体" w:cs="宋体"/>
                <w:spacing w:val="4"/>
              </w:rPr>
              <w:t>以上的计满分</w:t>
            </w:r>
            <w:r>
              <w:rPr>
                <w:rFonts w:hint="eastAsia" w:ascii="宋体" w:hAnsi="宋体" w:eastAsia="宋体" w:cs="宋体"/>
                <w:spacing w:val="-20"/>
              </w:rPr>
              <w:t xml:space="preserve"> </w:t>
            </w:r>
            <w:r>
              <w:rPr>
                <w:rFonts w:hint="eastAsia" w:ascii="宋体" w:hAnsi="宋体" w:eastAsia="宋体" w:cs="宋体"/>
                <w:spacing w:val="4"/>
              </w:rPr>
              <w:t>1 分；</w:t>
            </w:r>
            <w:r>
              <w:rPr>
                <w:rFonts w:hint="eastAsia" w:ascii="宋体" w:hAnsi="宋体" w:eastAsia="宋体" w:cs="宋体"/>
                <w:spacing w:val="-58"/>
              </w:rPr>
              <w:t xml:space="preserve"> </w:t>
            </w:r>
            <w:r>
              <w:rPr>
                <w:rFonts w:hint="eastAsia" w:ascii="宋体" w:hAnsi="宋体" w:eastAsia="宋体" w:cs="宋体"/>
                <w:spacing w:val="4"/>
              </w:rPr>
              <w:t>180%（含）-230%（不含）的</w:t>
            </w:r>
            <w:r>
              <w:rPr>
                <w:rFonts w:hint="eastAsia" w:ascii="宋体" w:hAnsi="宋体" w:eastAsia="宋体" w:cs="宋体"/>
                <w:spacing w:val="5"/>
              </w:rPr>
              <w:t>按排名依次递减</w:t>
            </w:r>
            <w:r>
              <w:rPr>
                <w:rFonts w:hint="eastAsia" w:ascii="宋体" w:hAnsi="宋体" w:eastAsia="宋体" w:cs="宋体"/>
                <w:spacing w:val="-24"/>
              </w:rPr>
              <w:t xml:space="preserve"> </w:t>
            </w:r>
            <w:r>
              <w:rPr>
                <w:rFonts w:hint="eastAsia" w:ascii="宋体" w:hAnsi="宋体" w:eastAsia="宋体" w:cs="宋体"/>
                <w:spacing w:val="5"/>
              </w:rPr>
              <w:t>0.1</w:t>
            </w:r>
            <w:r>
              <w:rPr>
                <w:rFonts w:hint="eastAsia" w:ascii="宋体" w:hAnsi="宋体" w:eastAsia="宋体" w:cs="宋体"/>
                <w:spacing w:val="16"/>
              </w:rPr>
              <w:t xml:space="preserve"> </w:t>
            </w:r>
            <w:r>
              <w:rPr>
                <w:rFonts w:hint="eastAsia" w:ascii="宋体" w:hAnsi="宋体" w:eastAsia="宋体" w:cs="宋体"/>
                <w:spacing w:val="5"/>
              </w:rPr>
              <w:t>分；低于</w:t>
            </w:r>
            <w:r>
              <w:rPr>
                <w:rFonts w:hint="eastAsia" w:ascii="宋体" w:hAnsi="宋体" w:eastAsia="宋体" w:cs="宋体"/>
                <w:spacing w:val="-22"/>
              </w:rPr>
              <w:t xml:space="preserve"> </w:t>
            </w:r>
            <w:r>
              <w:rPr>
                <w:rFonts w:hint="eastAsia" w:ascii="宋体" w:hAnsi="宋体" w:eastAsia="宋体" w:cs="宋体"/>
                <w:spacing w:val="5"/>
              </w:rPr>
              <w:t>180%的不计分。</w:t>
            </w:r>
          </w:p>
        </w:tc>
        <w:tc>
          <w:tcPr>
            <w:tcW w:w="5955" w:type="dxa"/>
            <w:vAlign w:val="top"/>
          </w:tcPr>
          <w:p w14:paraId="2EBFB417">
            <w:pPr>
              <w:pStyle w:val="29"/>
              <w:widowControl/>
              <w:spacing w:before="210" w:line="226" w:lineRule="auto"/>
              <w:jc w:val="both"/>
              <w:rPr>
                <w:rFonts w:hint="eastAsia" w:ascii="宋体" w:hAnsi="宋体" w:eastAsia="宋体" w:cs="宋体"/>
                <w:b/>
                <w:bCs/>
                <w:spacing w:val="-2"/>
                <w:lang w:val="en-US" w:eastAsia="zh-CN"/>
              </w:rPr>
            </w:pPr>
            <w:r>
              <w:rPr>
                <w:rFonts w:hint="eastAsia" w:ascii="宋体" w:hAnsi="宋体" w:eastAsia="宋体" w:cs="宋体"/>
                <w:spacing w:val="7"/>
              </w:rPr>
              <w:t>综合偿付能力充足率=保险公司的实际资本/最低资本，需提供参加遴选的</w:t>
            </w:r>
            <w:r>
              <w:rPr>
                <w:rFonts w:hint="eastAsia" w:ascii="宋体" w:hAnsi="宋体" w:eastAsia="宋体" w:cs="宋体"/>
                <w:spacing w:val="8"/>
              </w:rPr>
              <w:t>承保公司总公司</w:t>
            </w:r>
            <w:r>
              <w:rPr>
                <w:rFonts w:hint="eastAsia" w:ascii="宋体" w:hAnsi="宋体" w:eastAsia="宋体" w:cs="宋体"/>
                <w:spacing w:val="-31"/>
              </w:rPr>
              <w:t xml:space="preserve"> </w:t>
            </w:r>
            <w:r>
              <w:rPr>
                <w:rFonts w:hint="eastAsia" w:ascii="宋体" w:hAnsi="宋体" w:eastAsia="宋体" w:cs="宋体"/>
                <w:spacing w:val="8"/>
              </w:rPr>
              <w:t>2024</w:t>
            </w:r>
            <w:r>
              <w:rPr>
                <w:rFonts w:hint="eastAsia" w:ascii="宋体" w:hAnsi="宋体" w:eastAsia="宋体" w:cs="宋体"/>
                <w:spacing w:val="16"/>
                <w:w w:val="101"/>
              </w:rPr>
              <w:t xml:space="preserve"> </w:t>
            </w:r>
            <w:r>
              <w:rPr>
                <w:rFonts w:hint="eastAsia" w:ascii="宋体" w:hAnsi="宋体" w:eastAsia="宋体" w:cs="宋体"/>
                <w:spacing w:val="8"/>
              </w:rPr>
              <w:t>年度经审计的会计报表和最近一期会计报表中“偿</w:t>
            </w:r>
            <w:r>
              <w:rPr>
                <w:rFonts w:hint="eastAsia" w:ascii="宋体" w:hAnsi="宋体" w:eastAsia="宋体" w:cs="宋体"/>
                <w:spacing w:val="10"/>
              </w:rPr>
              <w:t>付能力报告含偿付能力充足率”相关页面复</w:t>
            </w:r>
            <w:r>
              <w:rPr>
                <w:rFonts w:hint="eastAsia" w:ascii="宋体" w:hAnsi="宋体" w:eastAsia="宋体" w:cs="宋体"/>
                <w:spacing w:val="9"/>
              </w:rPr>
              <w:t>印件并加盖参加遴选的承保机</w:t>
            </w:r>
            <w:r>
              <w:rPr>
                <w:rFonts w:hint="eastAsia" w:ascii="宋体" w:hAnsi="宋体" w:eastAsia="宋体" w:cs="宋体"/>
                <w:spacing w:val="7"/>
              </w:rPr>
              <w:t>构公章，其中</w:t>
            </w:r>
            <w:r>
              <w:rPr>
                <w:rFonts w:hint="eastAsia" w:ascii="宋体" w:hAnsi="宋体" w:eastAsia="宋体" w:cs="宋体"/>
                <w:spacing w:val="-35"/>
              </w:rPr>
              <w:t xml:space="preserve"> </w:t>
            </w:r>
            <w:r>
              <w:rPr>
                <w:rFonts w:hint="eastAsia" w:ascii="宋体" w:hAnsi="宋体" w:eastAsia="宋体" w:cs="宋体"/>
                <w:spacing w:val="7"/>
              </w:rPr>
              <w:t>2024 年度报表应经审计。</w:t>
            </w:r>
            <w:r>
              <w:rPr>
                <w:rFonts w:hint="eastAsia" w:ascii="宋体" w:hAnsi="宋体" w:eastAsia="宋体" w:cs="宋体"/>
                <w:b/>
                <w:bCs/>
                <w:spacing w:val="-2"/>
                <w:lang w:val="en-US" w:eastAsia="zh-CN"/>
              </w:rPr>
              <w:t xml:space="preserve">  </w:t>
            </w:r>
          </w:p>
        </w:tc>
      </w:tr>
      <w:tr w14:paraId="3094A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921" w:type="dxa"/>
            <w:vAlign w:val="top"/>
          </w:tcPr>
          <w:p w14:paraId="18175794">
            <w:pPr>
              <w:pStyle w:val="29"/>
              <w:widowControl/>
              <w:spacing w:before="54" w:line="228" w:lineRule="auto"/>
              <w:ind w:left="170" w:firstLine="195" w:firstLineChars="100"/>
              <w:rPr>
                <w:rFonts w:hint="eastAsia" w:ascii="宋体" w:hAnsi="宋体" w:eastAsia="宋体" w:cs="宋体"/>
              </w:rPr>
            </w:pPr>
            <w:r>
              <w:rPr>
                <w:rFonts w:hint="eastAsia" w:ascii="宋体" w:hAnsi="宋体" w:eastAsia="宋体" w:cs="宋体"/>
                <w:b/>
                <w:bCs/>
                <w:spacing w:val="-3"/>
              </w:rPr>
              <w:t>一级</w:t>
            </w:r>
          </w:p>
          <w:p w14:paraId="52D56EF5">
            <w:pPr>
              <w:pStyle w:val="29"/>
              <w:widowControl/>
              <w:spacing w:before="65" w:line="226" w:lineRule="auto"/>
              <w:ind w:left="159" w:leftChars="0"/>
              <w:rPr>
                <w:rFonts w:hint="eastAsia" w:ascii="宋体" w:hAnsi="宋体" w:eastAsia="宋体" w:cs="宋体"/>
              </w:rPr>
            </w:pPr>
            <w:r>
              <w:rPr>
                <w:rFonts w:hint="eastAsia" w:ascii="宋体" w:hAnsi="宋体" w:eastAsia="宋体" w:cs="宋体"/>
                <w:b/>
                <w:bCs/>
                <w:spacing w:val="3"/>
              </w:rPr>
              <w:t>指标</w:t>
            </w:r>
          </w:p>
        </w:tc>
        <w:tc>
          <w:tcPr>
            <w:tcW w:w="1001" w:type="dxa"/>
            <w:vAlign w:val="top"/>
          </w:tcPr>
          <w:p w14:paraId="704C3983">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23F72718">
            <w:pPr>
              <w:pStyle w:val="29"/>
              <w:widowControl/>
              <w:spacing w:before="65" w:line="226" w:lineRule="auto"/>
              <w:ind w:left="177" w:leftChars="0"/>
              <w:rPr>
                <w:rFonts w:hint="eastAsia" w:ascii="宋体" w:hAnsi="宋体" w:eastAsia="宋体" w:cs="宋体"/>
                <w:spacing w:val="4"/>
              </w:rPr>
            </w:pPr>
            <w:r>
              <w:rPr>
                <w:rFonts w:hint="eastAsia" w:ascii="宋体" w:hAnsi="宋体" w:eastAsia="宋体" w:cs="宋体"/>
                <w:b/>
                <w:bCs/>
                <w:spacing w:val="3"/>
              </w:rPr>
              <w:t>指标</w:t>
            </w:r>
          </w:p>
        </w:tc>
        <w:tc>
          <w:tcPr>
            <w:tcW w:w="574" w:type="dxa"/>
            <w:vAlign w:val="top"/>
          </w:tcPr>
          <w:p w14:paraId="03FD90BC">
            <w:pPr>
              <w:pStyle w:val="29"/>
              <w:widowControl/>
              <w:spacing w:before="210" w:line="227" w:lineRule="auto"/>
              <w:ind w:left="224" w:leftChars="0"/>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b/>
                <w:bCs/>
                <w:spacing w:val="3"/>
              </w:rPr>
              <w:t>分值</w:t>
            </w:r>
          </w:p>
        </w:tc>
        <w:tc>
          <w:tcPr>
            <w:tcW w:w="5040" w:type="dxa"/>
            <w:vAlign w:val="top"/>
          </w:tcPr>
          <w:p w14:paraId="7018C6B0">
            <w:pPr>
              <w:pStyle w:val="29"/>
              <w:widowControl/>
              <w:spacing w:before="210" w:line="226" w:lineRule="auto"/>
              <w:ind w:left="2292" w:leftChars="0"/>
              <w:rPr>
                <w:rFonts w:hint="eastAsia" w:ascii="宋体" w:hAnsi="宋体" w:eastAsia="宋体" w:cs="宋体"/>
                <w:spacing w:val="9"/>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vAlign w:val="top"/>
          </w:tcPr>
          <w:p w14:paraId="0063CD4C">
            <w:pPr>
              <w:pStyle w:val="29"/>
              <w:widowControl/>
              <w:tabs>
                <w:tab w:val="left" w:pos="5573"/>
              </w:tabs>
              <w:spacing w:before="210" w:line="226" w:lineRule="auto"/>
              <w:ind w:left="2687" w:leftChars="0"/>
              <w:rPr>
                <w:rFonts w:hint="eastAsia" w:ascii="宋体" w:hAnsi="宋体" w:eastAsia="宋体" w:cs="宋体"/>
                <w:b/>
                <w:bCs/>
                <w:spacing w:val="-2"/>
                <w:lang w:eastAsia="zh-CN"/>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r>
              <w:rPr>
                <w:rFonts w:hint="eastAsia" w:ascii="宋体" w:hAnsi="宋体" w:eastAsia="宋体" w:cs="宋体"/>
                <w:b/>
                <w:bCs/>
                <w:spacing w:val="-2"/>
                <w:lang w:eastAsia="zh-CN"/>
              </w:rPr>
              <w:tab/>
            </w:r>
          </w:p>
        </w:tc>
      </w:tr>
      <w:tr w14:paraId="11A2B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921" w:type="dxa"/>
            <w:vMerge w:val="restart"/>
            <w:vAlign w:val="top"/>
          </w:tcPr>
          <w:p w14:paraId="6EF32157">
            <w:pPr>
              <w:pStyle w:val="29"/>
              <w:widowControl/>
              <w:spacing w:before="65" w:line="228" w:lineRule="auto"/>
              <w:ind w:left="161"/>
              <w:rPr>
                <w:rFonts w:hint="eastAsia" w:ascii="宋体" w:hAnsi="宋体" w:eastAsia="宋体" w:cs="宋体"/>
              </w:rPr>
            </w:pPr>
            <w:r>
              <w:rPr>
                <w:rFonts w:hint="eastAsia" w:ascii="宋体" w:hAnsi="宋体" w:eastAsia="宋体" w:cs="宋体"/>
                <w:spacing w:val="4"/>
              </w:rPr>
              <w:t>合规</w:t>
            </w:r>
          </w:p>
          <w:p w14:paraId="29DA5245">
            <w:pPr>
              <w:pStyle w:val="29"/>
              <w:widowControl/>
              <w:spacing w:before="64" w:line="228" w:lineRule="auto"/>
              <w:ind w:left="164"/>
              <w:rPr>
                <w:rFonts w:hint="eastAsia" w:ascii="宋体" w:hAnsi="宋体" w:eastAsia="宋体" w:cs="宋体"/>
              </w:rPr>
            </w:pPr>
            <w:r>
              <w:rPr>
                <w:rFonts w:hint="eastAsia" w:ascii="宋体" w:hAnsi="宋体" w:eastAsia="宋体" w:cs="宋体"/>
                <w:spacing w:val="2"/>
              </w:rPr>
              <w:t>经营</w:t>
            </w:r>
          </w:p>
          <w:p w14:paraId="6B79C7A7">
            <w:pPr>
              <w:pStyle w:val="29"/>
              <w:widowControl/>
              <w:spacing w:before="64" w:line="229" w:lineRule="auto"/>
              <w:ind w:left="156"/>
              <w:rPr>
                <w:rFonts w:hint="eastAsia" w:ascii="宋体" w:hAnsi="宋体" w:eastAsia="宋体" w:cs="宋体"/>
              </w:rPr>
            </w:pPr>
            <w:r>
              <w:rPr>
                <w:rFonts w:hint="eastAsia" w:ascii="宋体" w:hAnsi="宋体" w:eastAsia="宋体" w:cs="宋体"/>
                <w:spacing w:val="6"/>
              </w:rPr>
              <w:t>及风</w:t>
            </w:r>
          </w:p>
          <w:p w14:paraId="7873A648">
            <w:pPr>
              <w:pStyle w:val="29"/>
              <w:widowControl/>
              <w:spacing w:before="64" w:line="228" w:lineRule="auto"/>
              <w:ind w:left="175"/>
              <w:rPr>
                <w:rFonts w:hint="eastAsia" w:ascii="宋体" w:hAnsi="宋体" w:eastAsia="宋体" w:cs="宋体"/>
              </w:rPr>
            </w:pPr>
            <w:r>
              <w:rPr>
                <w:rFonts w:hint="eastAsia" w:ascii="宋体" w:hAnsi="宋体" w:eastAsia="宋体" w:cs="宋体"/>
                <w:spacing w:val="-3"/>
              </w:rPr>
              <w:t>险管</w:t>
            </w:r>
          </w:p>
          <w:p w14:paraId="445F727F">
            <w:pPr>
              <w:pStyle w:val="29"/>
              <w:widowControl/>
              <w:spacing w:before="64" w:line="226" w:lineRule="auto"/>
              <w:ind w:left="161"/>
              <w:rPr>
                <w:rFonts w:hint="eastAsia" w:ascii="宋体" w:hAnsi="宋体" w:eastAsia="宋体" w:cs="宋体"/>
              </w:rPr>
            </w:pPr>
            <w:r>
              <w:rPr>
                <w:rFonts w:hint="eastAsia" w:ascii="宋体" w:hAnsi="宋体" w:eastAsia="宋体" w:cs="宋体"/>
                <w:spacing w:val="4"/>
              </w:rPr>
              <w:t>控能</w:t>
            </w:r>
          </w:p>
          <w:p w14:paraId="386BBF5F">
            <w:pPr>
              <w:pStyle w:val="29"/>
              <w:widowControl/>
              <w:spacing w:before="36" w:line="276" w:lineRule="exact"/>
              <w:ind w:left="120"/>
              <w:rPr>
                <w:rFonts w:hint="eastAsia" w:ascii="宋体" w:hAnsi="宋体" w:eastAsia="宋体" w:cs="宋体"/>
              </w:rPr>
            </w:pPr>
            <w:r>
              <w:rPr>
                <w:rFonts w:hint="eastAsia" w:ascii="宋体" w:hAnsi="宋体" w:eastAsia="宋体" w:cs="宋体"/>
                <w:spacing w:val="1"/>
                <w:position w:val="1"/>
              </w:rPr>
              <w:t>力</w:t>
            </w:r>
            <w:r>
              <w:rPr>
                <w:rFonts w:hint="eastAsia" w:ascii="宋体" w:hAnsi="宋体" w:eastAsia="宋体" w:cs="宋体"/>
                <w:spacing w:val="-45"/>
                <w:position w:val="1"/>
              </w:rPr>
              <w:t xml:space="preserve"> </w:t>
            </w:r>
            <w:r>
              <w:rPr>
                <w:rFonts w:hint="eastAsia" w:ascii="宋体" w:hAnsi="宋体" w:eastAsia="宋体" w:cs="宋体"/>
                <w:spacing w:val="1"/>
                <w:position w:val="1"/>
              </w:rPr>
              <w:t>20</w:t>
            </w:r>
          </w:p>
          <w:p w14:paraId="0A6B18D5">
            <w:pPr>
              <w:pStyle w:val="29"/>
              <w:widowControl/>
              <w:spacing w:before="65" w:line="226" w:lineRule="auto"/>
              <w:ind w:left="159"/>
              <w:rPr>
                <w:rFonts w:hint="eastAsia" w:ascii="宋体" w:hAnsi="宋体" w:eastAsia="宋体" w:cs="宋体"/>
              </w:rPr>
            </w:pPr>
            <w:r>
              <w:rPr>
                <w:rFonts w:hint="eastAsia" w:ascii="宋体" w:hAnsi="宋体" w:eastAsia="宋体" w:cs="宋体"/>
              </w:rPr>
              <w:t>分</w:t>
            </w:r>
          </w:p>
          <w:p w14:paraId="31C2FE21">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vAlign w:val="top"/>
          </w:tcPr>
          <w:p w14:paraId="2419325C">
            <w:pPr>
              <w:widowControl/>
              <w:kinsoku w:val="0"/>
              <w:autoSpaceDE w:val="0"/>
              <w:autoSpaceDN w:val="0"/>
              <w:adjustRightInd w:val="0"/>
              <w:snapToGrid w:val="0"/>
              <w:spacing w:line="313" w:lineRule="auto"/>
              <w:jc w:val="left"/>
              <w:textAlignment w:val="baseline"/>
              <w:rPr>
                <w:rFonts w:hint="eastAsia" w:ascii="宋体" w:hAnsi="宋体" w:eastAsia="宋体" w:cs="宋体"/>
                <w:snapToGrid w:val="0"/>
                <w:color w:val="000000"/>
                <w:kern w:val="0"/>
                <w:sz w:val="21"/>
                <w:szCs w:val="21"/>
                <w:lang w:eastAsia="en-US"/>
              </w:rPr>
            </w:pPr>
          </w:p>
          <w:p w14:paraId="2CF5E897">
            <w:pPr>
              <w:pStyle w:val="29"/>
              <w:widowControl/>
              <w:spacing w:before="65" w:line="295" w:lineRule="auto"/>
              <w:ind w:left="174" w:leftChars="0" w:right="170" w:rightChars="0"/>
              <w:jc w:val="both"/>
              <w:rPr>
                <w:rFonts w:hint="eastAsia" w:ascii="宋体" w:hAnsi="宋体" w:eastAsia="宋体" w:cs="宋体"/>
                <w:b/>
                <w:bCs/>
                <w:spacing w:val="3"/>
              </w:rPr>
            </w:pPr>
            <w:r>
              <w:rPr>
                <w:rFonts w:hint="eastAsia" w:ascii="宋体" w:hAnsi="宋体" w:eastAsia="宋体" w:cs="宋体"/>
                <w:spacing w:val="4"/>
              </w:rPr>
              <w:t>风险</w:t>
            </w:r>
            <w:r>
              <w:rPr>
                <w:rFonts w:hint="eastAsia" w:ascii="宋体" w:hAnsi="宋体" w:eastAsia="宋体" w:cs="宋体"/>
                <w:spacing w:val="5"/>
              </w:rPr>
              <w:t>综合</w:t>
            </w:r>
            <w:r>
              <w:rPr>
                <w:rFonts w:hint="eastAsia" w:ascii="宋体" w:hAnsi="宋体" w:eastAsia="宋体" w:cs="宋体"/>
                <w:spacing w:val="6"/>
              </w:rPr>
              <w:t>评级</w:t>
            </w:r>
            <w:r>
              <w:rPr>
                <w:rFonts w:hint="eastAsia" w:ascii="宋体" w:hAnsi="宋体" w:eastAsia="宋体" w:cs="宋体"/>
                <w:spacing w:val="11"/>
              </w:rPr>
              <w:t>2 分</w:t>
            </w:r>
          </w:p>
        </w:tc>
        <w:tc>
          <w:tcPr>
            <w:tcW w:w="574" w:type="dxa"/>
            <w:vAlign w:val="top"/>
          </w:tcPr>
          <w:p w14:paraId="5AF2D4E1">
            <w:pPr>
              <w:widowControl/>
              <w:kinsoku w:val="0"/>
              <w:autoSpaceDE w:val="0"/>
              <w:autoSpaceDN w:val="0"/>
              <w:adjustRightInd w:val="0"/>
              <w:snapToGrid w:val="0"/>
              <w:spacing w:line="251" w:lineRule="auto"/>
              <w:jc w:val="left"/>
              <w:textAlignment w:val="baseline"/>
              <w:rPr>
                <w:rFonts w:hint="eastAsia" w:ascii="宋体" w:hAnsi="宋体" w:eastAsia="宋体" w:cs="宋体"/>
                <w:snapToGrid w:val="0"/>
                <w:color w:val="000000"/>
                <w:kern w:val="0"/>
                <w:sz w:val="21"/>
                <w:szCs w:val="21"/>
                <w:lang w:eastAsia="en-US"/>
              </w:rPr>
            </w:pPr>
          </w:p>
          <w:p w14:paraId="3A0B9073">
            <w:pPr>
              <w:widowControl/>
              <w:kinsoku w:val="0"/>
              <w:autoSpaceDE w:val="0"/>
              <w:autoSpaceDN w:val="0"/>
              <w:adjustRightInd w:val="0"/>
              <w:snapToGrid w:val="0"/>
              <w:spacing w:line="252" w:lineRule="auto"/>
              <w:jc w:val="left"/>
              <w:textAlignment w:val="baseline"/>
              <w:rPr>
                <w:rFonts w:hint="eastAsia" w:ascii="宋体" w:hAnsi="宋体" w:eastAsia="宋体" w:cs="宋体"/>
                <w:snapToGrid w:val="0"/>
                <w:color w:val="000000"/>
                <w:kern w:val="0"/>
                <w:sz w:val="21"/>
                <w:szCs w:val="21"/>
                <w:lang w:eastAsia="en-US"/>
              </w:rPr>
            </w:pPr>
          </w:p>
          <w:p w14:paraId="4CFAD1B5">
            <w:pPr>
              <w:widowControl/>
              <w:kinsoku w:val="0"/>
              <w:autoSpaceDE w:val="0"/>
              <w:autoSpaceDN w:val="0"/>
              <w:adjustRightInd w:val="0"/>
              <w:snapToGrid w:val="0"/>
              <w:spacing w:line="252" w:lineRule="auto"/>
              <w:jc w:val="left"/>
              <w:textAlignment w:val="baseline"/>
              <w:rPr>
                <w:rFonts w:hint="eastAsia" w:ascii="宋体" w:hAnsi="宋体" w:eastAsia="宋体" w:cs="宋体"/>
                <w:snapToGrid w:val="0"/>
                <w:color w:val="000000"/>
                <w:kern w:val="0"/>
                <w:sz w:val="21"/>
                <w:szCs w:val="21"/>
                <w:lang w:eastAsia="en-US"/>
              </w:rPr>
            </w:pPr>
          </w:p>
          <w:p w14:paraId="7F71239D">
            <w:pPr>
              <w:widowControl/>
              <w:kinsoku w:val="0"/>
              <w:autoSpaceDE w:val="0"/>
              <w:autoSpaceDN w:val="0"/>
              <w:adjustRightInd w:val="0"/>
              <w:snapToGrid w:val="0"/>
              <w:spacing w:before="57" w:line="276"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0233FC17">
            <w:pPr>
              <w:pStyle w:val="29"/>
              <w:widowControl/>
              <w:spacing w:before="193" w:line="275" w:lineRule="exact"/>
              <w:ind w:left="112"/>
              <w:rPr>
                <w:rFonts w:hint="eastAsia" w:ascii="宋体" w:hAnsi="宋体" w:eastAsia="宋体" w:cs="宋体"/>
              </w:rPr>
            </w:pPr>
            <w:r>
              <w:rPr>
                <w:rFonts w:hint="eastAsia" w:ascii="宋体" w:hAnsi="宋体" w:eastAsia="宋体" w:cs="宋体"/>
                <w:spacing w:val="7"/>
                <w:position w:val="1"/>
              </w:rPr>
              <w:t>风险综合评级总计</w:t>
            </w:r>
            <w:r>
              <w:rPr>
                <w:rFonts w:hint="eastAsia" w:ascii="宋体" w:hAnsi="宋体" w:eastAsia="宋体" w:cs="宋体"/>
                <w:spacing w:val="-35"/>
                <w:position w:val="1"/>
              </w:rPr>
              <w:t xml:space="preserve"> </w:t>
            </w:r>
            <w:r>
              <w:rPr>
                <w:rFonts w:hint="eastAsia" w:ascii="宋体" w:hAnsi="宋体" w:eastAsia="宋体" w:cs="宋体"/>
                <w:spacing w:val="7"/>
                <w:position w:val="1"/>
              </w:rPr>
              <w:t>2 分，其中：</w:t>
            </w:r>
          </w:p>
          <w:p w14:paraId="788C23F0">
            <w:pPr>
              <w:pStyle w:val="29"/>
              <w:widowControl/>
              <w:spacing w:before="36" w:line="288" w:lineRule="auto"/>
              <w:ind w:left="119" w:right="170" w:hanging="4"/>
              <w:rPr>
                <w:rFonts w:hint="eastAsia" w:ascii="宋体" w:hAnsi="宋体" w:eastAsia="宋体" w:cs="宋体"/>
              </w:rPr>
            </w:pPr>
            <w:r>
              <w:rPr>
                <w:rFonts w:hint="eastAsia" w:ascii="宋体" w:hAnsi="宋体" w:eastAsia="宋体" w:cs="宋体"/>
                <w:spacing w:val="8"/>
              </w:rPr>
              <w:t>参加遴选的承保机构所属总公司</w:t>
            </w:r>
            <w:r>
              <w:rPr>
                <w:rFonts w:hint="eastAsia" w:ascii="宋体" w:hAnsi="宋体" w:eastAsia="宋体" w:cs="宋体"/>
                <w:spacing w:val="-33"/>
              </w:rPr>
              <w:t xml:space="preserve"> </w:t>
            </w:r>
            <w:r>
              <w:rPr>
                <w:rFonts w:hint="eastAsia" w:ascii="宋体" w:hAnsi="宋体" w:eastAsia="宋体" w:cs="宋体"/>
                <w:spacing w:val="8"/>
              </w:rPr>
              <w:t>2024 年度风险综合评级达到</w:t>
            </w:r>
            <w:r>
              <w:rPr>
                <w:rFonts w:hint="eastAsia" w:ascii="宋体" w:hAnsi="宋体" w:eastAsia="宋体" w:cs="宋体"/>
                <w:spacing w:val="-45"/>
              </w:rPr>
              <w:t xml:space="preserve"> </w:t>
            </w:r>
            <w:r>
              <w:rPr>
                <w:rFonts w:hint="eastAsia" w:ascii="宋体" w:hAnsi="宋体" w:eastAsia="宋体" w:cs="宋体"/>
                <w:spacing w:val="8"/>
              </w:rPr>
              <w:t>A</w:t>
            </w:r>
            <w:r>
              <w:rPr>
                <w:rFonts w:hint="eastAsia" w:ascii="宋体" w:hAnsi="宋体" w:eastAsia="宋体" w:cs="宋体"/>
                <w:spacing w:val="3"/>
              </w:rPr>
              <w:t>级的计</w:t>
            </w:r>
            <w:r>
              <w:rPr>
                <w:rFonts w:hint="eastAsia" w:ascii="宋体" w:hAnsi="宋体" w:eastAsia="宋体" w:cs="宋体"/>
                <w:spacing w:val="-16"/>
              </w:rPr>
              <w:t xml:space="preserve"> </w:t>
            </w:r>
            <w:r>
              <w:rPr>
                <w:rFonts w:hint="eastAsia" w:ascii="宋体" w:hAnsi="宋体" w:eastAsia="宋体" w:cs="宋体"/>
                <w:spacing w:val="3"/>
              </w:rPr>
              <w:t>1 分，B</w:t>
            </w:r>
            <w:r>
              <w:rPr>
                <w:rFonts w:hint="eastAsia" w:ascii="宋体" w:hAnsi="宋体" w:eastAsia="宋体" w:cs="宋体"/>
                <w:spacing w:val="19"/>
                <w:w w:val="101"/>
              </w:rPr>
              <w:t xml:space="preserve"> </w:t>
            </w:r>
            <w:r>
              <w:rPr>
                <w:rFonts w:hint="eastAsia" w:ascii="宋体" w:hAnsi="宋体" w:eastAsia="宋体" w:cs="宋体"/>
                <w:spacing w:val="3"/>
              </w:rPr>
              <w:t>级的计</w:t>
            </w:r>
            <w:r>
              <w:rPr>
                <w:rFonts w:hint="eastAsia" w:ascii="宋体" w:hAnsi="宋体" w:eastAsia="宋体" w:cs="宋体"/>
                <w:spacing w:val="-39"/>
              </w:rPr>
              <w:t xml:space="preserve"> </w:t>
            </w:r>
            <w:r>
              <w:rPr>
                <w:rFonts w:hint="eastAsia" w:ascii="宋体" w:hAnsi="宋体" w:eastAsia="宋体" w:cs="宋体"/>
                <w:spacing w:val="3"/>
              </w:rPr>
              <w:t>0.5 分，C</w:t>
            </w:r>
            <w:r>
              <w:rPr>
                <w:rFonts w:hint="eastAsia" w:ascii="宋体" w:hAnsi="宋体" w:eastAsia="宋体" w:cs="宋体"/>
                <w:spacing w:val="-25"/>
              </w:rPr>
              <w:t xml:space="preserve"> </w:t>
            </w:r>
            <w:r>
              <w:rPr>
                <w:rFonts w:hint="eastAsia" w:ascii="宋体" w:hAnsi="宋体" w:eastAsia="宋体" w:cs="宋体"/>
                <w:spacing w:val="3"/>
              </w:rPr>
              <w:t>、D</w:t>
            </w:r>
            <w:r>
              <w:rPr>
                <w:rFonts w:hint="eastAsia" w:ascii="宋体" w:hAnsi="宋体" w:eastAsia="宋体" w:cs="宋体"/>
                <w:spacing w:val="19"/>
                <w:w w:val="101"/>
              </w:rPr>
              <w:t xml:space="preserve"> </w:t>
            </w:r>
            <w:r>
              <w:rPr>
                <w:rFonts w:hint="eastAsia" w:ascii="宋体" w:hAnsi="宋体" w:eastAsia="宋体" w:cs="宋体"/>
                <w:spacing w:val="3"/>
              </w:rPr>
              <w:t>级不计分。</w:t>
            </w:r>
          </w:p>
          <w:p w14:paraId="50F4C993">
            <w:pPr>
              <w:pStyle w:val="29"/>
              <w:widowControl/>
              <w:spacing w:before="31" w:line="284" w:lineRule="auto"/>
              <w:ind w:left="119" w:leftChars="0" w:right="276" w:rightChars="0" w:hanging="4" w:firstLineChars="0"/>
              <w:rPr>
                <w:rFonts w:hint="eastAsia" w:ascii="宋体" w:hAnsi="宋体" w:eastAsia="宋体" w:cs="宋体"/>
                <w:b/>
                <w:bCs/>
                <w:spacing w:val="-1"/>
              </w:rPr>
            </w:pPr>
            <w:r>
              <w:rPr>
                <w:rFonts w:hint="eastAsia" w:ascii="宋体" w:hAnsi="宋体" w:eastAsia="宋体" w:cs="宋体"/>
                <w:spacing w:val="9"/>
              </w:rPr>
              <w:t>参加遴选的承保机构所属总公司最近一期风险综合评级达到</w:t>
            </w:r>
            <w:r>
              <w:rPr>
                <w:rFonts w:hint="eastAsia" w:ascii="宋体" w:hAnsi="宋体" w:eastAsia="宋体" w:cs="宋体"/>
                <w:spacing w:val="-37"/>
              </w:rPr>
              <w:t xml:space="preserve"> </w:t>
            </w:r>
            <w:r>
              <w:rPr>
                <w:rFonts w:hint="eastAsia" w:ascii="宋体" w:hAnsi="宋体" w:eastAsia="宋体" w:cs="宋体"/>
                <w:spacing w:val="9"/>
              </w:rPr>
              <w:t>A</w:t>
            </w:r>
            <w:r>
              <w:rPr>
                <w:rFonts w:hint="eastAsia" w:ascii="宋体" w:hAnsi="宋体" w:eastAsia="宋体" w:cs="宋体"/>
                <w:spacing w:val="3"/>
              </w:rPr>
              <w:t>级的计</w:t>
            </w:r>
            <w:r>
              <w:rPr>
                <w:rFonts w:hint="eastAsia" w:ascii="宋体" w:hAnsi="宋体" w:eastAsia="宋体" w:cs="宋体"/>
                <w:spacing w:val="-16"/>
              </w:rPr>
              <w:t xml:space="preserve"> </w:t>
            </w:r>
            <w:r>
              <w:rPr>
                <w:rFonts w:hint="eastAsia" w:ascii="宋体" w:hAnsi="宋体" w:eastAsia="宋体" w:cs="宋体"/>
                <w:spacing w:val="3"/>
              </w:rPr>
              <w:t>1 分，B</w:t>
            </w:r>
            <w:r>
              <w:rPr>
                <w:rFonts w:hint="eastAsia" w:ascii="宋体" w:hAnsi="宋体" w:eastAsia="宋体" w:cs="宋体"/>
                <w:spacing w:val="19"/>
                <w:w w:val="101"/>
              </w:rPr>
              <w:t xml:space="preserve"> </w:t>
            </w:r>
            <w:r>
              <w:rPr>
                <w:rFonts w:hint="eastAsia" w:ascii="宋体" w:hAnsi="宋体" w:eastAsia="宋体" w:cs="宋体"/>
                <w:spacing w:val="3"/>
              </w:rPr>
              <w:t>级的计</w:t>
            </w:r>
            <w:r>
              <w:rPr>
                <w:rFonts w:hint="eastAsia" w:ascii="宋体" w:hAnsi="宋体" w:eastAsia="宋体" w:cs="宋体"/>
                <w:spacing w:val="-39"/>
              </w:rPr>
              <w:t xml:space="preserve"> </w:t>
            </w:r>
            <w:r>
              <w:rPr>
                <w:rFonts w:hint="eastAsia" w:ascii="宋体" w:hAnsi="宋体" w:eastAsia="宋体" w:cs="宋体"/>
                <w:spacing w:val="3"/>
              </w:rPr>
              <w:t>0.5 分，C</w:t>
            </w:r>
            <w:r>
              <w:rPr>
                <w:rFonts w:hint="eastAsia" w:ascii="宋体" w:hAnsi="宋体" w:eastAsia="宋体" w:cs="宋体"/>
                <w:spacing w:val="-25"/>
              </w:rPr>
              <w:t xml:space="preserve"> </w:t>
            </w:r>
            <w:r>
              <w:rPr>
                <w:rFonts w:hint="eastAsia" w:ascii="宋体" w:hAnsi="宋体" w:eastAsia="宋体" w:cs="宋体"/>
                <w:spacing w:val="3"/>
              </w:rPr>
              <w:t>、D</w:t>
            </w:r>
            <w:r>
              <w:rPr>
                <w:rFonts w:hint="eastAsia" w:ascii="宋体" w:hAnsi="宋体" w:eastAsia="宋体" w:cs="宋体"/>
                <w:spacing w:val="19"/>
                <w:w w:val="101"/>
              </w:rPr>
              <w:t xml:space="preserve"> </w:t>
            </w:r>
            <w:r>
              <w:rPr>
                <w:rFonts w:hint="eastAsia" w:ascii="宋体" w:hAnsi="宋体" w:eastAsia="宋体" w:cs="宋体"/>
                <w:spacing w:val="3"/>
              </w:rPr>
              <w:t>级不计分。</w:t>
            </w:r>
          </w:p>
        </w:tc>
        <w:tc>
          <w:tcPr>
            <w:tcW w:w="5955" w:type="dxa"/>
            <w:vAlign w:val="top"/>
          </w:tcPr>
          <w:p w14:paraId="2F449F39">
            <w:pPr>
              <w:widowControl/>
              <w:kinsoku w:val="0"/>
              <w:autoSpaceDE w:val="0"/>
              <w:autoSpaceDN w:val="0"/>
              <w:adjustRightInd w:val="0"/>
              <w:snapToGrid w:val="0"/>
              <w:spacing w:line="295" w:lineRule="auto"/>
              <w:jc w:val="left"/>
              <w:textAlignment w:val="baseline"/>
              <w:rPr>
                <w:rFonts w:hint="eastAsia" w:ascii="宋体" w:hAnsi="宋体" w:eastAsia="宋体" w:cs="宋体"/>
                <w:snapToGrid w:val="0"/>
                <w:color w:val="000000"/>
                <w:kern w:val="0"/>
                <w:sz w:val="21"/>
                <w:szCs w:val="21"/>
                <w:lang w:eastAsia="en-US"/>
              </w:rPr>
            </w:pPr>
          </w:p>
          <w:p w14:paraId="41403FB7">
            <w:pPr>
              <w:widowControl/>
              <w:kinsoku w:val="0"/>
              <w:autoSpaceDE w:val="0"/>
              <w:autoSpaceDN w:val="0"/>
              <w:adjustRightInd w:val="0"/>
              <w:snapToGrid w:val="0"/>
              <w:spacing w:line="296" w:lineRule="auto"/>
              <w:jc w:val="left"/>
              <w:textAlignment w:val="baseline"/>
              <w:rPr>
                <w:rFonts w:hint="eastAsia" w:ascii="宋体" w:hAnsi="宋体" w:eastAsia="宋体" w:cs="宋体"/>
                <w:snapToGrid w:val="0"/>
                <w:color w:val="000000"/>
                <w:kern w:val="0"/>
                <w:sz w:val="21"/>
                <w:szCs w:val="21"/>
                <w:lang w:eastAsia="en-US"/>
              </w:rPr>
            </w:pPr>
          </w:p>
          <w:p w14:paraId="7E27D4E3">
            <w:pPr>
              <w:pStyle w:val="29"/>
              <w:widowControl/>
              <w:spacing w:before="65" w:line="288" w:lineRule="auto"/>
              <w:ind w:left="113" w:leftChars="0" w:right="111" w:rightChars="0" w:firstLine="3" w:firstLineChars="0"/>
              <w:rPr>
                <w:rFonts w:hint="eastAsia" w:ascii="宋体" w:hAnsi="宋体" w:eastAsia="宋体" w:cs="宋体"/>
                <w:b/>
                <w:bCs/>
                <w:spacing w:val="-2"/>
              </w:rPr>
            </w:pPr>
            <w:r>
              <w:rPr>
                <w:rFonts w:hint="eastAsia" w:ascii="宋体" w:hAnsi="宋体" w:eastAsia="宋体" w:cs="宋体"/>
                <w:spacing w:val="9"/>
              </w:rPr>
              <w:t>参加遴选的承保机构需提供</w:t>
            </w:r>
            <w:r>
              <w:rPr>
                <w:rFonts w:hint="eastAsia" w:ascii="宋体" w:hAnsi="宋体" w:eastAsia="宋体" w:cs="宋体"/>
                <w:spacing w:val="-43"/>
              </w:rPr>
              <w:t xml:space="preserve"> </w:t>
            </w:r>
            <w:r>
              <w:rPr>
                <w:rFonts w:hint="eastAsia" w:ascii="宋体" w:hAnsi="宋体" w:eastAsia="宋体" w:cs="宋体"/>
                <w:spacing w:val="9"/>
              </w:rPr>
              <w:t>2024 年度和最近一期</w:t>
            </w:r>
            <w:r>
              <w:rPr>
                <w:rFonts w:hint="eastAsia" w:ascii="宋体" w:hAnsi="宋体" w:eastAsia="宋体" w:cs="宋体"/>
                <w:spacing w:val="8"/>
              </w:rPr>
              <w:t>经金融监管部门评定的风险综合评级证明材料，并加盖公章。</w:t>
            </w:r>
          </w:p>
        </w:tc>
      </w:tr>
      <w:tr w14:paraId="3578D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921" w:type="dxa"/>
            <w:vMerge w:val="continue"/>
            <w:vAlign w:val="top"/>
          </w:tcPr>
          <w:p w14:paraId="02102A2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tcBorders>
              <w:top w:val="single" w:color="auto" w:sz="4" w:space="0"/>
            </w:tcBorders>
            <w:vAlign w:val="top"/>
          </w:tcPr>
          <w:p w14:paraId="1233958D">
            <w:pPr>
              <w:pStyle w:val="29"/>
              <w:widowControl/>
              <w:spacing w:before="141" w:line="227" w:lineRule="auto"/>
              <w:ind w:left="183"/>
              <w:rPr>
                <w:rFonts w:hint="eastAsia" w:ascii="宋体" w:hAnsi="宋体" w:eastAsia="宋体" w:cs="宋体"/>
              </w:rPr>
            </w:pPr>
            <w:r>
              <w:rPr>
                <w:rFonts w:hint="eastAsia" w:ascii="宋体" w:hAnsi="宋体" w:eastAsia="宋体" w:cs="宋体"/>
              </w:rPr>
              <w:t>大灾</w:t>
            </w:r>
          </w:p>
          <w:p w14:paraId="332FA722">
            <w:pPr>
              <w:pStyle w:val="29"/>
              <w:widowControl/>
              <w:spacing w:before="66" w:line="226" w:lineRule="auto"/>
              <w:ind w:left="178"/>
              <w:rPr>
                <w:rFonts w:hint="eastAsia" w:ascii="宋体" w:hAnsi="宋体" w:eastAsia="宋体" w:cs="宋体"/>
              </w:rPr>
            </w:pPr>
            <w:r>
              <w:rPr>
                <w:rFonts w:hint="eastAsia" w:ascii="宋体" w:hAnsi="宋体" w:eastAsia="宋体" w:cs="宋体"/>
                <w:spacing w:val="3"/>
              </w:rPr>
              <w:t>准备</w:t>
            </w:r>
          </w:p>
          <w:p w14:paraId="07A257F2">
            <w:pPr>
              <w:pStyle w:val="29"/>
              <w:widowControl/>
              <w:spacing w:before="38" w:line="287" w:lineRule="auto"/>
              <w:ind w:left="281" w:right="198" w:hanging="79"/>
              <w:rPr>
                <w:rFonts w:hint="eastAsia" w:ascii="宋体" w:hAnsi="宋体" w:eastAsia="宋体" w:cs="宋体"/>
              </w:rPr>
            </w:pPr>
            <w:r>
              <w:rPr>
                <w:rFonts w:hint="eastAsia" w:ascii="宋体" w:hAnsi="宋体" w:eastAsia="宋体" w:cs="宋体"/>
              </w:rPr>
              <w:t>金</w:t>
            </w:r>
            <w:r>
              <w:rPr>
                <w:rFonts w:hint="eastAsia" w:ascii="宋体" w:hAnsi="宋体" w:eastAsia="宋体" w:cs="宋体"/>
                <w:spacing w:val="-44"/>
              </w:rPr>
              <w:t xml:space="preserve"> </w:t>
            </w:r>
            <w:r>
              <w:rPr>
                <w:rFonts w:hint="eastAsia" w:ascii="宋体" w:hAnsi="宋体" w:eastAsia="宋体" w:cs="宋体"/>
              </w:rPr>
              <w:t>2分</w:t>
            </w:r>
          </w:p>
        </w:tc>
        <w:tc>
          <w:tcPr>
            <w:tcW w:w="574" w:type="dxa"/>
            <w:vAlign w:val="top"/>
          </w:tcPr>
          <w:p w14:paraId="16FC705B">
            <w:pPr>
              <w:widowControl/>
              <w:kinsoku w:val="0"/>
              <w:autoSpaceDE w:val="0"/>
              <w:autoSpaceDN w:val="0"/>
              <w:adjustRightInd w:val="0"/>
              <w:snapToGrid w:val="0"/>
              <w:spacing w:before="57" w:line="276" w:lineRule="exact"/>
              <w:ind w:left="375"/>
              <w:jc w:val="left"/>
              <w:textAlignment w:val="baseline"/>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48F77DA3">
            <w:pPr>
              <w:pStyle w:val="29"/>
              <w:widowControl/>
              <w:spacing w:before="110" w:line="288" w:lineRule="auto"/>
              <w:ind w:left="109" w:right="106" w:firstLine="5"/>
              <w:jc w:val="both"/>
              <w:rPr>
                <w:rFonts w:hint="eastAsia" w:ascii="宋体" w:hAnsi="宋体" w:eastAsia="宋体" w:cs="宋体"/>
                <w:spacing w:val="9"/>
              </w:rPr>
            </w:pPr>
            <w:r>
              <w:rPr>
                <w:rFonts w:hint="eastAsia" w:ascii="宋体" w:hAnsi="宋体" w:eastAsia="宋体" w:cs="宋体"/>
                <w:spacing w:val="9"/>
              </w:rPr>
              <w:t>参加遴选的承保机构所属省级公司2022-2024 年期间按规定足额</w:t>
            </w:r>
            <w:r>
              <w:rPr>
                <w:rFonts w:hint="eastAsia" w:ascii="宋体" w:hAnsi="宋体" w:eastAsia="宋体" w:cs="宋体"/>
                <w:spacing w:val="7"/>
              </w:rPr>
              <w:t>提取农业保险大灾准备金计</w:t>
            </w:r>
            <w:r>
              <w:rPr>
                <w:rFonts w:hint="eastAsia" w:ascii="宋体" w:hAnsi="宋体" w:eastAsia="宋体" w:cs="宋体"/>
                <w:spacing w:val="-23"/>
              </w:rPr>
              <w:t xml:space="preserve"> </w:t>
            </w:r>
            <w:r>
              <w:rPr>
                <w:rFonts w:hint="eastAsia" w:ascii="宋体" w:hAnsi="宋体" w:eastAsia="宋体" w:cs="宋体"/>
                <w:spacing w:val="7"/>
              </w:rPr>
              <w:t>1 分，未足额提取或未提取</w:t>
            </w:r>
            <w:r>
              <w:rPr>
                <w:rFonts w:hint="eastAsia" w:ascii="宋体" w:hAnsi="宋体" w:eastAsia="宋体" w:cs="宋体"/>
                <w:spacing w:val="6"/>
              </w:rPr>
              <w:t>不得分；</w:t>
            </w:r>
            <w:r>
              <w:rPr>
                <w:rFonts w:hint="eastAsia" w:ascii="宋体" w:hAnsi="宋体" w:eastAsia="宋体" w:cs="宋体"/>
                <w:spacing w:val="7"/>
              </w:rPr>
              <w:t>规范使用计</w:t>
            </w:r>
            <w:r>
              <w:rPr>
                <w:rFonts w:hint="eastAsia" w:ascii="宋体" w:hAnsi="宋体" w:eastAsia="宋体" w:cs="宋体"/>
                <w:spacing w:val="-24"/>
              </w:rPr>
              <w:t xml:space="preserve"> </w:t>
            </w:r>
            <w:r>
              <w:rPr>
                <w:rFonts w:hint="eastAsia" w:ascii="宋体" w:hAnsi="宋体" w:eastAsia="宋体" w:cs="宋体"/>
                <w:spacing w:val="7"/>
              </w:rPr>
              <w:t>1 分，未按规范使用不得分。未开展政策性农</w:t>
            </w:r>
            <w:r>
              <w:rPr>
                <w:rFonts w:hint="eastAsia" w:ascii="宋体" w:hAnsi="宋体" w:eastAsia="宋体" w:cs="宋体"/>
                <w:spacing w:val="6"/>
              </w:rPr>
              <w:t>业保险</w:t>
            </w:r>
            <w:r>
              <w:rPr>
                <w:rFonts w:hint="eastAsia" w:ascii="宋体" w:hAnsi="宋体" w:eastAsia="宋体" w:cs="宋体"/>
                <w:spacing w:val="5"/>
              </w:rPr>
              <w:t>业务的承保机构计</w:t>
            </w:r>
            <w:r>
              <w:rPr>
                <w:rFonts w:hint="eastAsia" w:ascii="宋体" w:hAnsi="宋体" w:eastAsia="宋体" w:cs="宋体"/>
                <w:spacing w:val="-17"/>
              </w:rPr>
              <w:t xml:space="preserve"> </w:t>
            </w:r>
            <w:r>
              <w:rPr>
                <w:rFonts w:hint="eastAsia" w:ascii="宋体" w:hAnsi="宋体" w:eastAsia="宋体" w:cs="宋体"/>
                <w:spacing w:val="5"/>
              </w:rPr>
              <w:t>1 分。</w:t>
            </w:r>
          </w:p>
        </w:tc>
        <w:tc>
          <w:tcPr>
            <w:tcW w:w="5955" w:type="dxa"/>
            <w:vAlign w:val="top"/>
          </w:tcPr>
          <w:p w14:paraId="10E62D36">
            <w:pPr>
              <w:pStyle w:val="29"/>
              <w:widowControl/>
              <w:spacing w:before="65" w:line="286" w:lineRule="auto"/>
              <w:ind w:left="110" w:right="253" w:firstLine="5"/>
              <w:rPr>
                <w:rFonts w:hint="eastAsia" w:ascii="宋体" w:hAnsi="宋体" w:eastAsia="宋体" w:cs="宋体"/>
                <w:spacing w:val="8"/>
              </w:rPr>
            </w:pPr>
            <w:r>
              <w:rPr>
                <w:rFonts w:hint="eastAsia" w:ascii="宋体" w:hAnsi="宋体" w:eastAsia="宋体" w:cs="宋体"/>
                <w:spacing w:val="8"/>
              </w:rPr>
              <w:t>参加遴选的承保机构需提供省级公司</w:t>
            </w:r>
            <w:r>
              <w:rPr>
                <w:rFonts w:hint="eastAsia" w:ascii="宋体" w:hAnsi="宋体" w:eastAsia="宋体" w:cs="宋体"/>
                <w:spacing w:val="-44"/>
              </w:rPr>
              <w:t xml:space="preserve"> </w:t>
            </w:r>
            <w:r>
              <w:rPr>
                <w:rFonts w:hint="eastAsia" w:ascii="宋体" w:hAnsi="宋体" w:eastAsia="宋体" w:cs="宋体"/>
                <w:spacing w:val="8"/>
              </w:rPr>
              <w:t>2022-2024 年农业保险大灾准备金提取证明材料，并加盖公章。</w:t>
            </w:r>
          </w:p>
        </w:tc>
      </w:tr>
      <w:tr w14:paraId="4C98C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6" w:hRule="atLeast"/>
        </w:trPr>
        <w:tc>
          <w:tcPr>
            <w:tcW w:w="921" w:type="dxa"/>
            <w:vMerge w:val="continue"/>
            <w:vAlign w:val="top"/>
          </w:tcPr>
          <w:p w14:paraId="7FA1F1E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vAlign w:val="top"/>
          </w:tcPr>
          <w:p w14:paraId="581870CD">
            <w:pPr>
              <w:pStyle w:val="29"/>
              <w:widowControl/>
              <w:spacing w:before="178" w:line="228" w:lineRule="auto"/>
              <w:ind w:left="175"/>
              <w:rPr>
                <w:rFonts w:hint="eastAsia" w:ascii="宋体" w:hAnsi="宋体" w:eastAsia="宋体" w:cs="宋体"/>
              </w:rPr>
            </w:pPr>
            <w:r>
              <w:rPr>
                <w:rFonts w:hint="eastAsia" w:ascii="宋体" w:hAnsi="宋体" w:eastAsia="宋体" w:cs="宋体"/>
                <w:spacing w:val="4"/>
              </w:rPr>
              <w:t>管理</w:t>
            </w:r>
          </w:p>
          <w:p w14:paraId="167B3BE7">
            <w:pPr>
              <w:pStyle w:val="29"/>
              <w:widowControl/>
              <w:spacing w:before="64" w:line="226" w:lineRule="auto"/>
              <w:ind w:left="181"/>
              <w:rPr>
                <w:rFonts w:hint="eastAsia" w:ascii="宋体" w:hAnsi="宋体" w:eastAsia="宋体" w:cs="宋体"/>
              </w:rPr>
            </w:pPr>
            <w:r>
              <w:rPr>
                <w:rFonts w:hint="eastAsia" w:ascii="宋体" w:hAnsi="宋体" w:eastAsia="宋体" w:cs="宋体"/>
                <w:spacing w:val="3"/>
              </w:rPr>
              <w:t>制度</w:t>
            </w:r>
          </w:p>
          <w:p w14:paraId="388B0347">
            <w:pPr>
              <w:pStyle w:val="29"/>
              <w:widowControl/>
              <w:spacing w:before="35" w:line="276" w:lineRule="exact"/>
              <w:ind w:left="201"/>
              <w:rPr>
                <w:rFonts w:hint="eastAsia" w:ascii="宋体" w:hAnsi="宋体" w:eastAsia="宋体" w:cs="宋体"/>
              </w:rPr>
            </w:pPr>
            <w:r>
              <w:rPr>
                <w:rFonts w:hint="eastAsia" w:ascii="宋体" w:hAnsi="宋体" w:eastAsia="宋体" w:cs="宋体"/>
                <w:spacing w:val="-2"/>
                <w:position w:val="1"/>
              </w:rPr>
              <w:t>3</w:t>
            </w:r>
            <w:r>
              <w:rPr>
                <w:rFonts w:hint="eastAsia" w:ascii="宋体" w:hAnsi="宋体" w:eastAsia="宋体" w:cs="宋体"/>
                <w:spacing w:val="10"/>
                <w:position w:val="1"/>
              </w:rPr>
              <w:t xml:space="preserve"> </w:t>
            </w:r>
            <w:r>
              <w:rPr>
                <w:rFonts w:hint="eastAsia" w:ascii="宋体" w:hAnsi="宋体" w:eastAsia="宋体" w:cs="宋体"/>
                <w:spacing w:val="-2"/>
                <w:position w:val="1"/>
              </w:rPr>
              <w:t>分</w:t>
            </w:r>
          </w:p>
        </w:tc>
        <w:tc>
          <w:tcPr>
            <w:tcW w:w="574" w:type="dxa"/>
            <w:vAlign w:val="top"/>
          </w:tcPr>
          <w:p w14:paraId="23E4BCBF">
            <w:pPr>
              <w:widowControl/>
              <w:kinsoku w:val="0"/>
              <w:autoSpaceDE w:val="0"/>
              <w:autoSpaceDN w:val="0"/>
              <w:adjustRightInd w:val="0"/>
              <w:snapToGrid w:val="0"/>
              <w:spacing w:line="398" w:lineRule="auto"/>
              <w:jc w:val="left"/>
              <w:textAlignment w:val="baseline"/>
              <w:rPr>
                <w:rFonts w:hint="eastAsia" w:ascii="宋体" w:hAnsi="宋体" w:eastAsia="宋体" w:cs="宋体"/>
                <w:snapToGrid w:val="0"/>
                <w:color w:val="000000"/>
                <w:kern w:val="0"/>
                <w:sz w:val="21"/>
                <w:szCs w:val="21"/>
                <w:lang w:eastAsia="en-US"/>
              </w:rPr>
            </w:pPr>
          </w:p>
          <w:p w14:paraId="5FC80237">
            <w:pPr>
              <w:widowControl/>
              <w:kinsoku w:val="0"/>
              <w:autoSpaceDE w:val="0"/>
              <w:autoSpaceDN w:val="0"/>
              <w:adjustRightInd w:val="0"/>
              <w:snapToGrid w:val="0"/>
              <w:spacing w:before="58" w:line="275" w:lineRule="exact"/>
              <w:ind w:left="379"/>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7465A98C">
            <w:pPr>
              <w:pStyle w:val="29"/>
              <w:widowControl/>
              <w:spacing w:before="175" w:line="295" w:lineRule="auto"/>
              <w:ind w:left="113" w:right="103"/>
              <w:jc w:val="both"/>
              <w:rPr>
                <w:rFonts w:hint="eastAsia" w:ascii="宋体" w:hAnsi="宋体" w:eastAsia="宋体" w:cs="宋体"/>
              </w:rPr>
            </w:pPr>
            <w:r>
              <w:rPr>
                <w:rFonts w:hint="eastAsia" w:ascii="宋体" w:hAnsi="宋体" w:eastAsia="宋体" w:cs="宋体"/>
                <w:spacing w:val="8"/>
              </w:rPr>
              <w:t>农业保险工作相关制度。对内控合规制度、承保查勘理赔制度、客户服务制度、风险控制制度等相关规章制度进行综合评价，优</w:t>
            </w:r>
            <w:r>
              <w:rPr>
                <w:rFonts w:hint="eastAsia" w:ascii="宋体" w:hAnsi="宋体" w:eastAsia="宋体" w:cs="宋体"/>
                <w:spacing w:val="2"/>
              </w:rPr>
              <w:t>计</w:t>
            </w:r>
            <w:r>
              <w:rPr>
                <w:rFonts w:hint="eastAsia" w:ascii="宋体" w:hAnsi="宋体" w:eastAsia="宋体" w:cs="宋体"/>
                <w:spacing w:val="-24"/>
              </w:rPr>
              <w:t xml:space="preserve"> </w:t>
            </w:r>
            <w:r>
              <w:rPr>
                <w:rFonts w:hint="eastAsia" w:ascii="宋体" w:hAnsi="宋体" w:eastAsia="宋体" w:cs="宋体"/>
                <w:spacing w:val="2"/>
              </w:rPr>
              <w:t>3 分，</w:t>
            </w:r>
            <w:r>
              <w:rPr>
                <w:rFonts w:hint="eastAsia" w:ascii="宋体" w:hAnsi="宋体" w:eastAsia="宋体" w:cs="宋体"/>
                <w:spacing w:val="-39"/>
              </w:rPr>
              <w:t xml:space="preserve"> </w:t>
            </w:r>
            <w:r>
              <w:rPr>
                <w:rFonts w:hint="eastAsia" w:ascii="宋体" w:hAnsi="宋体" w:eastAsia="宋体" w:cs="宋体"/>
                <w:spacing w:val="2"/>
              </w:rPr>
              <w:t>良计</w:t>
            </w:r>
            <w:r>
              <w:rPr>
                <w:rFonts w:hint="eastAsia" w:ascii="宋体" w:hAnsi="宋体" w:eastAsia="宋体" w:cs="宋体"/>
                <w:spacing w:val="-42"/>
              </w:rPr>
              <w:t xml:space="preserve"> </w:t>
            </w:r>
            <w:r>
              <w:rPr>
                <w:rFonts w:hint="eastAsia" w:ascii="宋体" w:hAnsi="宋体" w:eastAsia="宋体" w:cs="宋体"/>
                <w:spacing w:val="2"/>
              </w:rPr>
              <w:t>2 分，一般计</w:t>
            </w:r>
            <w:r>
              <w:rPr>
                <w:rFonts w:hint="eastAsia" w:ascii="宋体" w:hAnsi="宋体" w:eastAsia="宋体" w:cs="宋体"/>
                <w:spacing w:val="-24"/>
              </w:rPr>
              <w:t xml:space="preserve"> </w:t>
            </w:r>
            <w:r>
              <w:rPr>
                <w:rFonts w:hint="eastAsia" w:ascii="宋体" w:hAnsi="宋体" w:eastAsia="宋体" w:cs="宋体"/>
                <w:spacing w:val="2"/>
              </w:rPr>
              <w:t>1</w:t>
            </w:r>
            <w:r>
              <w:rPr>
                <w:rFonts w:hint="eastAsia" w:ascii="宋体" w:hAnsi="宋体" w:eastAsia="宋体" w:cs="宋体"/>
                <w:spacing w:val="13"/>
                <w:w w:val="101"/>
              </w:rPr>
              <w:t xml:space="preserve"> </w:t>
            </w:r>
            <w:r>
              <w:rPr>
                <w:rFonts w:hint="eastAsia" w:ascii="宋体" w:hAnsi="宋体" w:eastAsia="宋体" w:cs="宋体"/>
                <w:spacing w:val="2"/>
              </w:rPr>
              <w:t>分，差不计分。</w:t>
            </w:r>
          </w:p>
        </w:tc>
        <w:tc>
          <w:tcPr>
            <w:tcW w:w="5955" w:type="dxa"/>
            <w:vAlign w:val="top"/>
          </w:tcPr>
          <w:p w14:paraId="6210B11C">
            <w:pPr>
              <w:widowControl/>
              <w:kinsoku w:val="0"/>
              <w:autoSpaceDE w:val="0"/>
              <w:autoSpaceDN w:val="0"/>
              <w:adjustRightInd w:val="0"/>
              <w:snapToGrid w:val="0"/>
              <w:spacing w:line="422" w:lineRule="auto"/>
              <w:jc w:val="left"/>
              <w:textAlignment w:val="baseline"/>
              <w:rPr>
                <w:rFonts w:hint="eastAsia" w:ascii="宋体" w:hAnsi="宋体" w:eastAsia="宋体" w:cs="宋体"/>
                <w:snapToGrid w:val="0"/>
                <w:color w:val="000000"/>
                <w:kern w:val="0"/>
                <w:sz w:val="21"/>
                <w:szCs w:val="21"/>
                <w:lang w:eastAsia="en-US"/>
              </w:rPr>
            </w:pPr>
          </w:p>
          <w:p w14:paraId="372E9995">
            <w:pPr>
              <w:pStyle w:val="29"/>
              <w:widowControl/>
              <w:spacing w:before="65" w:line="225" w:lineRule="auto"/>
              <w:ind w:left="141"/>
              <w:rPr>
                <w:rFonts w:hint="eastAsia" w:ascii="宋体" w:hAnsi="宋体" w:eastAsia="宋体" w:cs="宋体"/>
              </w:rPr>
            </w:pPr>
            <w:r>
              <w:rPr>
                <w:rFonts w:hint="eastAsia" w:ascii="宋体" w:hAnsi="宋体" w:eastAsia="宋体" w:cs="宋体"/>
                <w:spacing w:val="8"/>
              </w:rPr>
              <w:t>以参加遴选的承保机构提供的制度汇编文本为评分依据。</w:t>
            </w:r>
          </w:p>
        </w:tc>
      </w:tr>
    </w:tbl>
    <w:p w14:paraId="6D79FBCA">
      <w:pPr>
        <w:rPr>
          <w:rFonts w:hint="eastAsia"/>
        </w:rPr>
      </w:pPr>
    </w:p>
    <w:bookmarkEnd w:id="31"/>
    <w:p w14:paraId="58389AD7">
      <w:pPr>
        <w:rPr>
          <w:rFonts w:hint="eastAsia" w:ascii="宋体" w:hAnsi="宋体" w:eastAsia="宋体" w:cs="宋体"/>
          <w:b/>
          <w:sz w:val="24"/>
          <w:szCs w:val="24"/>
        </w:rPr>
      </w:pPr>
      <w:bookmarkStart w:id="32" w:name="_Toc876"/>
      <w:r>
        <w:rPr>
          <w:rFonts w:hint="eastAsia" w:ascii="宋体" w:hAnsi="宋体" w:eastAsia="宋体" w:cs="宋体"/>
          <w:b/>
          <w:sz w:val="24"/>
          <w:szCs w:val="24"/>
        </w:rPr>
        <w:br w:type="page"/>
      </w:r>
    </w:p>
    <w:p w14:paraId="0C15F1C8">
      <w:pPr>
        <w:pStyle w:val="4"/>
        <w:bidi w:val="0"/>
        <w:spacing w:line="240" w:lineRule="auto"/>
        <w:outlineLvl w:val="0"/>
        <w:rPr>
          <w:rFonts w:hint="eastAsia" w:ascii="宋体" w:hAnsi="宋体" w:eastAsia="宋体" w:cs="宋体"/>
          <w:b/>
          <w:sz w:val="24"/>
          <w:szCs w:val="24"/>
        </w:rPr>
      </w:pPr>
      <w:r>
        <w:rPr>
          <w:rFonts w:hint="eastAsia" w:ascii="宋体" w:hAnsi="宋体" w:eastAsia="宋体" w:cs="宋体"/>
          <w:b/>
          <w:sz w:val="24"/>
          <w:szCs w:val="24"/>
        </w:rPr>
        <w:t>附件3</w:t>
      </w:r>
      <w:bookmarkEnd w:id="32"/>
    </w:p>
    <w:p w14:paraId="430ABA16">
      <w:pPr>
        <w:pStyle w:val="24"/>
        <w:shd w:val="clear" w:color="auto" w:fill="auto"/>
        <w:spacing w:line="240" w:lineRule="auto"/>
        <w:ind w:firstLine="0"/>
        <w:jc w:val="center"/>
        <w:rPr>
          <w:rFonts w:hint="eastAsia" w:ascii="宋体" w:hAnsi="宋体" w:eastAsia="宋体" w:cs="宋体"/>
          <w:b/>
          <w:bCs/>
          <w:spacing w:val="0"/>
          <w:sz w:val="32"/>
          <w:szCs w:val="32"/>
        </w:rPr>
      </w:pPr>
      <w:r>
        <w:rPr>
          <w:rFonts w:hint="eastAsia" w:ascii="宋体" w:hAnsi="宋体" w:eastAsia="宋体" w:cs="宋体"/>
          <w:b/>
          <w:bCs/>
          <w:spacing w:val="0"/>
          <w:sz w:val="32"/>
          <w:szCs w:val="32"/>
        </w:rPr>
        <w:t>公开竞争性遴选政策性农业保险承保机构评审标准（县级）</w:t>
      </w:r>
    </w:p>
    <w:tbl>
      <w:tblPr>
        <w:tblStyle w:val="12"/>
        <w:tblW w:w="138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7"/>
        <w:gridCol w:w="884"/>
        <w:gridCol w:w="1336"/>
        <w:gridCol w:w="659"/>
        <w:gridCol w:w="5198"/>
        <w:gridCol w:w="5267"/>
      </w:tblGrid>
      <w:tr w14:paraId="53AFC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80D93">
            <w:pPr>
              <w:keepNext w:val="0"/>
              <w:keepLines w:val="0"/>
              <w:widowControl/>
              <w:suppressLineNumbers w:val="0"/>
              <w:jc w:val="center"/>
              <w:textAlignment w:val="center"/>
              <w:rPr>
                <w:rFonts w:ascii="华文中宋" w:hAnsi="华文中宋" w:eastAsia="华文中宋" w:cs="华文中宋"/>
                <w:i w:val="0"/>
                <w:iCs w:val="0"/>
                <w:color w:val="000000"/>
                <w:sz w:val="20"/>
                <w:szCs w:val="20"/>
                <w:u w:val="none"/>
              </w:rPr>
            </w:pPr>
            <w:r>
              <w:rPr>
                <w:rFonts w:hint="eastAsia" w:ascii="华文中宋" w:hAnsi="华文中宋" w:eastAsia="华文中宋" w:cs="华文中宋"/>
                <w:i w:val="0"/>
                <w:iCs w:val="0"/>
                <w:color w:val="000000"/>
                <w:kern w:val="0"/>
                <w:sz w:val="20"/>
                <w:szCs w:val="20"/>
                <w:u w:val="none"/>
                <w:lang w:val="en-US" w:eastAsia="zh-CN" w:bidi="ar"/>
              </w:rPr>
              <w:t>序号</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FC26">
            <w:pPr>
              <w:keepNext w:val="0"/>
              <w:keepLines w:val="0"/>
              <w:widowControl/>
              <w:suppressLineNumbers w:val="0"/>
              <w:jc w:val="center"/>
              <w:textAlignment w:val="center"/>
              <w:rPr>
                <w:rFonts w:hint="eastAsia" w:ascii="华文中宋" w:hAnsi="华文中宋" w:eastAsia="华文中宋" w:cs="华文中宋"/>
                <w:i w:val="0"/>
                <w:iCs w:val="0"/>
                <w:color w:val="000000"/>
                <w:sz w:val="20"/>
                <w:szCs w:val="20"/>
                <w:u w:val="none"/>
              </w:rPr>
            </w:pPr>
            <w:r>
              <w:rPr>
                <w:rFonts w:hint="eastAsia" w:ascii="华文中宋" w:hAnsi="华文中宋" w:eastAsia="华文中宋" w:cs="华文中宋"/>
                <w:i w:val="0"/>
                <w:iCs w:val="0"/>
                <w:color w:val="000000"/>
                <w:kern w:val="0"/>
                <w:sz w:val="20"/>
                <w:szCs w:val="20"/>
                <w:u w:val="none"/>
                <w:lang w:val="en-US" w:eastAsia="zh-CN" w:bidi="ar"/>
              </w:rPr>
              <w:t>一级指标</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BF22">
            <w:pPr>
              <w:keepNext w:val="0"/>
              <w:keepLines w:val="0"/>
              <w:widowControl/>
              <w:suppressLineNumbers w:val="0"/>
              <w:jc w:val="center"/>
              <w:textAlignment w:val="center"/>
              <w:rPr>
                <w:rFonts w:hint="eastAsia" w:ascii="华文中宋" w:hAnsi="华文中宋" w:eastAsia="华文中宋" w:cs="华文中宋"/>
                <w:i w:val="0"/>
                <w:iCs w:val="0"/>
                <w:color w:val="000000"/>
                <w:sz w:val="20"/>
                <w:szCs w:val="20"/>
                <w:u w:val="none"/>
              </w:rPr>
            </w:pPr>
            <w:r>
              <w:rPr>
                <w:rFonts w:hint="eastAsia" w:ascii="华文中宋" w:hAnsi="华文中宋" w:eastAsia="华文中宋" w:cs="华文中宋"/>
                <w:i w:val="0"/>
                <w:iCs w:val="0"/>
                <w:color w:val="000000"/>
                <w:kern w:val="0"/>
                <w:sz w:val="20"/>
                <w:szCs w:val="20"/>
                <w:u w:val="none"/>
                <w:lang w:val="en-US" w:eastAsia="zh-CN" w:bidi="ar"/>
              </w:rPr>
              <w:t>二级指标</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64B8">
            <w:pPr>
              <w:keepNext w:val="0"/>
              <w:keepLines w:val="0"/>
              <w:widowControl/>
              <w:suppressLineNumbers w:val="0"/>
              <w:jc w:val="center"/>
              <w:textAlignment w:val="center"/>
              <w:rPr>
                <w:rFonts w:hint="eastAsia" w:ascii="华文中宋" w:hAnsi="华文中宋" w:eastAsia="华文中宋" w:cs="华文中宋"/>
                <w:i w:val="0"/>
                <w:iCs w:val="0"/>
                <w:color w:val="000000"/>
                <w:sz w:val="20"/>
                <w:szCs w:val="20"/>
                <w:u w:val="none"/>
              </w:rPr>
            </w:pPr>
            <w:r>
              <w:rPr>
                <w:rFonts w:hint="eastAsia" w:ascii="华文中宋" w:hAnsi="华文中宋" w:eastAsia="华文中宋" w:cs="华文中宋"/>
                <w:i w:val="0"/>
                <w:iCs w:val="0"/>
                <w:color w:val="000000"/>
                <w:kern w:val="0"/>
                <w:sz w:val="20"/>
                <w:szCs w:val="20"/>
                <w:u w:val="none"/>
                <w:lang w:val="en-US" w:eastAsia="zh-CN" w:bidi="ar"/>
              </w:rPr>
              <w:t>分值</w:t>
            </w:r>
          </w:p>
        </w:tc>
        <w:tc>
          <w:tcPr>
            <w:tcW w:w="5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56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评分标准</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2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评分说明</w:t>
            </w:r>
          </w:p>
        </w:tc>
      </w:tr>
      <w:tr w14:paraId="589C1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2"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67D1">
            <w:pPr>
              <w:keepNext w:val="0"/>
              <w:keepLines w:val="0"/>
              <w:widowControl/>
              <w:suppressLineNumbers w:val="0"/>
              <w:jc w:val="center"/>
              <w:textAlignment w:val="center"/>
              <w:rPr>
                <w:rFonts w:hint="eastAsia" w:ascii="华文中宋" w:hAnsi="华文中宋" w:eastAsia="华文中宋" w:cs="华文中宋"/>
                <w:i w:val="0"/>
                <w:iCs w:val="0"/>
                <w:color w:val="000000"/>
                <w:sz w:val="20"/>
                <w:szCs w:val="20"/>
                <w:u w:val="none"/>
              </w:rPr>
            </w:pPr>
            <w:r>
              <w:rPr>
                <w:rFonts w:hint="eastAsia" w:ascii="华文中宋" w:hAnsi="华文中宋" w:eastAsia="华文中宋" w:cs="华文中宋"/>
                <w:i w:val="0"/>
                <w:iCs w:val="0"/>
                <w:color w:val="000000"/>
                <w:kern w:val="0"/>
                <w:sz w:val="20"/>
                <w:szCs w:val="20"/>
                <w:u w:val="none"/>
                <w:lang w:val="en-US" w:eastAsia="zh-CN" w:bidi="ar"/>
              </w:rPr>
              <w:t>1</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4D6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市县指标（20分）</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B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农业保险绩效评价</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035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7分</w:t>
            </w:r>
          </w:p>
        </w:tc>
        <w:tc>
          <w:tcPr>
            <w:tcW w:w="5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55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近三年年度农业保险绩效评价。以参加遴选的承保机构的三年平均分进行排名，第一名7分，第二名4分，第三名2分，依次递减，无排名不计分。</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5E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参加遴选的县级机构近三年（2022-2024年）年度农业保险绩效得分，需提供财政认定的相关文件并加盖参加遴选的承保机构公章。</w:t>
            </w:r>
          </w:p>
        </w:tc>
      </w:tr>
      <w:tr w14:paraId="54507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DF69">
            <w:pPr>
              <w:keepNext w:val="0"/>
              <w:keepLines w:val="0"/>
              <w:widowControl/>
              <w:suppressLineNumbers w:val="0"/>
              <w:jc w:val="center"/>
              <w:textAlignment w:val="center"/>
              <w:rPr>
                <w:rFonts w:hint="eastAsia" w:ascii="华文中宋" w:hAnsi="华文中宋" w:eastAsia="华文中宋" w:cs="华文中宋"/>
                <w:i w:val="0"/>
                <w:iCs w:val="0"/>
                <w:color w:val="000000"/>
                <w:sz w:val="20"/>
                <w:szCs w:val="20"/>
                <w:u w:val="none"/>
              </w:rPr>
            </w:pPr>
            <w:r>
              <w:rPr>
                <w:rFonts w:hint="eastAsia" w:ascii="华文中宋" w:hAnsi="华文中宋" w:eastAsia="华文中宋" w:cs="华文中宋"/>
                <w:i w:val="0"/>
                <w:iCs w:val="0"/>
                <w:color w:val="000000"/>
                <w:kern w:val="0"/>
                <w:sz w:val="20"/>
                <w:szCs w:val="20"/>
                <w:u w:val="none"/>
                <w:lang w:val="en-US" w:eastAsia="zh-CN" w:bidi="ar"/>
              </w:rPr>
              <w:t>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66B3A">
            <w:pPr>
              <w:jc w:val="center"/>
              <w:rPr>
                <w:rFonts w:hint="eastAsia" w:ascii="宋体" w:hAnsi="宋体" w:eastAsia="宋体" w:cs="宋体"/>
                <w:i w:val="0"/>
                <w:iCs w:val="0"/>
                <w:color w:val="000000"/>
                <w:sz w:val="20"/>
                <w:szCs w:val="20"/>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0D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乡村振兴</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A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3分</w:t>
            </w:r>
          </w:p>
        </w:tc>
        <w:tc>
          <w:tcPr>
            <w:tcW w:w="5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57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参加遴选的承保机构2023年-2025年，在遴选区域开展农村乡村振兴类工作的。连续三年开展农村乡村振兴工作的计3分、开展两年的计2分、开展一年的计1分、未开展的不计分。</w:t>
            </w:r>
          </w:p>
        </w:tc>
        <w:tc>
          <w:tcPr>
            <w:tcW w:w="5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F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提供县级及以上人民政府或职能部门的证明材料。</w:t>
            </w:r>
          </w:p>
        </w:tc>
      </w:tr>
      <w:tr w14:paraId="03522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E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15885">
            <w:pPr>
              <w:jc w:val="center"/>
              <w:rPr>
                <w:rFonts w:hint="eastAsia" w:ascii="宋体" w:hAnsi="宋体" w:eastAsia="宋体" w:cs="宋体"/>
                <w:i w:val="0"/>
                <w:iCs w:val="0"/>
                <w:color w:val="000000"/>
                <w:sz w:val="20"/>
                <w:szCs w:val="20"/>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B3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响应文件制作</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DA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2分</w:t>
            </w:r>
          </w:p>
        </w:tc>
        <w:tc>
          <w:tcPr>
            <w:tcW w:w="5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012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面响应遴选文件要求，编制完整、非活动页装订，且有详细目录，连续页码、目录与有关材料装订顺序对应清晰，查阅方便得2分；编排杂乱无章，资料残缺不全，叙述模糊不清，前后不一致等，每处扣0.5分，扣完为止。</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7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以参加遴选的承保机构提供的文件资料为准。</w:t>
            </w:r>
          </w:p>
        </w:tc>
      </w:tr>
      <w:tr w14:paraId="586D3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3"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9242">
            <w:pPr>
              <w:jc w:val="center"/>
              <w:rPr>
                <w:rFonts w:hint="eastAsia" w:ascii="宋体" w:hAnsi="宋体" w:eastAsia="宋体" w:cs="宋体"/>
                <w:i w:val="0"/>
                <w:iCs w:val="0"/>
                <w:color w:val="000000"/>
                <w:sz w:val="20"/>
                <w:szCs w:val="20"/>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099E6">
            <w:pPr>
              <w:jc w:val="center"/>
              <w:rPr>
                <w:rFonts w:hint="eastAsia" w:ascii="宋体" w:hAnsi="宋体" w:eastAsia="宋体" w:cs="宋体"/>
                <w:i w:val="0"/>
                <w:iCs w:val="0"/>
                <w:color w:val="000000"/>
                <w:sz w:val="20"/>
                <w:szCs w:val="20"/>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2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地方特色农业保险开展</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6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3分</w:t>
            </w:r>
          </w:p>
        </w:tc>
        <w:tc>
          <w:tcPr>
            <w:tcW w:w="5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A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2023年-2025年之间针对本县特色农业、林业、畜牧等产业提供专属保险承保服务（享有县级补贴）。承保2类及以上特色农业保险，得3分;承保1类特色农业保险，得1.5分;未开展特色农产品承保业务，不得分。</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8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提供县级及以上人民政府或职能部门的证明材料。</w:t>
            </w:r>
          </w:p>
        </w:tc>
      </w:tr>
      <w:tr w14:paraId="4734A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4"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0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AA71F">
            <w:pPr>
              <w:jc w:val="center"/>
              <w:rPr>
                <w:rFonts w:hint="eastAsia" w:ascii="宋体" w:hAnsi="宋体" w:eastAsia="宋体" w:cs="宋体"/>
                <w:i w:val="0"/>
                <w:iCs w:val="0"/>
                <w:color w:val="000000"/>
                <w:sz w:val="20"/>
                <w:szCs w:val="20"/>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30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防灾减损</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994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3分</w:t>
            </w:r>
          </w:p>
        </w:tc>
        <w:tc>
          <w:tcPr>
            <w:tcW w:w="5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5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2024年至2025年防灾减损资金（物资、设备）总额，第一名计3分，第二名计2分，第三名计1.5分，第四名1分，第五名计0.5分，未提供防灾防损费用的不计分。</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A8E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由参与遴选机构提供相关资料，包括但不限于发票、支付凭证、支付清单等</w:t>
            </w:r>
          </w:p>
        </w:tc>
      </w:tr>
      <w:tr w14:paraId="78D23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1"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F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0533E">
            <w:pPr>
              <w:jc w:val="center"/>
              <w:rPr>
                <w:rFonts w:hint="eastAsia" w:ascii="宋体" w:hAnsi="宋体" w:eastAsia="宋体" w:cs="宋体"/>
                <w:i w:val="0"/>
                <w:iCs w:val="0"/>
                <w:color w:val="000000"/>
                <w:sz w:val="20"/>
                <w:szCs w:val="20"/>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C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服务方案</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2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2分</w:t>
            </w:r>
          </w:p>
        </w:tc>
        <w:tc>
          <w:tcPr>
            <w:tcW w:w="5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FA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服务方案优计2分，良计1.5分，合格计1分，不合格不计分。</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BB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参与遴选公司提供相应的承保、理赔等方面的服务文件。</w:t>
            </w:r>
          </w:p>
        </w:tc>
      </w:tr>
    </w:tbl>
    <w:p w14:paraId="13DA405E">
      <w:pPr>
        <w:spacing w:line="600" w:lineRule="exact"/>
        <w:ind w:firstLine="420" w:firstLineChars="200"/>
        <w:outlineLvl w:val="2"/>
        <w:rPr>
          <w:rFonts w:hint="eastAsia" w:ascii="宋体" w:hAnsi="宋体" w:eastAsia="宋体" w:cs="宋体"/>
          <w:color w:val="FF0000"/>
        </w:rPr>
      </w:pPr>
    </w:p>
    <w:p w14:paraId="0D5FD737">
      <w:pPr>
        <w:pStyle w:val="11"/>
        <w:rPr>
          <w:rFonts w:hint="eastAsia" w:ascii="宋体" w:hAnsi="宋体" w:eastAsia="宋体" w:cs="宋体"/>
        </w:rPr>
        <w:sectPr>
          <w:pgSz w:w="16837" w:h="11905" w:orient="landscape"/>
          <w:pgMar w:top="907" w:right="1701" w:bottom="907" w:left="1701" w:header="850" w:footer="1417" w:gutter="0"/>
          <w:pgNumType w:fmt="decimal"/>
          <w:cols w:space="720" w:num="1"/>
          <w:docGrid w:linePitch="636" w:charSpace="0"/>
        </w:sectPr>
      </w:pPr>
    </w:p>
    <w:p w14:paraId="304FCB8D">
      <w:pPr>
        <w:pStyle w:val="2"/>
        <w:bidi w:val="0"/>
        <w:rPr>
          <w:rFonts w:hint="eastAsia" w:ascii="宋体" w:hAnsi="宋体" w:eastAsia="宋体" w:cs="宋体"/>
        </w:rPr>
      </w:pPr>
      <w:bookmarkStart w:id="33" w:name="_Toc31532"/>
      <w:bookmarkStart w:id="34" w:name="合同格式"/>
      <w:r>
        <w:rPr>
          <w:rFonts w:hint="eastAsia" w:ascii="宋体" w:hAnsi="宋体" w:eastAsia="宋体" w:cs="宋体"/>
        </w:rPr>
        <w:t>第三章　合同格式</w:t>
      </w:r>
      <w:bookmarkEnd w:id="33"/>
    </w:p>
    <w:p w14:paraId="2978F906">
      <w:pPr>
        <w:pStyle w:val="5"/>
        <w:adjustRightInd w:val="0"/>
        <w:snapToGrid w:val="0"/>
        <w:spacing w:line="630" w:lineRule="exact"/>
        <w:ind w:left="0" w:leftChars="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由遴选区域财政部门和农业农村局</w:t>
      </w:r>
      <w:r>
        <w:rPr>
          <w:rFonts w:hint="eastAsia" w:ascii="宋体" w:hAnsi="宋体" w:eastAsia="宋体" w:cs="宋体"/>
          <w:color w:val="auto"/>
          <w:sz w:val="28"/>
          <w:szCs w:val="28"/>
        </w:rPr>
        <w:t>根据《中华人民共和国</w:t>
      </w:r>
      <w:r>
        <w:rPr>
          <w:rFonts w:hint="eastAsia" w:ascii="宋体" w:hAnsi="宋体" w:eastAsia="宋体" w:cs="宋体"/>
          <w:color w:val="auto"/>
          <w:sz w:val="28"/>
          <w:szCs w:val="28"/>
          <w:lang w:val="en-US" w:eastAsia="zh-CN"/>
        </w:rPr>
        <w:t>民法典</w:t>
      </w:r>
      <w:r>
        <w:rPr>
          <w:rFonts w:hint="eastAsia" w:ascii="宋体" w:hAnsi="宋体" w:eastAsia="宋体" w:cs="宋体"/>
          <w:color w:val="auto"/>
          <w:sz w:val="28"/>
          <w:szCs w:val="28"/>
        </w:rPr>
        <w:t>》、《农业保险条例》</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《中央财政农业保险保费补贴管理办法》</w:t>
      </w:r>
      <w:r>
        <w:rPr>
          <w:rFonts w:hint="eastAsia" w:ascii="宋体" w:hAnsi="宋体" w:eastAsia="宋体" w:cs="宋体"/>
          <w:color w:val="auto"/>
          <w:sz w:val="28"/>
          <w:szCs w:val="28"/>
          <w:lang w:eastAsia="zh-CN"/>
        </w:rPr>
        <w:t>、《湖南省财政厅湖南省农业农村厅关于印发（公开竞争性遴选政策性农业保险承保机构实施办法）的通知》、</w:t>
      </w:r>
      <w:r>
        <w:rPr>
          <w:rFonts w:hint="eastAsia" w:ascii="宋体" w:hAnsi="宋体" w:eastAsia="宋体" w:cs="宋体"/>
          <w:color w:val="auto"/>
          <w:sz w:val="28"/>
          <w:szCs w:val="28"/>
        </w:rPr>
        <w:t>其他有关法律、法规、规章</w:t>
      </w:r>
      <w:r>
        <w:rPr>
          <w:rFonts w:hint="eastAsia" w:ascii="宋体" w:hAnsi="宋体" w:eastAsia="宋体" w:cs="宋体"/>
          <w:color w:val="auto"/>
          <w:sz w:val="28"/>
          <w:szCs w:val="28"/>
          <w:lang w:val="en-US" w:eastAsia="zh-CN"/>
        </w:rPr>
        <w:t>以及中选承保机构响应文件和项目具体情况</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与中选承保机构共同拟定合同文本。</w:t>
      </w:r>
    </w:p>
    <w:p w14:paraId="47CF8032">
      <w:pPr>
        <w:spacing w:line="600" w:lineRule="exact"/>
        <w:jc w:val="center"/>
        <w:rPr>
          <w:rFonts w:hint="eastAsia" w:ascii="宋体" w:hAnsi="宋体" w:eastAsia="宋体" w:cs="宋体"/>
          <w:b/>
          <w:bCs/>
          <w:sz w:val="44"/>
          <w:szCs w:val="44"/>
        </w:rPr>
      </w:pPr>
    </w:p>
    <w:p w14:paraId="6815C09F">
      <w:pPr>
        <w:pStyle w:val="11"/>
        <w:rPr>
          <w:rFonts w:hint="eastAsia" w:ascii="宋体" w:hAnsi="宋体" w:eastAsia="宋体" w:cs="宋体"/>
        </w:rPr>
        <w:sectPr>
          <w:pgSz w:w="11906" w:h="16838"/>
          <w:pgMar w:top="1701" w:right="1587" w:bottom="1701" w:left="1587" w:header="850" w:footer="1417" w:gutter="0"/>
          <w:pgNumType w:fmt="decimal"/>
          <w:cols w:space="720" w:num="1"/>
          <w:docGrid w:type="lines" w:linePitch="312" w:charSpace="0"/>
        </w:sectPr>
      </w:pPr>
    </w:p>
    <w:bookmarkEnd w:id="34"/>
    <w:p w14:paraId="649D0044">
      <w:pPr>
        <w:pStyle w:val="2"/>
        <w:bidi w:val="0"/>
        <w:rPr>
          <w:rFonts w:hint="eastAsia" w:ascii="宋体" w:hAnsi="宋体" w:eastAsia="宋体" w:cs="宋体"/>
        </w:rPr>
      </w:pPr>
      <w:bookmarkStart w:id="35" w:name="_Toc10861"/>
      <w:bookmarkStart w:id="36" w:name="遴选响应文件组成"/>
      <w:r>
        <w:rPr>
          <w:rFonts w:hint="eastAsia" w:ascii="宋体" w:hAnsi="宋体" w:eastAsia="宋体" w:cs="宋体"/>
        </w:rPr>
        <w:t>第四章　遴选响应文件组成</w:t>
      </w:r>
      <w:bookmarkEnd w:id="35"/>
    </w:p>
    <w:bookmarkEnd w:id="36"/>
    <w:p w14:paraId="1C53C65D">
      <w:pPr>
        <w:pStyle w:val="11"/>
        <w:spacing w:line="600" w:lineRule="exact"/>
        <w:rPr>
          <w:rFonts w:hint="eastAsia" w:ascii="宋体" w:hAnsi="宋体" w:eastAsia="宋体" w:cs="宋体"/>
        </w:rPr>
      </w:pPr>
    </w:p>
    <w:p w14:paraId="4EA43B23">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一、</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"一、遴选响应声明"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遴选响应声明</w:t>
      </w:r>
      <w:r>
        <w:rPr>
          <w:rFonts w:hint="eastAsia" w:ascii="宋体" w:hAnsi="宋体" w:eastAsia="宋体" w:cs="宋体"/>
          <w:sz w:val="28"/>
          <w:szCs w:val="28"/>
        </w:rPr>
        <w:fldChar w:fldCharType="end"/>
      </w:r>
    </w:p>
    <w:p w14:paraId="565032FB">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二、</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"二、申请人资格证明文件"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申请人资格证明文</w:t>
      </w:r>
      <w:r>
        <w:rPr>
          <w:rFonts w:hint="eastAsia" w:ascii="宋体" w:hAnsi="宋体" w:eastAsia="宋体" w:cs="宋体"/>
          <w:sz w:val="28"/>
          <w:szCs w:val="28"/>
        </w:rPr>
        <w:fldChar w:fldCharType="end"/>
      </w:r>
      <w:r>
        <w:rPr>
          <w:rFonts w:hint="eastAsia" w:ascii="宋体" w:hAnsi="宋体" w:eastAsia="宋体" w:cs="宋体"/>
          <w:sz w:val="28"/>
          <w:szCs w:val="28"/>
        </w:rPr>
        <w:t>件</w:t>
      </w:r>
    </w:p>
    <w:p w14:paraId="401D5537">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三、与</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"三、评审标准相关内容" </w:instrText>
      </w:r>
      <w:r>
        <w:rPr>
          <w:rFonts w:hint="eastAsia" w:ascii="宋体" w:hAnsi="宋体" w:eastAsia="宋体" w:cs="宋体"/>
          <w:sz w:val="28"/>
          <w:szCs w:val="28"/>
        </w:rPr>
        <w:fldChar w:fldCharType="separate"/>
      </w:r>
      <w:r>
        <w:rPr>
          <w:rStyle w:val="16"/>
          <w:rFonts w:hint="eastAsia" w:ascii="宋体" w:hAnsi="宋体" w:eastAsia="宋体" w:cs="宋体"/>
          <w:color w:val="auto"/>
          <w:sz w:val="28"/>
          <w:szCs w:val="28"/>
          <w:u w:val="none"/>
        </w:rPr>
        <w:t>评审标准相关内容</w:t>
      </w:r>
      <w:r>
        <w:rPr>
          <w:rFonts w:hint="eastAsia" w:ascii="宋体" w:hAnsi="宋体" w:eastAsia="宋体" w:cs="宋体"/>
          <w:sz w:val="28"/>
          <w:szCs w:val="28"/>
        </w:rPr>
        <w:fldChar w:fldCharType="end"/>
      </w:r>
    </w:p>
    <w:p w14:paraId="00E8DCDB">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四、</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"四、申请人认为需要提供的其它资料（包括长望浏宁）"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申请人认为需要提供的其它资料</w:t>
      </w:r>
      <w:r>
        <w:rPr>
          <w:rFonts w:hint="eastAsia" w:ascii="宋体" w:hAnsi="宋体" w:eastAsia="宋体" w:cs="宋体"/>
          <w:sz w:val="28"/>
          <w:szCs w:val="28"/>
        </w:rPr>
        <w:fldChar w:fldCharType="end"/>
      </w:r>
    </w:p>
    <w:p w14:paraId="1D97D635">
      <w:pPr>
        <w:pStyle w:val="11"/>
        <w:spacing w:line="600" w:lineRule="exact"/>
        <w:rPr>
          <w:rFonts w:hint="eastAsia" w:ascii="宋体" w:hAnsi="宋体" w:eastAsia="宋体" w:cs="宋体"/>
          <w:sz w:val="28"/>
          <w:szCs w:val="28"/>
        </w:rPr>
      </w:pPr>
    </w:p>
    <w:p w14:paraId="3D71EDE1">
      <w:pPr>
        <w:pStyle w:val="9"/>
        <w:ind w:firstLine="640" w:firstLineChars="200"/>
        <w:jc w:val="left"/>
        <w:rPr>
          <w:rFonts w:hint="eastAsia" w:ascii="宋体" w:hAnsi="宋体" w:eastAsia="宋体" w:cs="宋体"/>
          <w:sz w:val="32"/>
          <w:szCs w:val="32"/>
        </w:rPr>
      </w:pPr>
    </w:p>
    <w:p w14:paraId="3396D3DB">
      <w:pPr>
        <w:pStyle w:val="9"/>
        <w:rPr>
          <w:rFonts w:hint="eastAsia" w:ascii="宋体" w:hAnsi="宋体" w:eastAsia="宋体" w:cs="宋体"/>
          <w:b/>
          <w:bCs/>
          <w:sz w:val="44"/>
          <w:szCs w:val="44"/>
        </w:rPr>
      </w:pPr>
    </w:p>
    <w:p w14:paraId="427A9E62">
      <w:pPr>
        <w:pStyle w:val="9"/>
        <w:rPr>
          <w:rFonts w:hint="eastAsia" w:ascii="宋体" w:hAnsi="宋体" w:eastAsia="宋体" w:cs="宋体"/>
          <w:sz w:val="24"/>
        </w:rPr>
      </w:pPr>
    </w:p>
    <w:p w14:paraId="105B8576">
      <w:pPr>
        <w:pStyle w:val="9"/>
        <w:rPr>
          <w:rFonts w:hint="eastAsia" w:ascii="宋体" w:hAnsi="宋体" w:eastAsia="宋体" w:cs="宋体"/>
          <w:sz w:val="24"/>
        </w:rPr>
      </w:pPr>
    </w:p>
    <w:p w14:paraId="3388B131">
      <w:pPr>
        <w:pStyle w:val="9"/>
        <w:rPr>
          <w:rFonts w:hint="eastAsia" w:ascii="宋体" w:hAnsi="宋体" w:eastAsia="宋体" w:cs="宋体"/>
          <w:sz w:val="24"/>
        </w:rPr>
      </w:pPr>
    </w:p>
    <w:p w14:paraId="02078868">
      <w:pPr>
        <w:pStyle w:val="9"/>
        <w:rPr>
          <w:rFonts w:hint="eastAsia" w:ascii="宋体" w:hAnsi="宋体" w:eastAsia="宋体" w:cs="宋体"/>
          <w:sz w:val="24"/>
        </w:rPr>
      </w:pPr>
    </w:p>
    <w:p w14:paraId="59ACD515">
      <w:pPr>
        <w:pStyle w:val="9"/>
        <w:rPr>
          <w:rFonts w:hint="eastAsia" w:ascii="宋体" w:hAnsi="宋体" w:eastAsia="宋体" w:cs="宋体"/>
          <w:sz w:val="24"/>
        </w:rPr>
      </w:pPr>
    </w:p>
    <w:p w14:paraId="6EDEB477">
      <w:pPr>
        <w:pStyle w:val="3"/>
        <w:bidi w:val="0"/>
        <w:rPr>
          <w:rFonts w:hint="eastAsia" w:ascii="宋体" w:hAnsi="宋体" w:eastAsia="宋体" w:cs="宋体"/>
        </w:rPr>
      </w:pPr>
      <w:r>
        <w:rPr>
          <w:rFonts w:hint="eastAsia" w:ascii="宋体" w:hAnsi="宋体" w:eastAsia="宋体" w:cs="宋体"/>
        </w:rPr>
        <w:br w:type="page"/>
      </w:r>
      <w:bookmarkStart w:id="37" w:name="一、遴选响应声明"/>
      <w:r>
        <w:rPr>
          <w:rFonts w:hint="eastAsia" w:ascii="宋体" w:hAnsi="宋体" w:eastAsia="宋体" w:cs="宋体"/>
        </w:rPr>
        <w:t>一、遴选响应声明</w:t>
      </w:r>
    </w:p>
    <w:p w14:paraId="2B666A17">
      <w:pPr>
        <w:spacing w:line="600" w:lineRule="exact"/>
        <w:jc w:val="center"/>
        <w:rPr>
          <w:rFonts w:hint="eastAsia" w:ascii="宋体" w:hAnsi="宋体" w:eastAsia="宋体" w:cs="宋体"/>
          <w:color w:val="auto"/>
          <w:sz w:val="44"/>
          <w:szCs w:val="44"/>
        </w:rPr>
      </w:pPr>
    </w:p>
    <w:bookmarkEnd w:id="37"/>
    <w:p w14:paraId="29509F31">
      <w:pPr>
        <w:adjustRightInd w:val="0"/>
        <w:snapToGrid w:val="0"/>
        <w:spacing w:line="600" w:lineRule="exact"/>
        <w:rPr>
          <w:rFonts w:hint="eastAsia" w:ascii="宋体" w:hAnsi="宋体" w:eastAsia="宋体" w:cs="宋体"/>
          <w:color w:val="auto"/>
          <w:sz w:val="28"/>
          <w:szCs w:val="28"/>
        </w:rPr>
      </w:pPr>
      <w:r>
        <w:rPr>
          <w:rFonts w:hint="eastAsia" w:ascii="宋体" w:hAnsi="宋体" w:eastAsia="宋体" w:cs="宋体"/>
          <w:color w:val="auto"/>
          <w:sz w:val="28"/>
          <w:szCs w:val="28"/>
        </w:rPr>
        <w:t>致</w:t>
      </w:r>
      <w:r>
        <w:rPr>
          <w:rFonts w:hint="eastAsia" w:ascii="宋体" w:hAnsi="宋体" w:eastAsia="宋体" w:cs="宋体"/>
          <w:color w:val="auto"/>
          <w:sz w:val="28"/>
          <w:szCs w:val="28"/>
          <w:lang w:eastAsia="zh-CN"/>
        </w:rPr>
        <w:t>怀化市财政局、</w:t>
      </w:r>
      <w:r>
        <w:rPr>
          <w:rFonts w:hint="eastAsia" w:ascii="宋体" w:hAnsi="宋体" w:eastAsia="宋体" w:cs="宋体"/>
          <w:color w:val="auto"/>
          <w:sz w:val="28"/>
          <w:szCs w:val="28"/>
          <w:lang w:val="en-US" w:eastAsia="zh-CN"/>
        </w:rPr>
        <w:t>怀化市农业农村局</w:t>
      </w:r>
      <w:r>
        <w:rPr>
          <w:rFonts w:hint="eastAsia" w:ascii="宋体" w:hAnsi="宋体" w:eastAsia="宋体" w:cs="宋体"/>
          <w:color w:val="auto"/>
          <w:sz w:val="28"/>
          <w:szCs w:val="28"/>
        </w:rPr>
        <w:t>：</w:t>
      </w:r>
    </w:p>
    <w:p w14:paraId="3476FB9B">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我方已仔细研究了</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项目名称）的竞争性遴选文件的全部内容，知悉参加竞争性遴选的风险，我方承诺接受遴选文件的全部条款且无任何异议。</w:t>
      </w:r>
    </w:p>
    <w:p w14:paraId="010B6DB6">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一、我方同意在遴选文件中规定的提交响应文件截止时间起90日内（响应文件有效期）遵守本响应文件中的承诺且在此期限期满之前均具有法律约束力。</w:t>
      </w:r>
    </w:p>
    <w:p w14:paraId="27AB2F3C">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二、我方提交响应文件正本一份和副本</w:t>
      </w: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rPr>
        <w:t>份，并保证响应文件提供的数据和资料全部内容真实、合法、准确和完整，我们对此负责，并愿承担由此引起的法律责任。</w:t>
      </w:r>
    </w:p>
    <w:p w14:paraId="28D67C58">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三、我方愿意向贵方提供任何与本项遴选有关的数据、情况和技术资料。若贵方需要，我方愿意提供我方作出的一切承诺的证明资料。</w:t>
      </w:r>
    </w:p>
    <w:p w14:paraId="15C25C39">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四、我方愿意按遴选文件规定提交遴选响应文件。</w:t>
      </w:r>
    </w:p>
    <w:p w14:paraId="1B3091A0">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五、我方承诺遵守《农业保险条例》的有关规</w:t>
      </w:r>
      <w:r>
        <w:rPr>
          <w:rFonts w:hint="eastAsia" w:ascii="宋体" w:hAnsi="宋体" w:eastAsia="宋体" w:cs="宋体"/>
          <w:color w:val="auto"/>
          <w:spacing w:val="-6"/>
          <w:sz w:val="28"/>
          <w:szCs w:val="28"/>
        </w:rPr>
        <w:t>定，保证在获得中选资格后，按照遴选文件确定的事项签订承保合同，履行双方所签订的合同，并</w:t>
      </w:r>
      <w:r>
        <w:rPr>
          <w:rFonts w:hint="eastAsia" w:ascii="宋体" w:hAnsi="宋体" w:eastAsia="宋体" w:cs="宋体"/>
          <w:color w:val="auto"/>
          <w:sz w:val="28"/>
          <w:szCs w:val="28"/>
        </w:rPr>
        <w:t>承担合同规定的责任和义务。</w:t>
      </w:r>
    </w:p>
    <w:p w14:paraId="6BE90DA9">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六、我方在此声明： </w:t>
      </w:r>
    </w:p>
    <w:p w14:paraId="74C0FB60">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（一）我方与遴选人不存在隶属关系或者其他利害关系。</w:t>
      </w:r>
    </w:p>
    <w:p w14:paraId="7D207CFA">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（二）我方与参加本项目的其他申请人不存在直接控股、管理关系，或者与其他申请人负责人为同一人。</w:t>
      </w:r>
    </w:p>
    <w:p w14:paraId="46290C9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（三）我方未为本项目前期准备提供设计或咨询服务。</w:t>
      </w:r>
    </w:p>
    <w:p w14:paraId="759D947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（四）我方依法缴纳了各项税费及各项社会保障资金，没有偷税、漏税及欠缴行为。</w:t>
      </w:r>
    </w:p>
    <w:p w14:paraId="079D2513">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（五）我方在遴选响应文件有效期内没有存在下列重大违法记录：</w:t>
      </w:r>
    </w:p>
    <w:p w14:paraId="7937FE76">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1、因农业保险业务被行政处罚；</w:t>
      </w:r>
    </w:p>
    <w:p w14:paraId="65297912">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2、因农业保险绩效考评取消了财政补贴资格。</w:t>
      </w:r>
    </w:p>
    <w:p w14:paraId="0BB4FA1B">
      <w:pPr>
        <w:pStyle w:val="6"/>
        <w:adjustRightInd w:val="0"/>
        <w:snapToGrid w:val="0"/>
        <w:spacing w:line="600" w:lineRule="exact"/>
        <w:ind w:firstLine="560" w:firstLineChars="200"/>
        <w:rPr>
          <w:rFonts w:hint="eastAsia" w:ascii="宋体" w:hAnsi="宋体" w:eastAsia="宋体" w:cs="宋体"/>
          <w:color w:val="auto"/>
          <w:sz w:val="28"/>
          <w:szCs w:val="28"/>
        </w:rPr>
      </w:pPr>
    </w:p>
    <w:p w14:paraId="0D4F3D8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bCs/>
          <w:color w:val="auto"/>
          <w:sz w:val="28"/>
          <w:szCs w:val="28"/>
        </w:rPr>
        <w:t>附件：1、</w:t>
      </w:r>
      <w:r>
        <w:rPr>
          <w:rFonts w:hint="eastAsia" w:ascii="宋体" w:hAnsi="宋体" w:eastAsia="宋体" w:cs="宋体"/>
          <w:color w:val="auto"/>
          <w:sz w:val="28"/>
          <w:szCs w:val="28"/>
        </w:rPr>
        <w:t>申请人公司负责人身份证明</w:t>
      </w:r>
    </w:p>
    <w:p w14:paraId="03446811">
      <w:pPr>
        <w:adjustRightInd w:val="0"/>
        <w:snapToGrid w:val="0"/>
        <w:spacing w:line="600" w:lineRule="exact"/>
        <w:ind w:firstLine="1400" w:firstLineChars="500"/>
        <w:rPr>
          <w:rFonts w:hint="eastAsia" w:ascii="宋体" w:hAnsi="宋体" w:eastAsia="宋体" w:cs="宋体"/>
          <w:color w:val="auto"/>
          <w:sz w:val="28"/>
          <w:szCs w:val="28"/>
        </w:rPr>
      </w:pPr>
      <w:r>
        <w:rPr>
          <w:rFonts w:hint="eastAsia" w:ascii="宋体" w:hAnsi="宋体" w:eastAsia="宋体" w:cs="宋体"/>
          <w:bCs/>
          <w:color w:val="auto"/>
          <w:sz w:val="28"/>
          <w:szCs w:val="28"/>
        </w:rPr>
        <w:t>2</w:t>
      </w:r>
      <w:r>
        <w:rPr>
          <w:rFonts w:hint="eastAsia" w:ascii="宋体" w:hAnsi="宋体" w:eastAsia="宋体" w:cs="宋体"/>
          <w:color w:val="auto"/>
          <w:sz w:val="28"/>
          <w:szCs w:val="28"/>
        </w:rPr>
        <w:t>、申请人公司负责人授权书</w:t>
      </w:r>
    </w:p>
    <w:p w14:paraId="61AF11CD">
      <w:pPr>
        <w:pStyle w:val="6"/>
        <w:adjustRightInd w:val="0"/>
        <w:snapToGrid w:val="0"/>
        <w:spacing w:line="600" w:lineRule="exact"/>
        <w:ind w:firstLine="560" w:firstLineChars="200"/>
        <w:rPr>
          <w:rFonts w:hint="eastAsia" w:ascii="宋体" w:hAnsi="宋体" w:eastAsia="宋体" w:cs="宋体"/>
          <w:color w:val="auto"/>
          <w:sz w:val="28"/>
          <w:szCs w:val="28"/>
        </w:rPr>
      </w:pPr>
    </w:p>
    <w:p w14:paraId="7E55F81C">
      <w:pPr>
        <w:pStyle w:val="6"/>
        <w:adjustRightInd w:val="0"/>
        <w:snapToGrid w:val="0"/>
        <w:spacing w:line="600" w:lineRule="exact"/>
        <w:ind w:firstLine="560" w:firstLineChars="200"/>
        <w:rPr>
          <w:rFonts w:hint="eastAsia" w:ascii="宋体" w:hAnsi="宋体" w:eastAsia="宋体" w:cs="宋体"/>
          <w:color w:val="auto"/>
          <w:sz w:val="28"/>
          <w:szCs w:val="28"/>
        </w:rPr>
      </w:pPr>
    </w:p>
    <w:p w14:paraId="7DCD378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申请人名称（盖单位章）：</w:t>
      </w:r>
    </w:p>
    <w:p w14:paraId="6D93723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申请人公司负责人（签字）：</w:t>
      </w:r>
      <w:r>
        <w:rPr>
          <w:rFonts w:hint="eastAsia" w:ascii="宋体" w:hAnsi="宋体" w:eastAsia="宋体" w:cs="宋体"/>
          <w:color w:val="auto"/>
          <w:sz w:val="28"/>
          <w:szCs w:val="28"/>
        </w:rPr>
        <w:tab/>
      </w:r>
    </w:p>
    <w:p w14:paraId="61E72881">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05F11953">
      <w:pPr>
        <w:adjustRightInd w:val="0"/>
        <w:snapToGrid w:val="0"/>
        <w:spacing w:line="600" w:lineRule="exact"/>
        <w:rPr>
          <w:rFonts w:hint="eastAsia" w:ascii="宋体" w:hAnsi="宋体" w:eastAsia="宋体" w:cs="宋体"/>
          <w:bCs/>
          <w:color w:val="auto"/>
          <w:sz w:val="28"/>
          <w:szCs w:val="28"/>
        </w:rPr>
      </w:pPr>
      <w:r>
        <w:rPr>
          <w:rFonts w:hint="eastAsia" w:ascii="宋体" w:hAnsi="宋体" w:eastAsia="宋体" w:cs="宋体"/>
          <w:color w:val="auto"/>
          <w:sz w:val="28"/>
          <w:szCs w:val="28"/>
        </w:rPr>
        <w:br w:type="page"/>
      </w:r>
      <w:r>
        <w:rPr>
          <w:rFonts w:hint="eastAsia" w:ascii="宋体" w:hAnsi="宋体" w:eastAsia="宋体" w:cs="宋体"/>
          <w:color w:val="auto"/>
          <w:sz w:val="28"/>
          <w:szCs w:val="28"/>
        </w:rPr>
        <w:t>附件1</w:t>
      </w:r>
    </w:p>
    <w:p w14:paraId="44548178">
      <w:pPr>
        <w:spacing w:line="600" w:lineRule="exact"/>
        <w:jc w:val="center"/>
        <w:rPr>
          <w:rFonts w:hint="eastAsia" w:ascii="宋体" w:hAnsi="宋体" w:eastAsia="宋体" w:cs="宋体"/>
          <w:bCs/>
          <w:color w:val="auto"/>
          <w:sz w:val="28"/>
          <w:szCs w:val="28"/>
        </w:rPr>
      </w:pPr>
    </w:p>
    <w:p w14:paraId="4702FD12">
      <w:pPr>
        <w:spacing w:line="600" w:lineRule="exact"/>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申请人公司负责人身份证明</w:t>
      </w:r>
    </w:p>
    <w:p w14:paraId="09F6CC90">
      <w:pPr>
        <w:spacing w:line="600" w:lineRule="exact"/>
        <w:jc w:val="center"/>
        <w:rPr>
          <w:rFonts w:hint="eastAsia" w:ascii="宋体" w:hAnsi="宋体" w:eastAsia="宋体" w:cs="宋体"/>
          <w:bCs/>
          <w:color w:val="auto"/>
          <w:sz w:val="28"/>
          <w:szCs w:val="28"/>
        </w:rPr>
      </w:pPr>
    </w:p>
    <w:p w14:paraId="1282A2D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w:t>
      </w:r>
    </w:p>
    <w:p w14:paraId="6EB5CA11">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注  册  号：</w:t>
      </w:r>
    </w:p>
    <w:p w14:paraId="1BC4B687">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注</w:t>
      </w:r>
      <w:r>
        <w:rPr>
          <w:rFonts w:hint="eastAsia" w:ascii="宋体" w:hAnsi="宋体" w:eastAsia="宋体" w:cs="宋体"/>
          <w:color w:val="auto"/>
          <w:spacing w:val="-20"/>
          <w:sz w:val="28"/>
          <w:szCs w:val="28"/>
        </w:rPr>
        <w:t xml:space="preserve"> 册 地 </w:t>
      </w:r>
      <w:r>
        <w:rPr>
          <w:rFonts w:hint="eastAsia" w:ascii="宋体" w:hAnsi="宋体" w:eastAsia="宋体" w:cs="宋体"/>
          <w:color w:val="auto"/>
          <w:sz w:val="28"/>
          <w:szCs w:val="28"/>
        </w:rPr>
        <w:t>址：</w:t>
      </w:r>
    </w:p>
    <w:p w14:paraId="087E538C">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 xml:space="preserve">成 </w:t>
      </w:r>
      <w:r>
        <w:rPr>
          <w:rFonts w:hint="eastAsia" w:ascii="宋体" w:hAnsi="宋体" w:eastAsia="宋体" w:cs="宋体"/>
          <w:color w:val="auto"/>
          <w:spacing w:val="-20"/>
          <w:sz w:val="28"/>
          <w:szCs w:val="28"/>
        </w:rPr>
        <w:t xml:space="preserve">立 时 </w:t>
      </w:r>
      <w:r>
        <w:rPr>
          <w:rFonts w:hint="eastAsia" w:ascii="宋体" w:hAnsi="宋体" w:eastAsia="宋体" w:cs="宋体"/>
          <w:color w:val="auto"/>
          <w:sz w:val="28"/>
          <w:szCs w:val="28"/>
        </w:rPr>
        <w:t>间：     年   月   日</w:t>
      </w:r>
    </w:p>
    <w:p w14:paraId="2EF42874">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经</w:t>
      </w:r>
      <w:r>
        <w:rPr>
          <w:rFonts w:hint="eastAsia" w:ascii="宋体" w:hAnsi="宋体" w:eastAsia="宋体" w:cs="宋体"/>
          <w:color w:val="auto"/>
          <w:spacing w:val="-20"/>
          <w:sz w:val="28"/>
          <w:szCs w:val="28"/>
        </w:rPr>
        <w:t xml:space="preserve"> 营 期 </w:t>
      </w:r>
      <w:r>
        <w:rPr>
          <w:rFonts w:hint="eastAsia" w:ascii="宋体" w:hAnsi="宋体" w:eastAsia="宋体" w:cs="宋体"/>
          <w:color w:val="auto"/>
          <w:sz w:val="28"/>
          <w:szCs w:val="28"/>
        </w:rPr>
        <w:t>限：</w:t>
      </w:r>
    </w:p>
    <w:p w14:paraId="5EF515B9">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u w:val="single"/>
        </w:rPr>
      </w:pPr>
      <w:r>
        <w:rPr>
          <w:rFonts w:hint="eastAsia" w:ascii="宋体" w:hAnsi="宋体" w:eastAsia="宋体" w:cs="宋体"/>
          <w:color w:val="auto"/>
          <w:sz w:val="28"/>
          <w:szCs w:val="28"/>
        </w:rPr>
        <w:t>经</w:t>
      </w:r>
      <w:r>
        <w:rPr>
          <w:rFonts w:hint="eastAsia" w:ascii="宋体" w:hAnsi="宋体" w:eastAsia="宋体" w:cs="宋体"/>
          <w:color w:val="auto"/>
          <w:spacing w:val="-20"/>
          <w:sz w:val="28"/>
          <w:szCs w:val="28"/>
        </w:rPr>
        <w:t xml:space="preserve"> 营 范 </w:t>
      </w:r>
      <w:r>
        <w:rPr>
          <w:rFonts w:hint="eastAsia" w:ascii="宋体" w:hAnsi="宋体" w:eastAsia="宋体" w:cs="宋体"/>
          <w:color w:val="auto"/>
          <w:sz w:val="28"/>
          <w:szCs w:val="28"/>
        </w:rPr>
        <w:t>围：</w:t>
      </w:r>
      <w:r>
        <w:rPr>
          <w:rFonts w:hint="eastAsia" w:ascii="宋体" w:hAnsi="宋体" w:eastAsia="宋体" w:cs="宋体"/>
          <w:color w:val="auto"/>
          <w:kern w:val="0"/>
          <w:sz w:val="28"/>
          <w:szCs w:val="28"/>
        </w:rPr>
        <w:t>主营：    ；    兼营：</w:t>
      </w:r>
    </w:p>
    <w:p w14:paraId="2778C1A8">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姓</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名：</w:t>
      </w:r>
      <w:r>
        <w:rPr>
          <w:rFonts w:hint="eastAsia" w:ascii="宋体" w:hAnsi="宋体" w:eastAsia="宋体" w:cs="宋体"/>
          <w:color w:val="auto"/>
          <w:kern w:val="0"/>
          <w:sz w:val="28"/>
          <w:szCs w:val="28"/>
        </w:rPr>
        <w:t xml:space="preserve"> </w:t>
      </w:r>
    </w:p>
    <w:p w14:paraId="3DC6040F">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性</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别：</w:t>
      </w:r>
    </w:p>
    <w:p w14:paraId="40D360D9">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年</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龄：</w:t>
      </w:r>
    </w:p>
    <w:p w14:paraId="14F92E30">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系（</w:t>
      </w: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名称）的公司负责人。</w:t>
      </w:r>
    </w:p>
    <w:p w14:paraId="61803FC0">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p>
    <w:p w14:paraId="7F7DA4AD">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特此证明。</w:t>
      </w:r>
    </w:p>
    <w:p w14:paraId="10C81D15">
      <w:pPr>
        <w:pStyle w:val="11"/>
        <w:spacing w:line="600" w:lineRule="exact"/>
        <w:ind w:left="0" w:leftChars="0" w:firstLine="560" w:firstLineChars="200"/>
        <w:rPr>
          <w:rFonts w:hint="eastAsia" w:ascii="宋体" w:hAnsi="宋体" w:eastAsia="宋体" w:cs="宋体"/>
          <w:color w:val="auto"/>
          <w:sz w:val="28"/>
          <w:szCs w:val="28"/>
        </w:rPr>
      </w:pPr>
    </w:p>
    <w:p w14:paraId="7F56BF99">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附：申请人公司负责人身份证复印件</w:t>
      </w:r>
    </w:p>
    <w:p w14:paraId="56C1508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申请人名称（盖单位章）：</w:t>
      </w:r>
    </w:p>
    <w:p w14:paraId="4DCB0571">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日  期：     年   月    日      </w:t>
      </w:r>
    </w:p>
    <w:p w14:paraId="109536BE">
      <w:pPr>
        <w:widowControl/>
        <w:spacing w:line="600" w:lineRule="exact"/>
        <w:jc w:val="left"/>
        <w:rPr>
          <w:rFonts w:hint="eastAsia" w:ascii="宋体" w:hAnsi="宋体" w:eastAsia="宋体" w:cs="宋体"/>
          <w:color w:val="auto"/>
          <w:sz w:val="28"/>
          <w:szCs w:val="28"/>
        </w:rPr>
      </w:pPr>
      <w:r>
        <w:rPr>
          <w:rFonts w:hint="eastAsia" w:ascii="宋体" w:hAnsi="宋体" w:eastAsia="宋体" w:cs="宋体"/>
          <w:bCs/>
          <w:color w:val="auto"/>
          <w:sz w:val="28"/>
          <w:szCs w:val="28"/>
        </w:rPr>
        <w:br w:type="page"/>
      </w:r>
      <w:r>
        <w:rPr>
          <w:rFonts w:hint="eastAsia" w:ascii="宋体" w:hAnsi="宋体" w:eastAsia="宋体" w:cs="宋体"/>
          <w:color w:val="auto"/>
          <w:sz w:val="28"/>
          <w:szCs w:val="28"/>
        </w:rPr>
        <w:t>附件2</w:t>
      </w:r>
    </w:p>
    <w:p w14:paraId="081D6081">
      <w:pPr>
        <w:spacing w:line="600" w:lineRule="exact"/>
        <w:jc w:val="center"/>
        <w:rPr>
          <w:rFonts w:hint="eastAsia" w:ascii="宋体" w:hAnsi="宋体" w:eastAsia="宋体" w:cs="宋体"/>
          <w:bCs/>
          <w:color w:val="auto"/>
          <w:sz w:val="28"/>
          <w:szCs w:val="28"/>
        </w:rPr>
      </w:pPr>
    </w:p>
    <w:p w14:paraId="0F915711">
      <w:pPr>
        <w:spacing w:line="600" w:lineRule="exact"/>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申请人公司负责人授权委托书</w:t>
      </w:r>
    </w:p>
    <w:p w14:paraId="72E286A2">
      <w:pPr>
        <w:adjustRightInd w:val="0"/>
        <w:snapToGrid w:val="0"/>
        <w:spacing w:line="600" w:lineRule="exact"/>
        <w:ind w:firstLine="562" w:firstLineChars="200"/>
        <w:jc w:val="center"/>
        <w:rPr>
          <w:rFonts w:hint="eastAsia" w:ascii="宋体" w:hAnsi="宋体" w:eastAsia="宋体" w:cs="宋体"/>
          <w:b/>
          <w:color w:val="auto"/>
          <w:sz w:val="28"/>
          <w:szCs w:val="28"/>
        </w:rPr>
      </w:pPr>
    </w:p>
    <w:p w14:paraId="05BB58F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本人（姓名、职务）系（</w:t>
      </w: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名称）的申请人公司负责人，现授权（姓名、职务）为我方代理人。代理人根据授权，以我方名义：（1）签署、澄清、补正、修改、撤回、提交</w:t>
      </w:r>
      <w:r>
        <w:rPr>
          <w:rFonts w:hint="eastAsia" w:ascii="宋体" w:hAnsi="宋体" w:eastAsia="宋体" w:cs="宋体"/>
          <w:color w:val="auto"/>
          <w:kern w:val="0"/>
          <w:sz w:val="28"/>
          <w:szCs w:val="28"/>
          <w:lang w:val="en-US" w:eastAsia="zh-CN"/>
        </w:rPr>
        <w:t>应选</w:t>
      </w:r>
      <w:r>
        <w:rPr>
          <w:rFonts w:hint="eastAsia" w:ascii="宋体" w:hAnsi="宋体" w:eastAsia="宋体" w:cs="宋体"/>
          <w:color w:val="auto"/>
          <w:kern w:val="0"/>
          <w:sz w:val="28"/>
          <w:szCs w:val="28"/>
        </w:rPr>
        <w:t>文件；（2）签订合同和处理有关事宜，其法律后果由我方承担；（3）询问、质疑等相关事项，其法律后果由我方承担。</w:t>
      </w:r>
    </w:p>
    <w:p w14:paraId="22588221">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p>
    <w:p w14:paraId="388EBB1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委托期限：                </w:t>
      </w:r>
    </w:p>
    <w:p w14:paraId="62EE2DCA">
      <w:pPr>
        <w:spacing w:line="60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代理人无转委托权。</w:t>
      </w:r>
    </w:p>
    <w:p w14:paraId="176FFC51">
      <w:pPr>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本授权书于     年     月     日签字生效，特此声明。</w:t>
      </w:r>
    </w:p>
    <w:p w14:paraId="06DD8899">
      <w:pPr>
        <w:pStyle w:val="11"/>
        <w:spacing w:line="600" w:lineRule="exact"/>
        <w:ind w:left="0" w:leftChars="0" w:firstLine="560" w:firstLineChars="200"/>
        <w:rPr>
          <w:rFonts w:hint="eastAsia" w:ascii="宋体" w:hAnsi="宋体" w:eastAsia="宋体" w:cs="宋体"/>
          <w:color w:val="auto"/>
          <w:sz w:val="28"/>
          <w:szCs w:val="28"/>
        </w:rPr>
      </w:pPr>
    </w:p>
    <w:p w14:paraId="700168C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附：委托代理人身份证复印件及申请人公司负责人身份证明</w:t>
      </w:r>
    </w:p>
    <w:p w14:paraId="185C07FE">
      <w:pPr>
        <w:adjustRightInd w:val="0"/>
        <w:snapToGrid w:val="0"/>
        <w:spacing w:line="600" w:lineRule="exact"/>
        <w:ind w:firstLine="560" w:firstLineChars="200"/>
        <w:rPr>
          <w:rFonts w:hint="eastAsia" w:ascii="宋体" w:hAnsi="宋体" w:eastAsia="宋体" w:cs="宋体"/>
          <w:color w:val="auto"/>
          <w:sz w:val="28"/>
          <w:szCs w:val="28"/>
        </w:rPr>
      </w:pPr>
    </w:p>
    <w:p w14:paraId="2A64BDE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申请人公司负责人（签字）：</w:t>
      </w:r>
    </w:p>
    <w:p w14:paraId="6814A373">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委托代理人（签字）：</w:t>
      </w:r>
    </w:p>
    <w:p w14:paraId="5A20862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7DBA1C2D">
      <w:pPr>
        <w:spacing w:line="556" w:lineRule="exact"/>
        <w:jc w:val="center"/>
        <w:rPr>
          <w:rFonts w:hint="eastAsia" w:ascii="宋体" w:hAnsi="宋体" w:eastAsia="宋体" w:cs="宋体"/>
          <w:bCs/>
          <w:color w:val="auto"/>
          <w:sz w:val="28"/>
          <w:szCs w:val="28"/>
        </w:rPr>
      </w:pPr>
      <w:bookmarkStart w:id="38" w:name="二、申请人资格证明文件"/>
    </w:p>
    <w:p w14:paraId="2EE5C73C">
      <w:pPr>
        <w:pStyle w:val="11"/>
        <w:rPr>
          <w:rFonts w:hint="eastAsia" w:ascii="宋体" w:hAnsi="宋体" w:eastAsia="宋体" w:cs="宋体"/>
          <w:color w:val="auto"/>
          <w:sz w:val="28"/>
          <w:szCs w:val="28"/>
        </w:rPr>
      </w:pPr>
    </w:p>
    <w:p w14:paraId="2949B349">
      <w:pPr>
        <w:pStyle w:val="11"/>
        <w:rPr>
          <w:rFonts w:hint="eastAsia" w:ascii="宋体" w:hAnsi="宋体" w:eastAsia="宋体" w:cs="宋体"/>
          <w:color w:val="auto"/>
          <w:sz w:val="28"/>
          <w:szCs w:val="28"/>
        </w:rPr>
      </w:pPr>
    </w:p>
    <w:p w14:paraId="5886628B">
      <w:pPr>
        <w:pStyle w:val="3"/>
        <w:bidi w:val="0"/>
        <w:rPr>
          <w:rFonts w:hint="eastAsia"/>
        </w:rPr>
      </w:pPr>
      <w:r>
        <w:rPr>
          <w:rFonts w:hint="eastAsia"/>
        </w:rPr>
        <w:t>二、申请人资格证明文件</w:t>
      </w:r>
    </w:p>
    <w:bookmarkEnd w:id="38"/>
    <w:p w14:paraId="64E21525">
      <w:pPr>
        <w:adjustRightInd w:val="0"/>
        <w:snapToGrid w:val="0"/>
        <w:spacing w:line="600" w:lineRule="exact"/>
        <w:ind w:firstLine="280" w:firstLineChars="100"/>
        <w:outlineLvl w:val="0"/>
        <w:rPr>
          <w:rFonts w:hint="eastAsia" w:ascii="宋体" w:hAnsi="宋体" w:eastAsia="宋体" w:cs="宋体"/>
          <w:color w:val="auto"/>
          <w:sz w:val="28"/>
          <w:szCs w:val="28"/>
          <w:lang w:val="en-US" w:eastAsia="zh-CN"/>
        </w:rPr>
      </w:pPr>
    </w:p>
    <w:p w14:paraId="521E445D">
      <w:pPr>
        <w:adjustRightInd w:val="0"/>
        <w:snapToGrid w:val="0"/>
        <w:spacing w:line="600" w:lineRule="exact"/>
        <w:ind w:firstLine="280" w:firstLineChars="100"/>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符合“第二章 遴选须知”中“三、申请人资格条件”的证明文件</w:t>
      </w:r>
    </w:p>
    <w:p w14:paraId="066E15B3">
      <w:pPr>
        <w:adjustRightInd w:val="0"/>
        <w:snapToGrid w:val="0"/>
        <w:spacing w:line="600" w:lineRule="exact"/>
        <w:jc w:val="center"/>
        <w:outlineLvl w:val="0"/>
        <w:rPr>
          <w:rFonts w:hint="eastAsia" w:ascii="宋体" w:hAnsi="宋体" w:eastAsia="宋体" w:cs="宋体"/>
          <w:b/>
          <w:bCs/>
          <w:color w:val="auto"/>
          <w:sz w:val="28"/>
          <w:szCs w:val="28"/>
        </w:rPr>
      </w:pPr>
      <w:r>
        <w:rPr>
          <w:rFonts w:hint="eastAsia" w:ascii="宋体" w:hAnsi="宋体" w:eastAsia="宋体" w:cs="宋体"/>
          <w:color w:val="auto"/>
          <w:sz w:val="30"/>
          <w:szCs w:val="30"/>
        </w:rPr>
        <w:br w:type="page"/>
      </w:r>
      <w:r>
        <w:rPr>
          <w:rFonts w:hint="eastAsia" w:ascii="宋体" w:hAnsi="宋体" w:eastAsia="宋体" w:cs="宋体"/>
          <w:color w:val="auto"/>
          <w:sz w:val="28"/>
          <w:szCs w:val="28"/>
        </w:rPr>
        <w:t>申请人基本情况表</w:t>
      </w:r>
    </w:p>
    <w:tbl>
      <w:tblPr>
        <w:tblStyle w:val="12"/>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826"/>
        <w:gridCol w:w="1414"/>
      </w:tblGrid>
      <w:tr w14:paraId="007F0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14FE682C">
            <w:pPr>
              <w:topLinePunct/>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申请人名称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2432E890">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盖申请人单位公章</w:t>
            </w:r>
          </w:p>
        </w:tc>
        <w:tc>
          <w:tcPr>
            <w:tcW w:w="1826" w:type="dxa"/>
            <w:tcBorders>
              <w:top w:val="double" w:color="auto" w:sz="4" w:space="0"/>
              <w:left w:val="single" w:color="auto" w:sz="6" w:space="0"/>
              <w:bottom w:val="single" w:color="auto" w:sz="6" w:space="0"/>
              <w:right w:val="single" w:color="auto" w:sz="6" w:space="0"/>
            </w:tcBorders>
            <w:noWrap w:val="0"/>
            <w:vAlign w:val="center"/>
          </w:tcPr>
          <w:p w14:paraId="7AC03862">
            <w:pPr>
              <w:topLinePunct/>
              <w:adjustRightInd w:val="0"/>
              <w:snapToGrid w:val="0"/>
              <w:jc w:val="center"/>
              <w:rPr>
                <w:rFonts w:hint="eastAsia" w:ascii="宋体" w:hAnsi="宋体" w:eastAsia="宋体" w:cs="宋体"/>
                <w:color w:val="auto"/>
              </w:rPr>
            </w:pPr>
            <w:r>
              <w:rPr>
                <w:rFonts w:hint="eastAsia" w:ascii="宋体" w:hAnsi="宋体" w:eastAsia="宋体" w:cs="宋体"/>
                <w:color w:val="auto"/>
              </w:rPr>
              <w:t>申请人公司负责人</w:t>
            </w:r>
          </w:p>
        </w:tc>
        <w:tc>
          <w:tcPr>
            <w:tcW w:w="1414" w:type="dxa"/>
            <w:tcBorders>
              <w:top w:val="double" w:color="auto" w:sz="4" w:space="0"/>
              <w:left w:val="single" w:color="auto" w:sz="6" w:space="0"/>
              <w:bottom w:val="single" w:color="auto" w:sz="6" w:space="0"/>
              <w:right w:val="double" w:color="auto" w:sz="4" w:space="0"/>
            </w:tcBorders>
            <w:noWrap w:val="0"/>
            <w:vAlign w:val="center"/>
          </w:tcPr>
          <w:p w14:paraId="7E61ABFA">
            <w:pPr>
              <w:topLinePunct/>
              <w:adjustRightInd w:val="0"/>
              <w:snapToGrid w:val="0"/>
              <w:jc w:val="center"/>
              <w:rPr>
                <w:rFonts w:hint="eastAsia" w:ascii="宋体" w:hAnsi="宋体" w:eastAsia="宋体" w:cs="宋体"/>
                <w:color w:val="auto"/>
                <w:szCs w:val="21"/>
              </w:rPr>
            </w:pPr>
          </w:p>
        </w:tc>
      </w:tr>
      <w:tr w14:paraId="5AC0AF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744DF7B6">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07B4DAD9">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6665BBEA">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邮政编码</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47C2B499">
            <w:pPr>
              <w:topLinePunct/>
              <w:spacing w:line="440" w:lineRule="exact"/>
              <w:jc w:val="center"/>
              <w:rPr>
                <w:rFonts w:hint="eastAsia" w:ascii="宋体" w:hAnsi="宋体" w:eastAsia="宋体" w:cs="宋体"/>
                <w:color w:val="auto"/>
                <w:szCs w:val="21"/>
              </w:rPr>
            </w:pPr>
          </w:p>
        </w:tc>
      </w:tr>
      <w:tr w14:paraId="36995B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restart"/>
            <w:tcBorders>
              <w:top w:val="single" w:color="auto" w:sz="6" w:space="0"/>
              <w:left w:val="double" w:color="auto" w:sz="4" w:space="0"/>
              <w:right w:val="single" w:color="auto" w:sz="6" w:space="0"/>
            </w:tcBorders>
            <w:noWrap w:val="0"/>
            <w:vAlign w:val="center"/>
          </w:tcPr>
          <w:p w14:paraId="5DCE795C">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上年营业收入</w:t>
            </w:r>
          </w:p>
        </w:tc>
        <w:tc>
          <w:tcPr>
            <w:tcW w:w="3960" w:type="dxa"/>
            <w:gridSpan w:val="5"/>
            <w:vMerge w:val="restart"/>
            <w:tcBorders>
              <w:top w:val="single" w:color="auto" w:sz="6" w:space="0"/>
              <w:left w:val="single" w:color="auto" w:sz="6" w:space="0"/>
              <w:right w:val="single" w:color="auto" w:sz="6" w:space="0"/>
            </w:tcBorders>
            <w:noWrap w:val="0"/>
            <w:vAlign w:val="center"/>
          </w:tcPr>
          <w:p w14:paraId="4AE45FD6">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42055813">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电子邮箱</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27A74957">
            <w:pPr>
              <w:topLinePunct/>
              <w:spacing w:line="440" w:lineRule="exact"/>
              <w:jc w:val="center"/>
              <w:rPr>
                <w:rFonts w:hint="eastAsia" w:ascii="宋体" w:hAnsi="宋体" w:eastAsia="宋体" w:cs="宋体"/>
                <w:color w:val="auto"/>
                <w:szCs w:val="21"/>
              </w:rPr>
            </w:pPr>
          </w:p>
        </w:tc>
      </w:tr>
      <w:tr w14:paraId="7DBC3C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continue"/>
            <w:tcBorders>
              <w:left w:val="double" w:color="auto" w:sz="4" w:space="0"/>
              <w:bottom w:val="single" w:color="auto" w:sz="6" w:space="0"/>
              <w:right w:val="single" w:color="auto" w:sz="6" w:space="0"/>
            </w:tcBorders>
            <w:noWrap w:val="0"/>
            <w:vAlign w:val="center"/>
          </w:tcPr>
          <w:p w14:paraId="59F17927">
            <w:pPr>
              <w:topLinePunct/>
              <w:spacing w:line="440" w:lineRule="exact"/>
              <w:jc w:val="center"/>
              <w:rPr>
                <w:rFonts w:hint="eastAsia" w:ascii="宋体" w:hAnsi="宋体" w:eastAsia="宋体" w:cs="宋体"/>
                <w:color w:val="auto"/>
                <w:szCs w:val="21"/>
              </w:rPr>
            </w:pPr>
          </w:p>
        </w:tc>
        <w:tc>
          <w:tcPr>
            <w:tcW w:w="3960" w:type="dxa"/>
            <w:gridSpan w:val="5"/>
            <w:vMerge w:val="continue"/>
            <w:tcBorders>
              <w:left w:val="single" w:color="auto" w:sz="6" w:space="0"/>
              <w:bottom w:val="single" w:color="auto" w:sz="6" w:space="0"/>
              <w:right w:val="single" w:color="auto" w:sz="6" w:space="0"/>
            </w:tcBorders>
            <w:noWrap w:val="0"/>
            <w:vAlign w:val="center"/>
          </w:tcPr>
          <w:p w14:paraId="578523C1">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26B68D8A">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员工总人数</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4C0090F2">
            <w:pPr>
              <w:topLinePunct/>
              <w:spacing w:line="440" w:lineRule="exact"/>
              <w:jc w:val="center"/>
              <w:rPr>
                <w:rFonts w:hint="eastAsia" w:ascii="宋体" w:hAnsi="宋体" w:eastAsia="宋体" w:cs="宋体"/>
                <w:color w:val="auto"/>
                <w:szCs w:val="21"/>
              </w:rPr>
            </w:pPr>
          </w:p>
        </w:tc>
      </w:tr>
      <w:tr w14:paraId="5A7A7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5DC82C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1344679">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314F99B">
            <w:pPr>
              <w:topLinePunct/>
              <w:spacing w:line="440" w:lineRule="exact"/>
              <w:jc w:val="center"/>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1EC5E6B3">
            <w:pPr>
              <w:topLinePunct/>
              <w:spacing w:line="440" w:lineRule="exact"/>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0CE1329">
            <w:pPr>
              <w:topLinePunct/>
              <w:spacing w:line="440" w:lineRule="exact"/>
              <w:ind w:firstLine="105" w:firstLineChars="50"/>
              <w:jc w:val="center"/>
              <w:rPr>
                <w:rFonts w:hint="eastAsia" w:ascii="宋体" w:hAnsi="宋体" w:eastAsia="宋体" w:cs="宋体"/>
                <w:color w:val="auto"/>
                <w:szCs w:val="21"/>
              </w:rPr>
            </w:pPr>
          </w:p>
        </w:tc>
      </w:tr>
      <w:tr w14:paraId="62DB0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D56FB66">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499065E">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5414D7C">
            <w:pPr>
              <w:topLinePunct/>
              <w:spacing w:line="440" w:lineRule="exact"/>
              <w:jc w:val="center"/>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075EACF7">
            <w:pPr>
              <w:topLinePunct/>
              <w:spacing w:line="440" w:lineRule="exact"/>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1470D79">
            <w:pPr>
              <w:topLinePunct/>
              <w:spacing w:line="440" w:lineRule="exact"/>
              <w:ind w:firstLine="105" w:firstLineChars="50"/>
              <w:jc w:val="center"/>
              <w:rPr>
                <w:rFonts w:hint="eastAsia" w:ascii="宋体" w:hAnsi="宋体" w:eastAsia="宋体" w:cs="宋体"/>
                <w:color w:val="auto"/>
                <w:szCs w:val="21"/>
              </w:rPr>
            </w:pPr>
          </w:p>
        </w:tc>
      </w:tr>
      <w:tr w14:paraId="5D2EB9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5395B88">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0D686F2D">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209F9A24">
            <w:pPr>
              <w:topLinePunct/>
              <w:spacing w:line="440" w:lineRule="exact"/>
              <w:ind w:firstLine="105" w:firstLineChars="50"/>
              <w:jc w:val="center"/>
              <w:rPr>
                <w:rFonts w:hint="eastAsia" w:ascii="宋体" w:hAnsi="宋体" w:eastAsia="宋体" w:cs="宋体"/>
                <w:color w:val="auto"/>
                <w:szCs w:val="21"/>
              </w:rPr>
            </w:pPr>
          </w:p>
        </w:tc>
      </w:tr>
      <w:tr w14:paraId="5EB5F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D411D0C">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97697D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72830AF">
            <w:pPr>
              <w:topLinePunct/>
              <w:spacing w:line="440" w:lineRule="exact"/>
              <w:ind w:firstLine="105" w:firstLineChars="50"/>
              <w:jc w:val="center"/>
              <w:rPr>
                <w:rFonts w:hint="eastAsia" w:ascii="宋体" w:hAnsi="宋体" w:eastAsia="宋体" w:cs="宋体"/>
                <w:color w:val="auto"/>
                <w:szCs w:val="21"/>
              </w:rPr>
            </w:pPr>
          </w:p>
        </w:tc>
      </w:tr>
      <w:tr w14:paraId="7A35FC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4B40FCA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679DAD3">
            <w:pPr>
              <w:topLinePunct/>
              <w:spacing w:line="440" w:lineRule="exact"/>
              <w:jc w:val="center"/>
              <w:rPr>
                <w:rFonts w:hint="eastAsia" w:ascii="宋体" w:hAnsi="宋体" w:eastAsia="宋体" w:cs="宋体"/>
                <w:color w:val="auto"/>
                <w:szCs w:val="21"/>
              </w:rPr>
            </w:pPr>
          </w:p>
        </w:tc>
      </w:tr>
      <w:tr w14:paraId="6446D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7C39657B">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2E8E834">
            <w:pPr>
              <w:topLinePunct/>
              <w:spacing w:line="440" w:lineRule="exact"/>
              <w:jc w:val="center"/>
              <w:rPr>
                <w:rFonts w:hint="eastAsia" w:ascii="宋体" w:hAnsi="宋体" w:eastAsia="宋体" w:cs="宋体"/>
                <w:color w:val="auto"/>
                <w:szCs w:val="21"/>
              </w:rPr>
            </w:pPr>
          </w:p>
        </w:tc>
      </w:tr>
      <w:tr w14:paraId="03598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3DE4EE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679FE6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D55240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2DE53E6">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有效期</w:t>
            </w:r>
          </w:p>
        </w:tc>
      </w:tr>
      <w:tr w14:paraId="24268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6B0D73E">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B022AE3">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26332A35">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2FB4650">
            <w:pPr>
              <w:topLinePunct/>
              <w:spacing w:line="440" w:lineRule="exact"/>
              <w:jc w:val="center"/>
              <w:rPr>
                <w:rFonts w:hint="eastAsia" w:ascii="宋体" w:hAnsi="宋体" w:eastAsia="宋体" w:cs="宋体"/>
                <w:color w:val="auto"/>
                <w:szCs w:val="21"/>
              </w:rPr>
            </w:pPr>
          </w:p>
        </w:tc>
      </w:tr>
      <w:tr w14:paraId="54408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D23A6B4">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582008F">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86AA736">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1A5C218">
            <w:pPr>
              <w:topLinePunct/>
              <w:spacing w:line="440" w:lineRule="exact"/>
              <w:jc w:val="center"/>
              <w:rPr>
                <w:rFonts w:hint="eastAsia" w:ascii="宋体" w:hAnsi="宋体" w:eastAsia="宋体" w:cs="宋体"/>
                <w:color w:val="auto"/>
                <w:szCs w:val="21"/>
              </w:rPr>
            </w:pPr>
          </w:p>
        </w:tc>
      </w:tr>
      <w:tr w14:paraId="5E90B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277CC8F">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072F182">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32366D9">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61CB28F">
            <w:pPr>
              <w:topLinePunct/>
              <w:spacing w:line="440" w:lineRule="exact"/>
              <w:jc w:val="center"/>
              <w:rPr>
                <w:rFonts w:hint="eastAsia" w:ascii="宋体" w:hAnsi="宋体" w:eastAsia="宋体" w:cs="宋体"/>
                <w:color w:val="auto"/>
                <w:szCs w:val="21"/>
              </w:rPr>
            </w:pPr>
          </w:p>
        </w:tc>
      </w:tr>
      <w:tr w14:paraId="7D64A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0F9ACF7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437A71D1">
            <w:pPr>
              <w:topLinePunct/>
              <w:spacing w:line="440" w:lineRule="exact"/>
              <w:rPr>
                <w:rFonts w:hint="eastAsia" w:ascii="宋体" w:hAnsi="宋体" w:eastAsia="宋体" w:cs="宋体"/>
                <w:color w:val="auto"/>
                <w:szCs w:val="21"/>
              </w:rPr>
            </w:pPr>
            <w:r>
              <w:rPr>
                <w:rFonts w:hint="eastAsia" w:ascii="宋体" w:hAnsi="宋体" w:eastAsia="宋体" w:cs="宋体"/>
                <w:color w:val="auto"/>
                <w:szCs w:val="21"/>
              </w:rPr>
              <w:t>附《营业执照》（副本）复印件</w:t>
            </w:r>
          </w:p>
        </w:tc>
      </w:tr>
    </w:tbl>
    <w:p w14:paraId="6312F25A">
      <w:pPr>
        <w:adjustRightInd w:val="0"/>
        <w:snapToGrid w:val="0"/>
        <w:spacing w:line="60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39" w:name="三、评审标准相关内容"/>
    </w:p>
    <w:p w14:paraId="3D7A537D">
      <w:pPr>
        <w:pStyle w:val="3"/>
        <w:bidi w:val="0"/>
        <w:rPr>
          <w:rFonts w:hint="eastAsia"/>
        </w:rPr>
      </w:pPr>
      <w:r>
        <w:rPr>
          <w:rFonts w:hint="eastAsia"/>
        </w:rPr>
        <w:t>三、与评审标准相关内容</w:t>
      </w:r>
    </w:p>
    <w:p w14:paraId="0BFF0D5C">
      <w:pPr>
        <w:pStyle w:val="11"/>
        <w:rPr>
          <w:rFonts w:hint="eastAsia" w:ascii="宋体" w:hAnsi="宋体" w:eastAsia="宋体" w:cs="宋体"/>
          <w:color w:val="auto"/>
          <w:sz w:val="28"/>
          <w:szCs w:val="28"/>
        </w:rPr>
      </w:pPr>
    </w:p>
    <w:bookmarkEnd w:id="39"/>
    <w:p w14:paraId="3CF5D138">
      <w:pPr>
        <w:widowControl/>
        <w:numPr>
          <w:ilvl w:val="0"/>
          <w:numId w:val="2"/>
        </w:numPr>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按《</w:t>
      </w:r>
      <w:r>
        <w:rPr>
          <w:rFonts w:hint="eastAsia" w:ascii="宋体" w:hAnsi="宋体" w:eastAsia="宋体" w:cs="宋体"/>
          <w:color w:val="auto"/>
          <w:kern w:val="0"/>
          <w:sz w:val="28"/>
          <w:szCs w:val="28"/>
        </w:rPr>
        <w:t>公开竞争性遴选政策性农业保险承保机构评审标准（省级）</w:t>
      </w:r>
      <w:r>
        <w:rPr>
          <w:rFonts w:hint="eastAsia" w:ascii="宋体" w:hAnsi="宋体" w:eastAsia="宋体" w:cs="宋体"/>
          <w:color w:val="auto"/>
          <w:sz w:val="28"/>
          <w:szCs w:val="28"/>
        </w:rPr>
        <w:t>》和《</w:t>
      </w:r>
      <w:r>
        <w:rPr>
          <w:rFonts w:hint="eastAsia" w:ascii="宋体" w:hAnsi="宋体" w:eastAsia="宋体" w:cs="宋体"/>
          <w:color w:val="auto"/>
          <w:kern w:val="0"/>
          <w:sz w:val="28"/>
          <w:szCs w:val="28"/>
        </w:rPr>
        <w:t>公开竞争性遴选政策性农业保险承保机构评审标准</w:t>
      </w:r>
      <w:r>
        <w:rPr>
          <w:rFonts w:hint="eastAsia" w:ascii="宋体" w:hAnsi="宋体" w:eastAsia="宋体" w:cs="宋体"/>
          <w:color w:val="auto"/>
          <w:sz w:val="28"/>
          <w:szCs w:val="28"/>
        </w:rPr>
        <w:t>（县级）》中的款项逐项列表列明，凡评分说明中要求提供的证明文件、支撑数据，须在项中相应栏目中出具，并按要求盖章、签字。</w:t>
      </w:r>
    </w:p>
    <w:p w14:paraId="272FFB3E">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2、其他指标项根据评审标准列明。</w:t>
      </w:r>
    </w:p>
    <w:p w14:paraId="4D9A0E54">
      <w:pPr>
        <w:adjustRightInd w:val="0"/>
        <w:snapToGrid w:val="0"/>
        <w:spacing w:line="60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Start w:id="40" w:name="四、申请人认为需要提供的其它资料（包括长望浏宁）"/>
    </w:p>
    <w:p w14:paraId="127B9E66">
      <w:pPr>
        <w:pStyle w:val="3"/>
        <w:bidi w:val="0"/>
        <w:rPr>
          <w:rFonts w:hint="eastAsia"/>
        </w:rPr>
      </w:pPr>
      <w:r>
        <w:rPr>
          <w:rFonts w:hint="eastAsia"/>
        </w:rPr>
        <w:t>四、申请人认为需要提供的其它资料</w:t>
      </w:r>
    </w:p>
    <w:bookmarkEnd w:id="40"/>
    <w:p w14:paraId="5C370AA8">
      <w:pPr>
        <w:pStyle w:val="11"/>
        <w:spacing w:line="600" w:lineRule="exact"/>
        <w:rPr>
          <w:rFonts w:hint="eastAsia" w:ascii="宋体" w:hAnsi="宋体" w:eastAsia="宋体" w:cs="宋体"/>
          <w:color w:val="auto"/>
          <w:sz w:val="28"/>
          <w:szCs w:val="28"/>
        </w:rPr>
      </w:pPr>
      <w:r>
        <w:rPr>
          <w:rFonts w:hint="eastAsia" w:ascii="宋体" w:hAnsi="宋体" w:eastAsia="宋体" w:cs="宋体"/>
          <w:b/>
          <w:bCs/>
          <w:color w:val="auto"/>
          <w:sz w:val="28"/>
          <w:szCs w:val="28"/>
        </w:rPr>
        <w:t xml:space="preserve">  </w:t>
      </w:r>
    </w:p>
    <w:p w14:paraId="3DBB5DBF">
      <w:pPr>
        <w:pStyle w:val="11"/>
        <w:spacing w:line="600" w:lineRule="exact"/>
        <w:ind w:left="0" w:leftChars="0" w:firstLine="560" w:firstLineChars="200"/>
        <w:rPr>
          <w:rFonts w:hint="eastAsia" w:ascii="宋体" w:hAnsi="宋体" w:eastAsia="宋体" w:cs="宋体"/>
          <w:color w:val="auto"/>
          <w:sz w:val="28"/>
          <w:szCs w:val="28"/>
        </w:rPr>
      </w:pPr>
    </w:p>
    <w:p w14:paraId="37DB0F1B">
      <w:pPr>
        <w:pStyle w:val="11"/>
        <w:spacing w:line="600" w:lineRule="exact"/>
        <w:ind w:left="0" w:leftChars="0" w:firstLine="560" w:firstLineChars="200"/>
        <w:rPr>
          <w:rFonts w:hint="eastAsia" w:ascii="宋体" w:hAnsi="宋体" w:eastAsia="宋体" w:cs="宋体"/>
          <w:color w:val="auto"/>
          <w:sz w:val="28"/>
          <w:szCs w:val="28"/>
        </w:rPr>
      </w:pPr>
    </w:p>
    <w:p w14:paraId="30EB1EF7">
      <w:pPr>
        <w:pStyle w:val="11"/>
        <w:spacing w:line="600" w:lineRule="exact"/>
        <w:ind w:left="0" w:leftChars="0" w:firstLine="560" w:firstLineChars="200"/>
        <w:rPr>
          <w:rFonts w:hint="eastAsia" w:ascii="宋体" w:hAnsi="宋体" w:eastAsia="宋体" w:cs="宋体"/>
          <w:color w:val="auto"/>
          <w:sz w:val="28"/>
          <w:szCs w:val="28"/>
        </w:rPr>
      </w:pPr>
    </w:p>
    <w:p w14:paraId="2AF0A299">
      <w:pPr>
        <w:pStyle w:val="11"/>
        <w:spacing w:line="600" w:lineRule="exact"/>
        <w:ind w:left="0" w:leftChars="0" w:firstLine="560" w:firstLineChars="200"/>
        <w:rPr>
          <w:rFonts w:hint="eastAsia" w:ascii="宋体" w:hAnsi="宋体" w:eastAsia="宋体" w:cs="宋体"/>
          <w:color w:val="auto"/>
          <w:sz w:val="28"/>
          <w:szCs w:val="28"/>
        </w:rPr>
      </w:pPr>
    </w:p>
    <w:p w14:paraId="69C8038A">
      <w:pPr>
        <w:pStyle w:val="11"/>
        <w:spacing w:line="600" w:lineRule="exact"/>
        <w:ind w:left="0" w:leftChars="0" w:firstLine="560" w:firstLineChars="200"/>
        <w:rPr>
          <w:rFonts w:hint="eastAsia" w:ascii="宋体" w:hAnsi="宋体" w:eastAsia="宋体" w:cs="宋体"/>
          <w:color w:val="auto"/>
          <w:sz w:val="28"/>
          <w:szCs w:val="28"/>
        </w:rPr>
      </w:pPr>
    </w:p>
    <w:p w14:paraId="7073C50E">
      <w:pPr>
        <w:pStyle w:val="11"/>
        <w:spacing w:line="600" w:lineRule="exact"/>
        <w:ind w:left="0" w:leftChars="0" w:firstLine="560" w:firstLineChars="200"/>
        <w:rPr>
          <w:rFonts w:hint="eastAsia" w:ascii="宋体" w:hAnsi="宋体" w:eastAsia="宋体" w:cs="宋体"/>
          <w:color w:val="auto"/>
          <w:sz w:val="28"/>
          <w:szCs w:val="28"/>
        </w:rPr>
      </w:pPr>
    </w:p>
    <w:p w14:paraId="184F5F92">
      <w:pPr>
        <w:pStyle w:val="11"/>
        <w:spacing w:line="600" w:lineRule="exact"/>
        <w:ind w:left="0" w:leftChars="0" w:firstLine="560" w:firstLineChars="200"/>
        <w:rPr>
          <w:rFonts w:hint="eastAsia" w:ascii="宋体" w:hAnsi="宋体" w:eastAsia="宋体" w:cs="宋体"/>
          <w:color w:val="auto"/>
          <w:sz w:val="28"/>
          <w:szCs w:val="28"/>
        </w:rPr>
      </w:pPr>
    </w:p>
    <w:p w14:paraId="705E1DD5">
      <w:pPr>
        <w:pStyle w:val="11"/>
        <w:spacing w:line="600" w:lineRule="exact"/>
        <w:ind w:left="0" w:leftChars="0" w:firstLine="560" w:firstLineChars="200"/>
        <w:rPr>
          <w:rFonts w:hint="eastAsia" w:ascii="宋体" w:hAnsi="宋体" w:eastAsia="宋体" w:cs="宋体"/>
          <w:color w:val="auto"/>
          <w:sz w:val="28"/>
          <w:szCs w:val="28"/>
        </w:rPr>
      </w:pPr>
    </w:p>
    <w:p w14:paraId="28C840AB">
      <w:pPr>
        <w:pStyle w:val="11"/>
        <w:spacing w:line="600" w:lineRule="exact"/>
        <w:ind w:left="0" w:leftChars="0" w:firstLine="560" w:firstLineChars="200"/>
        <w:rPr>
          <w:rFonts w:hint="eastAsia" w:ascii="宋体" w:hAnsi="宋体" w:eastAsia="宋体" w:cs="宋体"/>
          <w:color w:val="auto"/>
          <w:sz w:val="28"/>
          <w:szCs w:val="28"/>
        </w:rPr>
      </w:pPr>
    </w:p>
    <w:p w14:paraId="4B4B2B1F">
      <w:pPr>
        <w:pStyle w:val="11"/>
        <w:spacing w:line="600" w:lineRule="exact"/>
        <w:ind w:left="0" w:leftChars="0" w:firstLine="560" w:firstLineChars="200"/>
        <w:rPr>
          <w:rFonts w:hint="eastAsia" w:ascii="宋体" w:hAnsi="宋体" w:eastAsia="宋体" w:cs="宋体"/>
          <w:color w:val="auto"/>
          <w:sz w:val="28"/>
          <w:szCs w:val="28"/>
        </w:rPr>
      </w:pPr>
    </w:p>
    <w:p w14:paraId="7D59523F">
      <w:pPr>
        <w:pStyle w:val="11"/>
        <w:spacing w:line="600" w:lineRule="exact"/>
        <w:ind w:left="0" w:leftChars="0" w:firstLine="560" w:firstLineChars="200"/>
        <w:rPr>
          <w:rFonts w:hint="eastAsia" w:ascii="宋体" w:hAnsi="宋体" w:eastAsia="宋体" w:cs="宋体"/>
          <w:color w:val="auto"/>
          <w:sz w:val="28"/>
          <w:szCs w:val="28"/>
        </w:rPr>
      </w:pPr>
    </w:p>
    <w:p w14:paraId="0FE6DBD4">
      <w:pPr>
        <w:pStyle w:val="11"/>
        <w:spacing w:line="600" w:lineRule="exact"/>
        <w:ind w:left="0" w:leftChars="0" w:firstLine="560" w:firstLineChars="200"/>
        <w:rPr>
          <w:rFonts w:hint="eastAsia" w:ascii="宋体" w:hAnsi="宋体" w:eastAsia="宋体" w:cs="宋体"/>
          <w:color w:val="auto"/>
          <w:sz w:val="28"/>
          <w:szCs w:val="28"/>
        </w:rPr>
      </w:pPr>
    </w:p>
    <w:p w14:paraId="531B1541">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申请人（盖章）：</w:t>
      </w:r>
    </w:p>
    <w:p w14:paraId="4DD35B49">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申请人公司负责人或委托代理人（签字）：</w:t>
      </w:r>
    </w:p>
    <w:p w14:paraId="6F20E0A6">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498EB107">
      <w:pPr>
        <w:pStyle w:val="11"/>
        <w:spacing w:line="600" w:lineRule="exact"/>
        <w:ind w:left="0" w:leftChars="0" w:firstLine="560" w:firstLineChars="200"/>
        <w:rPr>
          <w:rFonts w:hint="eastAsia" w:ascii="宋体" w:hAnsi="宋体" w:eastAsia="宋体" w:cs="宋体"/>
          <w:sz w:val="28"/>
          <w:szCs w:val="28"/>
        </w:rPr>
      </w:pPr>
    </w:p>
    <w:p w14:paraId="24B997B9">
      <w:pPr>
        <w:pStyle w:val="11"/>
        <w:spacing w:line="600" w:lineRule="exact"/>
        <w:ind w:left="0" w:leftChars="0" w:firstLine="600" w:firstLineChars="200"/>
        <w:outlineLvl w:val="2"/>
        <w:rPr>
          <w:rFonts w:hint="eastAsia" w:ascii="宋体" w:hAnsi="宋体" w:eastAsia="宋体" w:cs="宋体"/>
          <w:sz w:val="30"/>
          <w:szCs w:val="30"/>
        </w:rPr>
      </w:pPr>
    </w:p>
    <w:sectPr>
      <w:pgSz w:w="11906" w:h="16838"/>
      <w:pgMar w:top="1701" w:right="1587" w:bottom="1701" w:left="1587" w:header="851" w:footer="141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5A10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92FC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592FC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3BEB"/>
    <w:multiLevelType w:val="singleLevel"/>
    <w:tmpl w:val="8CA03BEB"/>
    <w:lvl w:ilvl="0" w:tentative="0">
      <w:start w:val="1"/>
      <w:numFmt w:val="decimal"/>
      <w:suff w:val="nothing"/>
      <w:lvlText w:val="%1、"/>
      <w:lvlJc w:val="left"/>
    </w:lvl>
  </w:abstractNum>
  <w:abstractNum w:abstractNumId="1">
    <w:nsid w:val="3EF331C6"/>
    <w:multiLevelType w:val="singleLevel"/>
    <w:tmpl w:val="3EF331C6"/>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WNlZDI2ZDdhNTkwOWFlNDAxODg4MGIzYTNkYzcifQ=="/>
  </w:docVars>
  <w:rsids>
    <w:rsidRoot w:val="75695AB4"/>
    <w:rsid w:val="000162E5"/>
    <w:rsid w:val="00061321"/>
    <w:rsid w:val="000A7B8B"/>
    <w:rsid w:val="001E18B2"/>
    <w:rsid w:val="002A7316"/>
    <w:rsid w:val="002B2E28"/>
    <w:rsid w:val="002D5BA8"/>
    <w:rsid w:val="002E254D"/>
    <w:rsid w:val="00355B56"/>
    <w:rsid w:val="00482B40"/>
    <w:rsid w:val="004A1FEE"/>
    <w:rsid w:val="005204B1"/>
    <w:rsid w:val="00574611"/>
    <w:rsid w:val="007A218D"/>
    <w:rsid w:val="007A6176"/>
    <w:rsid w:val="007F08D2"/>
    <w:rsid w:val="009967F1"/>
    <w:rsid w:val="009B5BD5"/>
    <w:rsid w:val="00A446A2"/>
    <w:rsid w:val="00A44D8B"/>
    <w:rsid w:val="00AC10C2"/>
    <w:rsid w:val="00B52F54"/>
    <w:rsid w:val="00C1578E"/>
    <w:rsid w:val="00C21683"/>
    <w:rsid w:val="00C73976"/>
    <w:rsid w:val="00CB6DD2"/>
    <w:rsid w:val="00CC2DEE"/>
    <w:rsid w:val="00CE340E"/>
    <w:rsid w:val="00D4326F"/>
    <w:rsid w:val="00D84AE7"/>
    <w:rsid w:val="00DF3432"/>
    <w:rsid w:val="00DF677C"/>
    <w:rsid w:val="00E745FA"/>
    <w:rsid w:val="00E74714"/>
    <w:rsid w:val="00E90264"/>
    <w:rsid w:val="00EC702E"/>
    <w:rsid w:val="00EE2539"/>
    <w:rsid w:val="00EF2482"/>
    <w:rsid w:val="00FD2E43"/>
    <w:rsid w:val="00FD79B2"/>
    <w:rsid w:val="014C21BA"/>
    <w:rsid w:val="01AF3954"/>
    <w:rsid w:val="02165FAF"/>
    <w:rsid w:val="02181973"/>
    <w:rsid w:val="024540E0"/>
    <w:rsid w:val="03011BBD"/>
    <w:rsid w:val="031800B1"/>
    <w:rsid w:val="03764359"/>
    <w:rsid w:val="04590FC2"/>
    <w:rsid w:val="048225C7"/>
    <w:rsid w:val="04D72BD5"/>
    <w:rsid w:val="04FF212C"/>
    <w:rsid w:val="054E09BE"/>
    <w:rsid w:val="05A474B8"/>
    <w:rsid w:val="05D13AC9"/>
    <w:rsid w:val="05FA7C0E"/>
    <w:rsid w:val="064E40B2"/>
    <w:rsid w:val="066F6E3E"/>
    <w:rsid w:val="068C79F0"/>
    <w:rsid w:val="06C947A0"/>
    <w:rsid w:val="06D0266B"/>
    <w:rsid w:val="0709015E"/>
    <w:rsid w:val="07707311"/>
    <w:rsid w:val="07FF3AA7"/>
    <w:rsid w:val="081C07E2"/>
    <w:rsid w:val="083245C7"/>
    <w:rsid w:val="089332B7"/>
    <w:rsid w:val="089C2780"/>
    <w:rsid w:val="08AD7E6C"/>
    <w:rsid w:val="08B60D54"/>
    <w:rsid w:val="08FF0793"/>
    <w:rsid w:val="09F0036D"/>
    <w:rsid w:val="0A157CFC"/>
    <w:rsid w:val="0A1F0711"/>
    <w:rsid w:val="0A21743C"/>
    <w:rsid w:val="0AA179CE"/>
    <w:rsid w:val="0ADB1EFC"/>
    <w:rsid w:val="0AFD0EBC"/>
    <w:rsid w:val="0AFD5233"/>
    <w:rsid w:val="0B3831D3"/>
    <w:rsid w:val="0B6B1B59"/>
    <w:rsid w:val="0B963088"/>
    <w:rsid w:val="0C381612"/>
    <w:rsid w:val="0C474AE5"/>
    <w:rsid w:val="0C646532"/>
    <w:rsid w:val="0C7D0506"/>
    <w:rsid w:val="0CCA3020"/>
    <w:rsid w:val="0D026C5D"/>
    <w:rsid w:val="0DA55445"/>
    <w:rsid w:val="0DA6333C"/>
    <w:rsid w:val="0E2055ED"/>
    <w:rsid w:val="0E356BBF"/>
    <w:rsid w:val="0E5A627C"/>
    <w:rsid w:val="0EB379F3"/>
    <w:rsid w:val="0EB45D35"/>
    <w:rsid w:val="0EFF3C89"/>
    <w:rsid w:val="0F560CF6"/>
    <w:rsid w:val="0F9B6042"/>
    <w:rsid w:val="100F6948"/>
    <w:rsid w:val="10163376"/>
    <w:rsid w:val="10C1624C"/>
    <w:rsid w:val="10CA03BA"/>
    <w:rsid w:val="12086AC4"/>
    <w:rsid w:val="121C256F"/>
    <w:rsid w:val="13001549"/>
    <w:rsid w:val="1331714B"/>
    <w:rsid w:val="13B32A60"/>
    <w:rsid w:val="13CE137F"/>
    <w:rsid w:val="144578B8"/>
    <w:rsid w:val="14860A3B"/>
    <w:rsid w:val="148B578A"/>
    <w:rsid w:val="15190FE8"/>
    <w:rsid w:val="151B08BC"/>
    <w:rsid w:val="1538458B"/>
    <w:rsid w:val="15714980"/>
    <w:rsid w:val="158943B1"/>
    <w:rsid w:val="159C2316"/>
    <w:rsid w:val="15AF6F39"/>
    <w:rsid w:val="15BE749A"/>
    <w:rsid w:val="15C26F8A"/>
    <w:rsid w:val="15CC5223"/>
    <w:rsid w:val="15CD4F7D"/>
    <w:rsid w:val="15D237A4"/>
    <w:rsid w:val="165B6A56"/>
    <w:rsid w:val="16B703D3"/>
    <w:rsid w:val="170F61FF"/>
    <w:rsid w:val="1720040C"/>
    <w:rsid w:val="1730521F"/>
    <w:rsid w:val="174F70BF"/>
    <w:rsid w:val="17562080"/>
    <w:rsid w:val="17712A16"/>
    <w:rsid w:val="1787767E"/>
    <w:rsid w:val="178A2F73"/>
    <w:rsid w:val="17A17079"/>
    <w:rsid w:val="17A2797E"/>
    <w:rsid w:val="17D3547E"/>
    <w:rsid w:val="180715CC"/>
    <w:rsid w:val="1821268E"/>
    <w:rsid w:val="1864257A"/>
    <w:rsid w:val="18DA758B"/>
    <w:rsid w:val="1910708B"/>
    <w:rsid w:val="19397563"/>
    <w:rsid w:val="194D231D"/>
    <w:rsid w:val="1A002777"/>
    <w:rsid w:val="1A1B4EBB"/>
    <w:rsid w:val="1A2F6BB8"/>
    <w:rsid w:val="1A651CED"/>
    <w:rsid w:val="1A66082C"/>
    <w:rsid w:val="1B3A4D29"/>
    <w:rsid w:val="1B79398C"/>
    <w:rsid w:val="1B7A3E63"/>
    <w:rsid w:val="1B914D66"/>
    <w:rsid w:val="1BE0460E"/>
    <w:rsid w:val="1C7859F2"/>
    <w:rsid w:val="1CA92C52"/>
    <w:rsid w:val="1D2D7103"/>
    <w:rsid w:val="1E036392"/>
    <w:rsid w:val="1E142693"/>
    <w:rsid w:val="1E25455A"/>
    <w:rsid w:val="1E372A92"/>
    <w:rsid w:val="1E396257"/>
    <w:rsid w:val="1E7C5AB1"/>
    <w:rsid w:val="1F212F73"/>
    <w:rsid w:val="1F2B3EFC"/>
    <w:rsid w:val="1F595DC8"/>
    <w:rsid w:val="1FE30DAA"/>
    <w:rsid w:val="20004ABB"/>
    <w:rsid w:val="201721F5"/>
    <w:rsid w:val="20246AD8"/>
    <w:rsid w:val="20937EA1"/>
    <w:rsid w:val="20C63D0E"/>
    <w:rsid w:val="21231DD3"/>
    <w:rsid w:val="21FC002D"/>
    <w:rsid w:val="2208666C"/>
    <w:rsid w:val="223171B2"/>
    <w:rsid w:val="223905D4"/>
    <w:rsid w:val="22571F8F"/>
    <w:rsid w:val="22E93214"/>
    <w:rsid w:val="230A5A08"/>
    <w:rsid w:val="2322550C"/>
    <w:rsid w:val="23554BB3"/>
    <w:rsid w:val="23566F63"/>
    <w:rsid w:val="23C13E08"/>
    <w:rsid w:val="23F67449"/>
    <w:rsid w:val="24CF38DB"/>
    <w:rsid w:val="256A70B8"/>
    <w:rsid w:val="25ED0935"/>
    <w:rsid w:val="26403BC8"/>
    <w:rsid w:val="26461F07"/>
    <w:rsid w:val="26552377"/>
    <w:rsid w:val="26D1271D"/>
    <w:rsid w:val="27522561"/>
    <w:rsid w:val="27542FE7"/>
    <w:rsid w:val="27DF5779"/>
    <w:rsid w:val="283E16C3"/>
    <w:rsid w:val="288566F6"/>
    <w:rsid w:val="28C11323"/>
    <w:rsid w:val="28D42480"/>
    <w:rsid w:val="29791BFE"/>
    <w:rsid w:val="29987850"/>
    <w:rsid w:val="29A76E8D"/>
    <w:rsid w:val="2A0F44DF"/>
    <w:rsid w:val="2A2967B0"/>
    <w:rsid w:val="2A677CA8"/>
    <w:rsid w:val="2AC375D4"/>
    <w:rsid w:val="2AF754D0"/>
    <w:rsid w:val="2AFC2AE6"/>
    <w:rsid w:val="2AFC6642"/>
    <w:rsid w:val="2B603075"/>
    <w:rsid w:val="2C3F70C4"/>
    <w:rsid w:val="2C5B292D"/>
    <w:rsid w:val="2CBC19E4"/>
    <w:rsid w:val="2D067C4C"/>
    <w:rsid w:val="2D1660E1"/>
    <w:rsid w:val="2D7D7F0E"/>
    <w:rsid w:val="2D850B71"/>
    <w:rsid w:val="2E2F7128"/>
    <w:rsid w:val="2E8C3C33"/>
    <w:rsid w:val="2EB05A7F"/>
    <w:rsid w:val="2EC1207D"/>
    <w:rsid w:val="2EC902FF"/>
    <w:rsid w:val="2ED718A0"/>
    <w:rsid w:val="2EF4531E"/>
    <w:rsid w:val="2F4E60FD"/>
    <w:rsid w:val="2F8512FC"/>
    <w:rsid w:val="303625F7"/>
    <w:rsid w:val="307A4FFC"/>
    <w:rsid w:val="30801AC4"/>
    <w:rsid w:val="308710A4"/>
    <w:rsid w:val="30DA7426"/>
    <w:rsid w:val="319B4849"/>
    <w:rsid w:val="31A312F0"/>
    <w:rsid w:val="31B065DB"/>
    <w:rsid w:val="31C76A1A"/>
    <w:rsid w:val="31E40C7D"/>
    <w:rsid w:val="320329AC"/>
    <w:rsid w:val="32747406"/>
    <w:rsid w:val="32771731"/>
    <w:rsid w:val="32D85BE7"/>
    <w:rsid w:val="3300608A"/>
    <w:rsid w:val="330B7D6A"/>
    <w:rsid w:val="331F3816"/>
    <w:rsid w:val="33552D94"/>
    <w:rsid w:val="33697AFA"/>
    <w:rsid w:val="33772B5B"/>
    <w:rsid w:val="33F158EE"/>
    <w:rsid w:val="34122B9B"/>
    <w:rsid w:val="341978A8"/>
    <w:rsid w:val="341B222F"/>
    <w:rsid w:val="3479760B"/>
    <w:rsid w:val="348222AE"/>
    <w:rsid w:val="34AE4E51"/>
    <w:rsid w:val="351D5B33"/>
    <w:rsid w:val="35893A8D"/>
    <w:rsid w:val="359D741F"/>
    <w:rsid w:val="369B1405"/>
    <w:rsid w:val="36F741EF"/>
    <w:rsid w:val="36FD5C1C"/>
    <w:rsid w:val="37B502A5"/>
    <w:rsid w:val="384B4B7F"/>
    <w:rsid w:val="38E261DE"/>
    <w:rsid w:val="38EB2F2F"/>
    <w:rsid w:val="38FB2756"/>
    <w:rsid w:val="39D709A6"/>
    <w:rsid w:val="3A2408DC"/>
    <w:rsid w:val="3A3277AF"/>
    <w:rsid w:val="3A53002F"/>
    <w:rsid w:val="3AC3717D"/>
    <w:rsid w:val="3B7837BF"/>
    <w:rsid w:val="3C6978B0"/>
    <w:rsid w:val="3D0C4E0B"/>
    <w:rsid w:val="3D4D1035"/>
    <w:rsid w:val="3D536596"/>
    <w:rsid w:val="3E047890"/>
    <w:rsid w:val="3EBE3EE3"/>
    <w:rsid w:val="3EE720FA"/>
    <w:rsid w:val="3EFB0C93"/>
    <w:rsid w:val="3F34410E"/>
    <w:rsid w:val="40354679"/>
    <w:rsid w:val="403D52DB"/>
    <w:rsid w:val="40FE2CBD"/>
    <w:rsid w:val="41210759"/>
    <w:rsid w:val="41453A1C"/>
    <w:rsid w:val="418A37E9"/>
    <w:rsid w:val="41CA5978"/>
    <w:rsid w:val="41DD341D"/>
    <w:rsid w:val="42114C71"/>
    <w:rsid w:val="42185F7C"/>
    <w:rsid w:val="42353BD0"/>
    <w:rsid w:val="424C731E"/>
    <w:rsid w:val="42A10AC8"/>
    <w:rsid w:val="43686B13"/>
    <w:rsid w:val="437737FF"/>
    <w:rsid w:val="438600CE"/>
    <w:rsid w:val="438D69B0"/>
    <w:rsid w:val="43AF4742"/>
    <w:rsid w:val="43DE6FA3"/>
    <w:rsid w:val="43F16B09"/>
    <w:rsid w:val="448E6105"/>
    <w:rsid w:val="44F763A1"/>
    <w:rsid w:val="44FD403B"/>
    <w:rsid w:val="451801AE"/>
    <w:rsid w:val="451C7BB5"/>
    <w:rsid w:val="45554B03"/>
    <w:rsid w:val="45A54AE0"/>
    <w:rsid w:val="45E85E4D"/>
    <w:rsid w:val="45FD5611"/>
    <w:rsid w:val="46AA2F9F"/>
    <w:rsid w:val="46C40504"/>
    <w:rsid w:val="470E1780"/>
    <w:rsid w:val="47217705"/>
    <w:rsid w:val="472B2331"/>
    <w:rsid w:val="47566698"/>
    <w:rsid w:val="47882A6A"/>
    <w:rsid w:val="47AB3FD8"/>
    <w:rsid w:val="47DB5B06"/>
    <w:rsid w:val="48162FF4"/>
    <w:rsid w:val="48D80297"/>
    <w:rsid w:val="497B7519"/>
    <w:rsid w:val="497C0C22"/>
    <w:rsid w:val="498F4DFA"/>
    <w:rsid w:val="49A873C0"/>
    <w:rsid w:val="4A146E07"/>
    <w:rsid w:val="4A1C5B14"/>
    <w:rsid w:val="4A4C2CEB"/>
    <w:rsid w:val="4A9457F1"/>
    <w:rsid w:val="4AD04226"/>
    <w:rsid w:val="4AE253FD"/>
    <w:rsid w:val="4AEA4767"/>
    <w:rsid w:val="4BEA27BB"/>
    <w:rsid w:val="4C165835"/>
    <w:rsid w:val="4C3457E4"/>
    <w:rsid w:val="4C4C5224"/>
    <w:rsid w:val="4CB01046"/>
    <w:rsid w:val="4CDB2104"/>
    <w:rsid w:val="4D0C140B"/>
    <w:rsid w:val="4D1E5130"/>
    <w:rsid w:val="4D610614"/>
    <w:rsid w:val="4D763148"/>
    <w:rsid w:val="4DA70238"/>
    <w:rsid w:val="4DDE00FE"/>
    <w:rsid w:val="4DF6495C"/>
    <w:rsid w:val="4E061402"/>
    <w:rsid w:val="4E127DA7"/>
    <w:rsid w:val="4E2444F5"/>
    <w:rsid w:val="4E2F4656"/>
    <w:rsid w:val="4E9609D8"/>
    <w:rsid w:val="4EC86D05"/>
    <w:rsid w:val="4EC92B5C"/>
    <w:rsid w:val="4F457D08"/>
    <w:rsid w:val="4FB709CD"/>
    <w:rsid w:val="4FD50483"/>
    <w:rsid w:val="4FE97231"/>
    <w:rsid w:val="502D0402"/>
    <w:rsid w:val="509E6BFA"/>
    <w:rsid w:val="50B4575D"/>
    <w:rsid w:val="50B975D8"/>
    <w:rsid w:val="50C05BC4"/>
    <w:rsid w:val="517174DB"/>
    <w:rsid w:val="5174109B"/>
    <w:rsid w:val="517D7C2E"/>
    <w:rsid w:val="51965A03"/>
    <w:rsid w:val="51ED6B61"/>
    <w:rsid w:val="5245080D"/>
    <w:rsid w:val="528648C0"/>
    <w:rsid w:val="53035F10"/>
    <w:rsid w:val="539878FA"/>
    <w:rsid w:val="53A07C03"/>
    <w:rsid w:val="53B814BB"/>
    <w:rsid w:val="54120D34"/>
    <w:rsid w:val="541C6E0A"/>
    <w:rsid w:val="542E4C6D"/>
    <w:rsid w:val="54D84311"/>
    <w:rsid w:val="54ED11B6"/>
    <w:rsid w:val="55110DB9"/>
    <w:rsid w:val="55351E5B"/>
    <w:rsid w:val="557B7617"/>
    <w:rsid w:val="55B84771"/>
    <w:rsid w:val="55F25F84"/>
    <w:rsid w:val="56464A92"/>
    <w:rsid w:val="56B37C4E"/>
    <w:rsid w:val="56D82E44"/>
    <w:rsid w:val="57715BCB"/>
    <w:rsid w:val="57923F19"/>
    <w:rsid w:val="57B343A9"/>
    <w:rsid w:val="57D93ACA"/>
    <w:rsid w:val="580D4685"/>
    <w:rsid w:val="58145ED9"/>
    <w:rsid w:val="582653EF"/>
    <w:rsid w:val="58697DF8"/>
    <w:rsid w:val="58995EDD"/>
    <w:rsid w:val="58A3441E"/>
    <w:rsid w:val="58BA1205"/>
    <w:rsid w:val="58EC7908"/>
    <w:rsid w:val="58F24A5D"/>
    <w:rsid w:val="58F46A27"/>
    <w:rsid w:val="592D018B"/>
    <w:rsid w:val="5934586C"/>
    <w:rsid w:val="597A1164"/>
    <w:rsid w:val="59BD32BD"/>
    <w:rsid w:val="59CC1752"/>
    <w:rsid w:val="5A2B5DD6"/>
    <w:rsid w:val="5A6A0CAD"/>
    <w:rsid w:val="5A9C7111"/>
    <w:rsid w:val="5AB833CF"/>
    <w:rsid w:val="5B435CAE"/>
    <w:rsid w:val="5B5F2152"/>
    <w:rsid w:val="5B771524"/>
    <w:rsid w:val="5BBE7ADC"/>
    <w:rsid w:val="5BF47881"/>
    <w:rsid w:val="5C4C6B7A"/>
    <w:rsid w:val="5C642116"/>
    <w:rsid w:val="5CA442C0"/>
    <w:rsid w:val="5CD1707F"/>
    <w:rsid w:val="5CF74D38"/>
    <w:rsid w:val="5CFA4828"/>
    <w:rsid w:val="5D272F0E"/>
    <w:rsid w:val="5D752101"/>
    <w:rsid w:val="5DF63241"/>
    <w:rsid w:val="5E7C50A1"/>
    <w:rsid w:val="5E8B1BDC"/>
    <w:rsid w:val="5ED74E21"/>
    <w:rsid w:val="5F105C3D"/>
    <w:rsid w:val="5F375171"/>
    <w:rsid w:val="5FA34DEE"/>
    <w:rsid w:val="5FD72BFF"/>
    <w:rsid w:val="5FFA069B"/>
    <w:rsid w:val="6036278C"/>
    <w:rsid w:val="60472D9A"/>
    <w:rsid w:val="604D2EC1"/>
    <w:rsid w:val="606E539C"/>
    <w:rsid w:val="6074044E"/>
    <w:rsid w:val="607E307A"/>
    <w:rsid w:val="60F04CC1"/>
    <w:rsid w:val="60FB2D39"/>
    <w:rsid w:val="61191ECF"/>
    <w:rsid w:val="61841917"/>
    <w:rsid w:val="620D0B5A"/>
    <w:rsid w:val="62127F1E"/>
    <w:rsid w:val="62173786"/>
    <w:rsid w:val="624A590A"/>
    <w:rsid w:val="62927BF1"/>
    <w:rsid w:val="62944C99"/>
    <w:rsid w:val="62F0539E"/>
    <w:rsid w:val="630A3FE9"/>
    <w:rsid w:val="63304B00"/>
    <w:rsid w:val="633D546F"/>
    <w:rsid w:val="63416D0D"/>
    <w:rsid w:val="635F2F97"/>
    <w:rsid w:val="639A7F59"/>
    <w:rsid w:val="639C6FF1"/>
    <w:rsid w:val="63C57DBD"/>
    <w:rsid w:val="63D51407"/>
    <w:rsid w:val="63D618FE"/>
    <w:rsid w:val="640062FE"/>
    <w:rsid w:val="643F0D73"/>
    <w:rsid w:val="64AD03D2"/>
    <w:rsid w:val="64C16C53"/>
    <w:rsid w:val="64F034F8"/>
    <w:rsid w:val="64F41B5D"/>
    <w:rsid w:val="655B398A"/>
    <w:rsid w:val="658D324C"/>
    <w:rsid w:val="65A03C86"/>
    <w:rsid w:val="65B771FC"/>
    <w:rsid w:val="65CD3425"/>
    <w:rsid w:val="6639016F"/>
    <w:rsid w:val="664F7E68"/>
    <w:rsid w:val="671169F6"/>
    <w:rsid w:val="672D39CE"/>
    <w:rsid w:val="67311233"/>
    <w:rsid w:val="67B51A77"/>
    <w:rsid w:val="67CB13DC"/>
    <w:rsid w:val="67E73886"/>
    <w:rsid w:val="67F10FEB"/>
    <w:rsid w:val="68024591"/>
    <w:rsid w:val="685456D4"/>
    <w:rsid w:val="6868749D"/>
    <w:rsid w:val="68692862"/>
    <w:rsid w:val="68742B6E"/>
    <w:rsid w:val="689D6CC8"/>
    <w:rsid w:val="68D44FCC"/>
    <w:rsid w:val="68E32517"/>
    <w:rsid w:val="69270753"/>
    <w:rsid w:val="695157D0"/>
    <w:rsid w:val="697531CB"/>
    <w:rsid w:val="6A8C0D75"/>
    <w:rsid w:val="6A9557B2"/>
    <w:rsid w:val="6AAF6C52"/>
    <w:rsid w:val="6ADD7367"/>
    <w:rsid w:val="6AF9611F"/>
    <w:rsid w:val="6AFF63B3"/>
    <w:rsid w:val="6B3A3BBF"/>
    <w:rsid w:val="6B486EE7"/>
    <w:rsid w:val="6B4D1FC7"/>
    <w:rsid w:val="6B513BDC"/>
    <w:rsid w:val="6BD57512"/>
    <w:rsid w:val="6CC30793"/>
    <w:rsid w:val="6CDA788A"/>
    <w:rsid w:val="6D080616"/>
    <w:rsid w:val="6D3F0494"/>
    <w:rsid w:val="6D51156A"/>
    <w:rsid w:val="6DC22321"/>
    <w:rsid w:val="6DF60F92"/>
    <w:rsid w:val="6E1B015A"/>
    <w:rsid w:val="6E3628AD"/>
    <w:rsid w:val="6EAE0FCF"/>
    <w:rsid w:val="6F5E2385"/>
    <w:rsid w:val="6FE078AE"/>
    <w:rsid w:val="704240C4"/>
    <w:rsid w:val="70623CB1"/>
    <w:rsid w:val="70932B72"/>
    <w:rsid w:val="709A5CAE"/>
    <w:rsid w:val="70C428E7"/>
    <w:rsid w:val="70C607C8"/>
    <w:rsid w:val="710B26DD"/>
    <w:rsid w:val="715E7A1C"/>
    <w:rsid w:val="716360A0"/>
    <w:rsid w:val="717F0F19"/>
    <w:rsid w:val="71A072F4"/>
    <w:rsid w:val="71CA71B1"/>
    <w:rsid w:val="72987FCC"/>
    <w:rsid w:val="72A33E3A"/>
    <w:rsid w:val="72AF6D9A"/>
    <w:rsid w:val="733C30F6"/>
    <w:rsid w:val="736A3C93"/>
    <w:rsid w:val="73726A6F"/>
    <w:rsid w:val="7391146F"/>
    <w:rsid w:val="73A429A0"/>
    <w:rsid w:val="73C05A2C"/>
    <w:rsid w:val="73FE676A"/>
    <w:rsid w:val="743260A1"/>
    <w:rsid w:val="744A79EB"/>
    <w:rsid w:val="74723B0C"/>
    <w:rsid w:val="7499091E"/>
    <w:rsid w:val="74B47D89"/>
    <w:rsid w:val="751D0C5C"/>
    <w:rsid w:val="75630D65"/>
    <w:rsid w:val="75695AB4"/>
    <w:rsid w:val="75AC53E0"/>
    <w:rsid w:val="75CD2682"/>
    <w:rsid w:val="75F75951"/>
    <w:rsid w:val="76322E49"/>
    <w:rsid w:val="76595CC4"/>
    <w:rsid w:val="76CA3938"/>
    <w:rsid w:val="76DF14BC"/>
    <w:rsid w:val="770C2360"/>
    <w:rsid w:val="7772528F"/>
    <w:rsid w:val="77CA0BC6"/>
    <w:rsid w:val="780D4FB8"/>
    <w:rsid w:val="78144598"/>
    <w:rsid w:val="785B3D17"/>
    <w:rsid w:val="78886099"/>
    <w:rsid w:val="78E06AB0"/>
    <w:rsid w:val="791505C8"/>
    <w:rsid w:val="79492020"/>
    <w:rsid w:val="798E037A"/>
    <w:rsid w:val="79C43D9C"/>
    <w:rsid w:val="7A387111"/>
    <w:rsid w:val="7A9B2D4F"/>
    <w:rsid w:val="7ACC42C8"/>
    <w:rsid w:val="7B4D6C3B"/>
    <w:rsid w:val="7B5F5B2A"/>
    <w:rsid w:val="7B9854E0"/>
    <w:rsid w:val="7B9A6B62"/>
    <w:rsid w:val="7C5E48F4"/>
    <w:rsid w:val="7C7C270C"/>
    <w:rsid w:val="7C9421F7"/>
    <w:rsid w:val="7CAA6A43"/>
    <w:rsid w:val="7D2D262B"/>
    <w:rsid w:val="7D506BBD"/>
    <w:rsid w:val="7DB87774"/>
    <w:rsid w:val="7DDD71DA"/>
    <w:rsid w:val="7DF70DA9"/>
    <w:rsid w:val="7E157326"/>
    <w:rsid w:val="7E492C79"/>
    <w:rsid w:val="7E4A520D"/>
    <w:rsid w:val="7E503E50"/>
    <w:rsid w:val="7E7458EF"/>
    <w:rsid w:val="7E9C0E44"/>
    <w:rsid w:val="7EBE2D4D"/>
    <w:rsid w:val="7ED44A81"/>
    <w:rsid w:val="7F1D01D6"/>
    <w:rsid w:val="7F4E6F86"/>
    <w:rsid w:val="7F7F2C3F"/>
    <w:rsid w:val="7F8402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9"/>
    <w:pPr>
      <w:keepNext/>
      <w:keepLines/>
      <w:spacing w:line="576" w:lineRule="auto"/>
      <w:jc w:val="center"/>
      <w:outlineLvl w:val="0"/>
    </w:pPr>
    <w:rPr>
      <w:rFonts w:ascii="Times New Roman" w:hAnsi="Times New Roman" w:eastAsia="宋体"/>
      <w:b/>
      <w:bCs/>
      <w:kern w:val="44"/>
      <w:sz w:val="36"/>
      <w:szCs w:val="44"/>
    </w:rPr>
  </w:style>
  <w:style w:type="paragraph" w:styleId="3">
    <w:name w:val="heading 2"/>
    <w:basedOn w:val="1"/>
    <w:next w:val="1"/>
    <w:link w:val="21"/>
    <w:qFormat/>
    <w:uiPriority w:val="0"/>
    <w:pPr>
      <w:keepNext/>
      <w:keepLines/>
      <w:spacing w:before="260" w:beforeLines="0" w:beforeAutospacing="0" w:after="260" w:afterLines="0" w:afterAutospacing="0" w:line="413" w:lineRule="auto"/>
      <w:jc w:val="center"/>
      <w:outlineLvl w:val="1"/>
    </w:pPr>
    <w:rPr>
      <w:rFonts w:ascii="Arial" w:hAnsi="Arial" w:eastAsia="黑体"/>
      <w:b/>
      <w:kern w:val="0"/>
      <w:sz w:val="32"/>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99"/>
    <w:pPr>
      <w:ind w:left="420" w:leftChars="200"/>
    </w:p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99"/>
    <w:pPr>
      <w:spacing w:line="480" w:lineRule="auto"/>
    </w:p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1">
    <w:name w:val="Body Text First Indent 2"/>
    <w:basedOn w:val="5"/>
    <w:qFormat/>
    <w:uiPriority w:val="0"/>
    <w:pPr>
      <w:autoSpaceDE w:val="0"/>
      <w:autoSpaceDN w:val="0"/>
      <w:adjustRightInd w:val="0"/>
      <w:ind w:firstLine="420"/>
      <w:jc w:val="left"/>
    </w:pPr>
    <w:rPr>
      <w:rFonts w:eastAsia="宋体" w:cs="Times New Roman"/>
      <w:kern w:val="0"/>
    </w:rPr>
  </w:style>
  <w:style w:type="character" w:styleId="14">
    <w:name w:val="page number"/>
    <w:basedOn w:val="13"/>
    <w:qFormat/>
    <w:uiPriority w:val="0"/>
  </w:style>
  <w:style w:type="character" w:styleId="15">
    <w:name w:val="FollowedHyperlink"/>
    <w:basedOn w:val="13"/>
    <w:qFormat/>
    <w:uiPriority w:val="0"/>
    <w:rPr>
      <w:color w:val="800080"/>
      <w:u w:val="single"/>
    </w:rPr>
  </w:style>
  <w:style w:type="character" w:styleId="16">
    <w:name w:val="Hyperlink"/>
    <w:basedOn w:val="13"/>
    <w:qFormat/>
    <w:uiPriority w:val="0"/>
    <w:rPr>
      <w:color w:val="0000FF"/>
      <w:u w:val="single"/>
    </w:rPr>
  </w:style>
  <w:style w:type="paragraph" w:customStyle="1" w:styleId="17">
    <w:name w:val="列出段落1"/>
    <w:basedOn w:val="1"/>
    <w:qFormat/>
    <w:uiPriority w:val="0"/>
    <w:pPr>
      <w:ind w:firstLine="420" w:firstLineChars="200"/>
    </w:pPr>
    <w:rPr>
      <w:szCs w:val="20"/>
    </w:rPr>
  </w:style>
  <w:style w:type="character" w:customStyle="1" w:styleId="18">
    <w:name w:val="正文文本 (8) + 6.5 pt"/>
    <w:basedOn w:val="19"/>
    <w:qFormat/>
    <w:uiPriority w:val="0"/>
    <w:rPr>
      <w:i/>
      <w:iCs/>
      <w:color w:val="000000"/>
      <w:w w:val="100"/>
      <w:position w:val="0"/>
      <w:sz w:val="13"/>
      <w:szCs w:val="13"/>
      <w:lang w:val="zh-TW" w:eastAsia="zh-TW" w:bidi="zh-TW"/>
    </w:rPr>
  </w:style>
  <w:style w:type="character" w:customStyle="1" w:styleId="19">
    <w:name w:val="正文文本 (8)_"/>
    <w:basedOn w:val="13"/>
    <w:link w:val="20"/>
    <w:qFormat/>
    <w:uiPriority w:val="0"/>
    <w:rPr>
      <w:rFonts w:ascii="MingLiU" w:hAnsi="MingLiU" w:eastAsia="MingLiU" w:cs="MingLiU"/>
      <w:spacing w:val="10"/>
      <w:kern w:val="0"/>
      <w:sz w:val="14"/>
      <w:szCs w:val="14"/>
    </w:rPr>
  </w:style>
  <w:style w:type="paragraph" w:customStyle="1" w:styleId="20">
    <w:name w:val="正文文本 (8)"/>
    <w:basedOn w:val="1"/>
    <w:link w:val="19"/>
    <w:qFormat/>
    <w:uiPriority w:val="0"/>
    <w:pPr>
      <w:shd w:val="clear" w:color="auto" w:fill="FFFFFF"/>
      <w:spacing w:line="322" w:lineRule="exact"/>
      <w:ind w:firstLine="520"/>
      <w:jc w:val="left"/>
    </w:pPr>
    <w:rPr>
      <w:rFonts w:ascii="MingLiU" w:hAnsi="MingLiU" w:eastAsia="MingLiU" w:cs="MingLiU"/>
      <w:spacing w:val="10"/>
      <w:kern w:val="0"/>
      <w:sz w:val="14"/>
      <w:szCs w:val="14"/>
    </w:rPr>
  </w:style>
  <w:style w:type="character" w:customStyle="1" w:styleId="21">
    <w:name w:val="标题 2 Char"/>
    <w:link w:val="3"/>
    <w:qFormat/>
    <w:uiPriority w:val="0"/>
    <w:rPr>
      <w:rFonts w:ascii="Arial" w:hAnsi="Arial" w:eastAsia="黑体"/>
      <w:b/>
      <w:sz w:val="32"/>
    </w:rPr>
  </w:style>
  <w:style w:type="character" w:customStyle="1" w:styleId="22">
    <w:name w:val="标题 1 Char"/>
    <w:basedOn w:val="13"/>
    <w:link w:val="2"/>
    <w:qFormat/>
    <w:locked/>
    <w:uiPriority w:val="99"/>
    <w:rPr>
      <w:rFonts w:ascii="Times New Roman" w:hAnsi="Times New Roman" w:eastAsia="宋体"/>
      <w:b/>
      <w:bCs/>
      <w:kern w:val="44"/>
      <w:sz w:val="36"/>
      <w:szCs w:val="44"/>
    </w:rPr>
  </w:style>
  <w:style w:type="paragraph" w:customStyle="1" w:styleId="23">
    <w:name w:val="正文文本 (6)"/>
    <w:basedOn w:val="1"/>
    <w:qFormat/>
    <w:uiPriority w:val="0"/>
    <w:pPr>
      <w:shd w:val="clear" w:color="auto" w:fill="FFFFFF"/>
      <w:spacing w:line="216" w:lineRule="exact"/>
      <w:ind w:hanging="140"/>
      <w:jc w:val="distribute"/>
    </w:pPr>
    <w:rPr>
      <w:rFonts w:ascii="MingLiU" w:hAnsi="MingLiU" w:eastAsia="MingLiU" w:cs="MingLiU"/>
      <w:i/>
      <w:iCs/>
      <w:spacing w:val="10"/>
      <w:kern w:val="0"/>
      <w:sz w:val="13"/>
      <w:szCs w:val="13"/>
    </w:rPr>
  </w:style>
  <w:style w:type="paragraph" w:customStyle="1" w:styleId="24">
    <w:name w:val="正文文本 (12)"/>
    <w:basedOn w:val="1"/>
    <w:qFormat/>
    <w:uiPriority w:val="0"/>
    <w:pPr>
      <w:shd w:val="clear" w:color="auto" w:fill="FFFFFF"/>
      <w:spacing w:line="230" w:lineRule="exact"/>
      <w:ind w:firstLine="80"/>
      <w:jc w:val="left"/>
    </w:pPr>
    <w:rPr>
      <w:rFonts w:ascii="MingLiU" w:hAnsi="MingLiU" w:eastAsia="MingLiU" w:cs="MingLiU"/>
      <w:spacing w:val="10"/>
      <w:kern w:val="0"/>
      <w:sz w:val="13"/>
      <w:szCs w:val="13"/>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 w:type="paragraph" w:customStyle="1" w:styleId="28">
    <w:name w:val="WPSOffice手动目录 3"/>
    <w:qFormat/>
    <w:uiPriority w:val="0"/>
    <w:pPr>
      <w:ind w:leftChars="400"/>
    </w:pPr>
    <w:rPr>
      <w:rFonts w:ascii="Times New Roman" w:hAnsi="Times New Roman" w:eastAsia="宋体" w:cs="Times New Roman"/>
      <w:sz w:val="20"/>
      <w:szCs w:val="20"/>
    </w:rPr>
  </w:style>
  <w:style w:type="paragraph" w:customStyle="1" w:styleId="29">
    <w:name w:val="Table Text"/>
    <w:semiHidden/>
    <w:qFormat/>
    <w:uiPriority w:val="0"/>
    <w:pPr>
      <w:kinsoku w:val="0"/>
      <w:autoSpaceDE w:val="0"/>
      <w:autoSpaceDN w:val="0"/>
      <w:adjustRightInd w:val="0"/>
      <w:snapToGrid w:val="0"/>
      <w:spacing w:line="240" w:lineRule="auto"/>
      <w:jc w:val="left"/>
      <w:textAlignment w:val="baseline"/>
    </w:pPr>
    <w:rPr>
      <w:rFonts w:ascii="仿宋" w:hAnsi="仿宋" w:eastAsia="仿宋" w:cs="仿宋"/>
      <w:snapToGrid w:val="0"/>
      <w:color w:val="000000"/>
      <w:kern w:val="0"/>
      <w:sz w:val="20"/>
      <w:szCs w:val="20"/>
      <w:lang w:val="en-US" w:eastAsia="en-US" w:bidi="ar-SA"/>
    </w:rPr>
  </w:style>
  <w:style w:type="character" w:customStyle="1" w:styleId="30">
    <w:name w:val="font21"/>
    <w:basedOn w:val="13"/>
    <w:qFormat/>
    <w:uiPriority w:val="0"/>
    <w:rPr>
      <w:rFonts w:hint="default" w:ascii="方正仿宋_GBK" w:hAnsi="方正仿宋_GBK" w:eastAsia="方正仿宋_GBK" w:cs="方正仿宋_GBK"/>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3450</Words>
  <Characters>3899</Characters>
  <Lines>115</Lines>
  <Paragraphs>32</Paragraphs>
  <TotalTime>0</TotalTime>
  <ScaleCrop>false</ScaleCrop>
  <LinksUpToDate>false</LinksUpToDate>
  <CharactersWithSpaces>3977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醒了</dc:creator>
  <cp:lastModifiedBy>Administrator</cp:lastModifiedBy>
  <cp:lastPrinted>2023-01-15T04:41:00Z</cp:lastPrinted>
  <dcterms:modified xsi:type="dcterms:W3CDTF">2026-01-30T07:47:23Z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2CD56126302F4D1893E257BBA1DB94DE_13</vt:lpwstr>
  </property>
  <property fmtid="{D5CDD505-2E9C-101B-9397-08002B2CF9AE}" pid="4" name="KSOTemplateDocerSaveRecord">
    <vt:lpwstr>eyJoZGlkIjoiNTY3ZWFhNWMzMzliYjM3NTdjOTdkYTgzYTRhY2RhYTkiLCJ1c2VySWQiOiIzNjI3Nzk4NDkifQ==</vt:lpwstr>
  </property>
</Properties>
</file>