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bookmarkStart w:id="41" w:name="_GoBack"/>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怀化市市本级及鹤城区2026—2028年政策性农业保险承保机构项目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val="en-US"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20</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pgBorders>
            <w:top w:val="none" w:sz="0" w:space="0"/>
            <w:left w:val="none" w:sz="0" w:space="0"/>
            <w:bottom w:val="none" w:sz="0" w:space="0"/>
            <w:right w:val="none" w:sz="0" w:space="0"/>
          </w:pgBorders>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_Toc23780"/>
      <w:bookmarkStart w:id="2" w:name="遴选邀请"/>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 怀化市</w:t>
      </w:r>
      <w:r>
        <w:rPr>
          <w:rFonts w:hint="eastAsia" w:ascii="宋体" w:hAnsi="宋体" w:cs="宋体"/>
          <w:snapToGrid w:val="0"/>
          <w:spacing w:val="0"/>
          <w:kern w:val="0"/>
          <w:sz w:val="30"/>
          <w:szCs w:val="30"/>
          <w:highlight w:val="none"/>
          <w:u w:val="single"/>
          <w:lang w:eastAsia="zh-CN"/>
        </w:rPr>
        <w:t>市本级及鹤城区</w:t>
      </w:r>
      <w:r>
        <w:rPr>
          <w:rFonts w:hint="eastAsia" w:ascii="宋体" w:hAnsi="宋体" w:eastAsia="宋体" w:cs="宋体"/>
          <w:snapToGrid w:val="0"/>
          <w:spacing w:val="0"/>
          <w:kern w:val="0"/>
          <w:sz w:val="30"/>
          <w:szCs w:val="30"/>
          <w:highlight w:val="none"/>
          <w:u w:val="single"/>
          <w:lang w:eastAsia="zh-CN"/>
        </w:rPr>
        <w:t>2026—2028年政策性农业保险承保机构项目 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5"/>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怀化市</w:t>
      </w:r>
      <w:r>
        <w:rPr>
          <w:rFonts w:hint="eastAsia" w:cs="宋体"/>
          <w:b w:val="0"/>
          <w:bCs w:val="0"/>
          <w:snapToGrid w:val="0"/>
          <w:color w:val="auto"/>
          <w:spacing w:val="0"/>
          <w:kern w:val="0"/>
          <w:sz w:val="30"/>
          <w:szCs w:val="30"/>
          <w:highlight w:val="none"/>
          <w:u w:val="single"/>
          <w:shd w:val="clear" w:color="auto" w:fill="FFFFFF"/>
          <w:lang w:val="en-US" w:eastAsia="zh-CN"/>
        </w:rPr>
        <w:t>市本级及鹤城区</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714"/>
        <w:gridCol w:w="3469"/>
        <w:gridCol w:w="1955"/>
        <w:gridCol w:w="2118"/>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714"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包/品目号</w:t>
            </w:r>
          </w:p>
        </w:tc>
        <w:tc>
          <w:tcPr>
            <w:tcW w:w="346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标的名称</w:t>
            </w:r>
          </w:p>
        </w:tc>
        <w:tc>
          <w:tcPr>
            <w:tcW w:w="19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（单位：项）</w:t>
            </w:r>
          </w:p>
        </w:tc>
        <w:tc>
          <w:tcPr>
            <w:tcW w:w="211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46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lang w:eastAsia="zh-CN"/>
              </w:rPr>
              <w:t>怀化市</w:t>
            </w:r>
            <w:r>
              <w:rPr>
                <w:rFonts w:hint="eastAsia" w:cs="宋体"/>
                <w:snapToGrid w:val="0"/>
                <w:spacing w:val="0"/>
                <w:kern w:val="0"/>
                <w:sz w:val="30"/>
                <w:szCs w:val="30"/>
                <w:highlight w:val="none"/>
                <w:lang w:eastAsia="zh-CN"/>
              </w:rPr>
              <w:t>市本级及鹤城区</w:t>
            </w:r>
            <w:r>
              <w:rPr>
                <w:rFonts w:hint="eastAsia" w:ascii="宋体" w:hAnsi="宋体" w:eastAsia="宋体" w:cs="宋体"/>
                <w:snapToGrid w:val="0"/>
                <w:spacing w:val="0"/>
                <w:kern w:val="0"/>
                <w:sz w:val="30"/>
                <w:szCs w:val="30"/>
                <w:highlight w:val="none"/>
                <w:lang w:eastAsia="zh-CN"/>
              </w:rPr>
              <w:t>2026—2028年政策性农业保险承保机构项目</w:t>
            </w:r>
          </w:p>
        </w:tc>
        <w:tc>
          <w:tcPr>
            <w:tcW w:w="195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1</w:t>
            </w:r>
          </w:p>
        </w:tc>
        <w:tc>
          <w:tcPr>
            <w:tcW w:w="211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default" w:ascii="宋体" w:hAnsi="宋体" w:eastAsia="宋体" w:cs="宋体"/>
                <w:b w:val="0"/>
                <w:bCs w:val="0"/>
                <w:snapToGrid w:val="0"/>
                <w:spacing w:val="0"/>
                <w:kern w:val="0"/>
                <w:sz w:val="30"/>
                <w:szCs w:val="30"/>
                <w:highlight w:val="none"/>
                <w:lang w:val="en-US" w:eastAsia="zh-CN"/>
              </w:rPr>
            </w:pPr>
            <w:r>
              <w:rPr>
                <w:rFonts w:hint="eastAsia" w:cs="宋体"/>
                <w:b w:val="0"/>
                <w:bCs w:val="0"/>
                <w:i w:val="0"/>
                <w:iCs w:val="0"/>
                <w:snapToGrid w:val="0"/>
                <w:color w:val="000000"/>
                <w:spacing w:val="0"/>
                <w:kern w:val="0"/>
                <w:sz w:val="30"/>
                <w:szCs w:val="30"/>
                <w:highlight w:val="none"/>
                <w:u w:val="none"/>
                <w:lang w:val="en-US" w:eastAsia="zh-CN" w:bidi="ar"/>
              </w:rPr>
              <w:t>4720000.00</w:t>
            </w:r>
          </w:p>
        </w:tc>
      </w:tr>
    </w:tbl>
    <w:p w14:paraId="1C232D1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snapToGrid w:val="0"/>
          <w:color w:val="666666"/>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p>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450" w:type="dxa"/>
        <w:tblInd w:w="-3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176"/>
        <w:gridCol w:w="1848"/>
        <w:gridCol w:w="1824"/>
        <w:gridCol w:w="1176"/>
        <w:gridCol w:w="2754"/>
      </w:tblGrid>
      <w:tr w14:paraId="4758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nil"/>
              <w:right w:val="single" w:color="000000" w:sz="4" w:space="0"/>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分包</w:t>
            </w:r>
          </w:p>
        </w:tc>
        <w:tc>
          <w:tcPr>
            <w:tcW w:w="1176" w:type="dxa"/>
            <w:tcBorders>
              <w:top w:val="single" w:color="000000" w:sz="4" w:space="0"/>
              <w:left w:val="single" w:color="000000" w:sz="4" w:space="0"/>
              <w:bottom w:val="nil"/>
              <w:right w:val="single" w:color="000000" w:sz="4" w:space="0"/>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险种</w:t>
            </w:r>
          </w:p>
        </w:tc>
        <w:tc>
          <w:tcPr>
            <w:tcW w:w="1848" w:type="dxa"/>
            <w:tcBorders>
              <w:top w:val="single" w:color="000000" w:sz="4" w:space="0"/>
              <w:left w:val="single" w:color="000000" w:sz="4" w:space="0"/>
              <w:bottom w:val="nil"/>
              <w:right w:val="single" w:color="000000" w:sz="4" w:space="0"/>
            </w:tcBorders>
            <w:shd w:val="clear" w:color="auto" w:fill="auto"/>
            <w:vAlign w:val="center"/>
          </w:tcPr>
          <w:p w14:paraId="3FDB49C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保费金额</w:t>
            </w:r>
          </w:p>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（元）</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FB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小计</w:t>
            </w:r>
          </w:p>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（元）</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占比</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869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行政区域</w:t>
            </w:r>
          </w:p>
        </w:tc>
      </w:tr>
      <w:tr w14:paraId="2DB1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8CBB">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养殖、全险种</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default"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2100000.00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2100000.00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default"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44.49%</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7BAC">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黄金坳镇标包1</w:t>
            </w:r>
            <w:r>
              <w:rPr>
                <w:rFonts w:hint="eastAsia" w:ascii="宋体" w:hAnsi="宋体" w:cs="宋体"/>
                <w:snapToGrid w:val="0"/>
                <w:spacing w:val="0"/>
                <w:kern w:val="0"/>
                <w:sz w:val="30"/>
                <w:szCs w:val="30"/>
                <w:highlight w:val="none"/>
                <w:lang w:val="en-US" w:eastAsia="zh-CN" w:bidi="ar-SA"/>
              </w:rPr>
              <w:t>、迎丰街道标包4、城南街道标包6、城北街道标包7、盈口街道标包8</w:t>
            </w:r>
          </w:p>
        </w:tc>
      </w:tr>
      <w:tr w14:paraId="3CC2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种植、</w:t>
            </w:r>
            <w:r>
              <w:rPr>
                <w:rFonts w:hint="eastAsia" w:ascii="宋体" w:hAnsi="宋体" w:cs="宋体"/>
                <w:snapToGrid w:val="0"/>
                <w:spacing w:val="0"/>
                <w:kern w:val="0"/>
                <w:sz w:val="30"/>
                <w:szCs w:val="30"/>
                <w:highlight w:val="none"/>
                <w:lang w:val="en-US" w:eastAsia="zh-CN" w:bidi="ar-SA"/>
              </w:rPr>
              <w:t>森林、全险种</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default"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1570000.00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1570000.00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default"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33.26%</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C0BF">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黄金坳镇标包2</w:t>
            </w:r>
            <w:r>
              <w:rPr>
                <w:rFonts w:hint="eastAsia" w:ascii="宋体" w:hAnsi="宋体" w:cs="宋体"/>
                <w:snapToGrid w:val="0"/>
                <w:spacing w:val="0"/>
                <w:kern w:val="0"/>
                <w:sz w:val="30"/>
                <w:szCs w:val="30"/>
                <w:highlight w:val="none"/>
                <w:lang w:val="en-US" w:eastAsia="zh-CN" w:bidi="ar-SA"/>
              </w:rPr>
              <w:t>、黄金坳镇标包3、河西街道标包12、凉亭坳乡标包10</w:t>
            </w:r>
          </w:p>
        </w:tc>
      </w:tr>
      <w:tr w14:paraId="7FE2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全险种</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default"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1050000.00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1050000.00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default" w:ascii="宋体" w:hAnsi="宋体" w:eastAsia="宋体" w:cs="宋体"/>
                <w:snapToGrid w:val="0"/>
                <w:spacing w:val="0"/>
                <w:kern w:val="0"/>
                <w:sz w:val="30"/>
                <w:szCs w:val="30"/>
                <w:highlight w:val="none"/>
                <w:lang w:val="en-US" w:eastAsia="zh-CN" w:bidi="ar-SA"/>
              </w:rPr>
            </w:pPr>
            <w:r>
              <w:rPr>
                <w:rFonts w:hint="eastAsia" w:ascii="宋体" w:hAnsi="宋体" w:cs="宋体"/>
                <w:snapToGrid w:val="0"/>
                <w:spacing w:val="0"/>
                <w:kern w:val="0"/>
                <w:sz w:val="30"/>
                <w:szCs w:val="30"/>
                <w:highlight w:val="none"/>
                <w:lang w:val="en-US" w:eastAsia="zh-CN" w:bidi="ar-SA"/>
              </w:rPr>
              <w:t>22.25%</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993">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黄岩旅游度假区标包9</w:t>
            </w:r>
            <w:r>
              <w:rPr>
                <w:rFonts w:hint="eastAsia" w:ascii="宋体" w:hAnsi="宋体" w:cs="宋体"/>
                <w:snapToGrid w:val="0"/>
                <w:spacing w:val="0"/>
                <w:kern w:val="0"/>
                <w:sz w:val="30"/>
                <w:szCs w:val="30"/>
                <w:highlight w:val="none"/>
                <w:lang w:val="en-US" w:eastAsia="zh-CN" w:bidi="ar-SA"/>
              </w:rPr>
              <w:t>、坨院街道标包11、城中街道标包5</w:t>
            </w:r>
          </w:p>
        </w:tc>
      </w:tr>
    </w:tbl>
    <w:p w14:paraId="3FCF7630">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14"/>
        <w:gridCol w:w="3961"/>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14"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96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14"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96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14"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96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6"/>
                <w:kern w:val="0"/>
                <w:sz w:val="30"/>
                <w:szCs w:val="30"/>
                <w:highlight w:val="none"/>
                <w:lang w:eastAsia="zh-CN"/>
              </w:rPr>
              <w:t>怀化市</w:t>
            </w:r>
            <w:r>
              <w:rPr>
                <w:rFonts w:hint="eastAsia" w:cs="宋体"/>
                <w:snapToGrid w:val="0"/>
                <w:spacing w:val="-6"/>
                <w:kern w:val="0"/>
                <w:sz w:val="30"/>
                <w:szCs w:val="30"/>
                <w:highlight w:val="none"/>
                <w:lang w:eastAsia="zh-CN"/>
              </w:rPr>
              <w:t>市本级及鹤城区</w:t>
            </w:r>
            <w:r>
              <w:rPr>
                <w:rFonts w:hint="eastAsia" w:ascii="宋体" w:hAnsi="宋体" w:eastAsia="宋体" w:cs="宋体"/>
                <w:snapToGrid w:val="0"/>
                <w:spacing w:val="-6"/>
                <w:kern w:val="0"/>
                <w:sz w:val="30"/>
                <w:szCs w:val="30"/>
                <w:highlight w:val="none"/>
                <w:lang w:eastAsia="zh-CN"/>
              </w:rPr>
              <w:t>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557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0B93D6E2">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snapToGrid w:val="0"/>
          <w:color w:val="666666"/>
          <w:spacing w:val="0"/>
          <w:kern w:val="0"/>
          <w:sz w:val="30"/>
          <w:szCs w:val="30"/>
          <w:highlight w:val="none"/>
        </w:rPr>
      </w:pPr>
      <w:r>
        <w:rPr>
          <w:rFonts w:hint="eastAsia" w:ascii="宋体" w:hAnsi="宋体" w:eastAsia="宋体" w:cs="宋体"/>
          <w:snapToGrid w:val="0"/>
          <w:color w:val="666666"/>
          <w:spacing w:val="0"/>
          <w:kern w:val="0"/>
          <w:sz w:val="30"/>
          <w:szCs w:val="30"/>
          <w:highlight w:val="none"/>
          <w:shd w:val="clear" w:color="auto" w:fill="FFFFFF"/>
        </w:rPr>
        <w:t> </w:t>
      </w:r>
    </w:p>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firstLine="301" w:firstLineChars="100"/>
        <w:jc w:val="left"/>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ascii="宋体" w:hAnsi="宋体" w:eastAsia="宋体"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301" w:firstLineChars="1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p w14:paraId="3778D03C">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市本级及鹤城区</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 1 家得分最高且具备农业保险实施能力的机构作为后备机构。</w:t>
      </w:r>
    </w:p>
    <w:bookmarkEnd w:id="7"/>
    <w:p w14:paraId="66E050BE">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textAlignment w:val="auto"/>
        <w:rPr>
          <w:rFonts w:hint="eastAsia" w:ascii="宋体" w:hAnsi="宋体" w:cs="宋体"/>
          <w:snapToGrid w:val="0"/>
          <w:color w:val="000000"/>
          <w:spacing w:val="0"/>
          <w:kern w:val="0"/>
          <w:sz w:val="30"/>
          <w:szCs w:val="30"/>
          <w:highlight w:val="none"/>
          <w:lang w:val="en-US" w:eastAsia="zh-CN" w:bidi="ar"/>
        </w:rPr>
      </w:pPr>
      <w:r>
        <w:rPr>
          <w:rFonts w:hint="eastAsia" w:ascii="宋体" w:hAnsi="宋体" w:cs="宋体"/>
          <w:snapToGrid w:val="0"/>
          <w:color w:val="000000"/>
          <w:spacing w:val="0"/>
          <w:kern w:val="0"/>
          <w:sz w:val="30"/>
          <w:szCs w:val="30"/>
          <w:highlight w:val="none"/>
          <w:lang w:val="en-US" w:eastAsia="zh-CN" w:bidi="ar"/>
        </w:rPr>
        <w:t>遴选对象为保险公司市州级分支机构，不接受省级及以上分支机构报名。</w:t>
      </w:r>
    </w:p>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500" w:lineRule="exact"/>
        <w:ind w:left="0" w:leftChars="0" w:firstLine="602" w:firstLineChars="20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0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01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30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02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06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0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0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04764BD4">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067EA7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05E27AD1">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4D9FD115">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35A31F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left"/>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58D92ADF">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11</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14</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021AC546">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11</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14</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1A6F2607">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2"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遴选人：</w:t>
      </w:r>
      <w:r>
        <w:rPr>
          <w:rFonts w:hint="eastAsia" w:ascii="宋体" w:hAnsi="宋体" w:eastAsia="宋体" w:cs="宋体"/>
          <w:snapToGrid w:val="0"/>
          <w:spacing w:val="0"/>
          <w:kern w:val="0"/>
          <w:sz w:val="30"/>
          <w:szCs w:val="30"/>
          <w:highlight w:val="none"/>
          <w:shd w:val="clear" w:color="auto" w:fill="FFFFFF"/>
          <w:lang w:val="en-US" w:eastAsia="zh-CN"/>
        </w:rPr>
        <w:t>怀化市</w:t>
      </w:r>
      <w:r>
        <w:rPr>
          <w:rFonts w:hint="eastAsia" w:ascii="宋体" w:hAnsi="宋体" w:eastAsia="宋体" w:cs="宋体"/>
          <w:snapToGrid w:val="0"/>
          <w:spacing w:val="0"/>
          <w:kern w:val="0"/>
          <w:sz w:val="30"/>
          <w:szCs w:val="30"/>
          <w:highlight w:val="none"/>
          <w:shd w:val="clear" w:color="auto" w:fill="FFFFFF"/>
        </w:rPr>
        <w:t>财政局</w:t>
      </w: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怀化市农业农村局</w:t>
      </w:r>
    </w:p>
    <w:p w14:paraId="2E369F6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val="en-US" w:eastAsia="zh-CN"/>
        </w:rPr>
        <w:t>（2）联系人：</w:t>
      </w:r>
      <w:r>
        <w:rPr>
          <w:rFonts w:hint="eastAsia" w:cs="宋体"/>
          <w:snapToGrid w:val="0"/>
          <w:spacing w:val="0"/>
          <w:kern w:val="0"/>
          <w:sz w:val="30"/>
          <w:szCs w:val="30"/>
          <w:highlight w:val="none"/>
          <w:shd w:val="clear" w:color="auto" w:fill="FFFFFF"/>
          <w:lang w:val="en-US" w:eastAsia="zh-CN"/>
        </w:rPr>
        <w:t>谢先生、孙先生</w:t>
      </w:r>
    </w:p>
    <w:p w14:paraId="606DD46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default"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val="en-US" w:eastAsia="zh-CN"/>
        </w:rPr>
        <w:t>（3）电  话：0745-2218002</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rPr>
        <w:t>地  址：</w:t>
      </w:r>
      <w:r>
        <w:rPr>
          <w:rFonts w:hint="eastAsia" w:cs="宋体"/>
          <w:snapToGrid w:val="0"/>
          <w:spacing w:val="0"/>
          <w:kern w:val="0"/>
          <w:sz w:val="30"/>
          <w:szCs w:val="30"/>
          <w:highlight w:val="none"/>
          <w:shd w:val="clear" w:color="auto" w:fill="FFFFFF"/>
          <w:lang w:eastAsia="zh-CN"/>
        </w:rPr>
        <w:t>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2" w:firstLineChars="200"/>
        <w:jc w:val="left"/>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7FA14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57CA8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w:t>
      </w:r>
      <w:r>
        <w:rPr>
          <w:rFonts w:hint="eastAsia" w:ascii="宋体" w:hAnsi="宋体" w:cs="宋体"/>
          <w:color w:val="auto"/>
          <w:kern w:val="0"/>
          <w:sz w:val="30"/>
          <w:szCs w:val="30"/>
          <w:highlight w:val="none"/>
          <w:lang w:val="en-US" w:eastAsia="zh-CN"/>
        </w:rPr>
        <w:t>遴选对象为保险公司市州级分支机构，不接受省级及以上分支机构报名。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cs="宋体"/>
          <w:sz w:val="32"/>
          <w:szCs w:val="32"/>
          <w:highlight w:val="none"/>
          <w:lang w:eastAsia="zh-CN"/>
        </w:rPr>
        <w:t>怀化市</w:t>
      </w:r>
      <w:r>
        <w:rPr>
          <w:rFonts w:hint="eastAsia" w:ascii="宋体" w:hAnsi="宋体" w:cs="宋体"/>
          <w:color w:val="auto"/>
          <w:kern w:val="0"/>
          <w:sz w:val="30"/>
          <w:szCs w:val="30"/>
          <w:highlight w:val="none"/>
          <w:lang w:val="en-US" w:eastAsia="zh-CN"/>
        </w:rPr>
        <w:t>市本级及鹤城区</w:t>
      </w:r>
      <w:r>
        <w:rPr>
          <w:rFonts w:hint="eastAsia" w:ascii="宋体" w:hAnsi="宋体" w:eastAsia="宋体" w:cs="宋体"/>
          <w:color w:val="auto"/>
          <w:kern w:val="0"/>
          <w:sz w:val="30"/>
          <w:szCs w:val="30"/>
          <w:highlight w:val="none"/>
        </w:rPr>
        <w:t>内开展政策农业保险品种业务（不含省级共保）的承保机构。政策性农业保险品种</w:t>
      </w:r>
      <w:r>
        <w:rPr>
          <w:rFonts w:hint="eastAsia" w:ascii="宋体" w:hAnsi="宋体" w:eastAsia="宋体" w:cs="宋体"/>
          <w:color w:val="auto"/>
          <w:kern w:val="0"/>
          <w:sz w:val="30"/>
          <w:szCs w:val="30"/>
          <w:highlight w:val="none"/>
          <w:lang w:val="en-US" w:eastAsia="zh-CN"/>
        </w:rPr>
        <w:t>中央财政补贴的农业保险品种</w:t>
      </w:r>
      <w:r>
        <w:rPr>
          <w:rFonts w:hint="eastAsia" w:ascii="宋体" w:hAnsi="宋体" w:cs="宋体"/>
          <w:color w:val="auto"/>
          <w:kern w:val="0"/>
          <w:sz w:val="30"/>
          <w:szCs w:val="30"/>
          <w:highlight w:val="none"/>
          <w:lang w:val="en-US" w:eastAsia="zh-CN"/>
        </w:rPr>
        <w:t>4</w:t>
      </w:r>
      <w:r>
        <w:rPr>
          <w:rFonts w:hint="eastAsia" w:ascii="宋体" w:hAnsi="宋体" w:eastAsia="宋体" w:cs="宋体"/>
          <w:color w:val="auto"/>
          <w:kern w:val="0"/>
          <w:sz w:val="30"/>
          <w:szCs w:val="30"/>
          <w:highlight w:val="none"/>
          <w:lang w:val="en-US" w:eastAsia="zh-CN"/>
        </w:rPr>
        <w:t>个</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养殖、全险种、种植</w:t>
      </w:r>
      <w:r>
        <w:rPr>
          <w:rFonts w:hint="eastAsia" w:ascii="宋体" w:hAnsi="宋体" w:cs="宋体"/>
          <w:color w:val="auto"/>
          <w:kern w:val="0"/>
          <w:sz w:val="30"/>
          <w:szCs w:val="30"/>
          <w:highlight w:val="none"/>
          <w:lang w:val="en-US" w:eastAsia="zh-CN"/>
        </w:rPr>
        <w:t>、森林</w:t>
      </w:r>
      <w:r>
        <w:rPr>
          <w:rFonts w:hint="eastAsia" w:ascii="宋体" w:hAnsi="宋体" w:eastAsia="宋体" w:cs="宋体"/>
          <w:color w:val="auto"/>
          <w:kern w:val="0"/>
          <w:sz w:val="30"/>
          <w:szCs w:val="30"/>
          <w:highlight w:val="none"/>
        </w:rPr>
        <w:t>。</w:t>
      </w:r>
      <w:r>
        <w:rPr>
          <w:rFonts w:hint="eastAsia" w:ascii="宋体" w:hAnsi="宋体" w:eastAsia="宋体" w:cs="宋体"/>
          <w:kern w:val="0"/>
          <w:sz w:val="30"/>
          <w:szCs w:val="30"/>
          <w:highlight w:val="none"/>
          <w:lang w:val="en-US" w:eastAsia="zh-CN"/>
        </w:rPr>
        <w:t>标包具体情况见附件1。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w:t>
      </w:r>
      <w:r>
        <w:rPr>
          <w:rFonts w:hint="eastAsia" w:cs="宋体"/>
          <w:b w:val="0"/>
          <w:bCs w:val="0"/>
          <w:snapToGrid w:val="0"/>
          <w:spacing w:val="0"/>
          <w:kern w:val="0"/>
          <w:sz w:val="30"/>
          <w:szCs w:val="30"/>
          <w:highlight w:val="none"/>
          <w:shd w:val="clear" w:color="auto" w:fill="FFFFFF"/>
          <w:lang w:eastAsia="zh-CN"/>
        </w:rPr>
        <w:t>湘财金【2026】4号</w:t>
      </w:r>
      <w:r>
        <w:rPr>
          <w:rFonts w:hint="eastAsia" w:ascii="宋体" w:hAnsi="宋体" w:eastAsia="宋体" w:cs="宋体"/>
          <w:b w:val="0"/>
          <w:bCs w:val="0"/>
          <w:snapToGrid w:val="0"/>
          <w:spacing w:val="0"/>
          <w:kern w:val="0"/>
          <w:sz w:val="30"/>
          <w:szCs w:val="30"/>
          <w:highlight w:val="none"/>
          <w:shd w:val="clear" w:color="auto" w:fill="FFFFFF"/>
        </w:rPr>
        <w:t>）规定的基本资格条件：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5310E8EA">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bookmarkStart w:id="14" w:name="_Toc10232"/>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市本级及鹤城区</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根据湘财金[2026]4号文的规定，所有遴选区域在中选机构之外，按照本办法遴选1家得分最高且具备农业保险实施能力的机构作为后备机构。</w:t>
      </w:r>
    </w:p>
    <w:p w14:paraId="0A4BDB9A">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outlineLvl w:val="1"/>
        <w:rPr>
          <w:rFonts w:hint="eastAsia" w:ascii="宋体" w:hAnsi="宋体" w:cs="宋体"/>
          <w:snapToGrid w:val="0"/>
          <w:color w:val="000000"/>
          <w:spacing w:val="0"/>
          <w:kern w:val="0"/>
          <w:sz w:val="30"/>
          <w:szCs w:val="30"/>
          <w:highlight w:val="none"/>
          <w:lang w:val="en-US" w:eastAsia="zh-CN" w:bidi="ar"/>
        </w:rPr>
      </w:pPr>
      <w:r>
        <w:rPr>
          <w:rFonts w:hint="eastAsia" w:ascii="宋体" w:hAnsi="宋体" w:cs="宋体"/>
          <w:snapToGrid w:val="0"/>
          <w:color w:val="000000"/>
          <w:spacing w:val="0"/>
          <w:kern w:val="0"/>
          <w:sz w:val="30"/>
          <w:szCs w:val="30"/>
          <w:highlight w:val="none"/>
          <w:lang w:val="en-US" w:eastAsia="zh-CN" w:bidi="ar"/>
        </w:rPr>
        <w:t>遴选对象为保险公司市州级分支机构，不接受省级及以上分支机构报名。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2"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574760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35965B7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726E7C7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w:t>
      </w:r>
      <w:r>
        <w:rPr>
          <w:rFonts w:hint="default" w:ascii="宋体" w:hAnsi="宋体" w:eastAsia="宋体" w:cs="宋体"/>
          <w:color w:val="auto"/>
          <w:kern w:val="0"/>
          <w:sz w:val="30"/>
          <w:szCs w:val="30"/>
          <w:highlight w:val="none"/>
          <w:lang w:val="en-US" w:eastAsia="zh-CN"/>
        </w:rPr>
        <w:t>80</w:t>
      </w:r>
      <w:r>
        <w:rPr>
          <w:rFonts w:hint="eastAsia" w:ascii="宋体" w:hAnsi="宋体" w:eastAsia="宋体" w:cs="宋体"/>
          <w:color w:val="auto"/>
          <w:kern w:val="0"/>
          <w:sz w:val="30"/>
          <w:szCs w:val="30"/>
          <w:highlight w:val="none"/>
          <w:lang w:val="en-US" w:eastAsia="zh-CN"/>
        </w:rPr>
        <w:t>分）包括服务能力（</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分）、服务业绩（</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分）、合规经营及风险管控能力（</w:t>
      </w:r>
      <w:r>
        <w:rPr>
          <w:rFonts w:hint="default" w:ascii="宋体" w:hAnsi="宋体" w:eastAsia="宋体" w:cs="宋体"/>
          <w:color w:val="auto"/>
          <w:kern w:val="0"/>
          <w:sz w:val="30"/>
          <w:szCs w:val="30"/>
          <w:highlight w:val="none"/>
          <w:lang w:val="en-US" w:eastAsia="zh-CN"/>
        </w:rPr>
        <w:t>20</w:t>
      </w:r>
      <w:r>
        <w:rPr>
          <w:rFonts w:hint="eastAsia" w:ascii="宋体" w:hAnsi="宋体" w:eastAsia="宋体" w:cs="宋体"/>
          <w:color w:val="auto"/>
          <w:kern w:val="0"/>
          <w:sz w:val="30"/>
          <w:szCs w:val="30"/>
          <w:highlight w:val="none"/>
          <w:lang w:val="en-US" w:eastAsia="zh-CN"/>
        </w:rPr>
        <w:t>分）三项（具体指标及评分细则详见附件</w:t>
      </w:r>
      <w:r>
        <w:rPr>
          <w:rFonts w:hint="eastAsia" w:ascii="宋体" w:hAnsi="宋体" w:cs="宋体"/>
          <w:color w:val="auto"/>
          <w:kern w:val="0"/>
          <w:sz w:val="30"/>
          <w:szCs w:val="30"/>
          <w:highlight w:val="none"/>
          <w:lang w:val="en-US" w:eastAsia="zh-CN"/>
        </w:rPr>
        <w:t>2</w:t>
      </w:r>
      <w:r>
        <w:rPr>
          <w:rFonts w:hint="eastAsia" w:ascii="宋体" w:hAnsi="宋体" w:eastAsia="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r>
        <w:rPr>
          <w:rFonts w:hint="eastAsia" w:ascii="宋体" w:hAnsi="宋体" w:cs="宋体"/>
          <w:kern w:val="0"/>
          <w:sz w:val="30"/>
          <w:szCs w:val="30"/>
          <w:highlight w:val="none"/>
          <w:lang w:val="en-US" w:eastAsia="zh-CN"/>
        </w:rPr>
        <w:t>县级自主设置指标一级指标分值为20分，二级指标从八个方面进行设置分别为：农业保险绩效、农户助贷工作、乡村振兴、农村金融贡献、地方特色农业发展、</w:t>
      </w:r>
      <w:r>
        <w:rPr>
          <w:rFonts w:hint="default" w:ascii="宋体" w:hAnsi="宋体" w:cs="宋体"/>
          <w:kern w:val="0"/>
          <w:sz w:val="30"/>
          <w:szCs w:val="30"/>
          <w:highlight w:val="none"/>
          <w:lang w:val="en-US" w:eastAsia="zh-CN"/>
        </w:rPr>
        <w:t>农业保险宣传</w:t>
      </w:r>
      <w:r>
        <w:rPr>
          <w:rFonts w:hint="eastAsia" w:ascii="宋体" w:hAnsi="宋体" w:cs="宋体"/>
          <w:kern w:val="0"/>
          <w:sz w:val="30"/>
          <w:szCs w:val="30"/>
          <w:highlight w:val="none"/>
          <w:lang w:val="en-US" w:eastAsia="zh-CN"/>
        </w:rPr>
        <w:t>、服务方案、响应文件制作。（具体分值及要求见附件3）</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cs="宋体"/>
          <w:kern w:val="0"/>
          <w:sz w:val="30"/>
          <w:szCs w:val="30"/>
          <w:highlight w:val="none"/>
          <w:lang w:val="en-US" w:eastAsia="zh-CN"/>
        </w:rPr>
        <w:t>四</w:t>
      </w:r>
      <w:r>
        <w:rPr>
          <w:rFonts w:hint="eastAsia" w:ascii="宋体" w:hAnsi="宋体" w:eastAsia="宋体" w:cs="宋体"/>
          <w:kern w:val="0"/>
          <w:sz w:val="30"/>
          <w:szCs w:val="30"/>
          <w:highlight w:val="none"/>
        </w:rPr>
        <w:t>份、电子文件一份。正本和副本的封面上应标记“正本”或“副本”字样；当正本和副本有差异时，以正本为准。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426A42F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r>
        <w:rPr>
          <w:rFonts w:hint="eastAsia" w:ascii="宋体" w:hAnsi="宋体" w:cs="宋体"/>
          <w:kern w:val="0"/>
          <w:sz w:val="30"/>
          <w:szCs w:val="30"/>
          <w:highlight w:val="none"/>
          <w:lang w:val="en-US" w:eastAsia="zh-CN"/>
        </w:rPr>
        <w:t>。</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24"/>
          <w:szCs w:val="24"/>
          <w:highlight w:val="none"/>
        </w:rPr>
        <w:sectPr>
          <w:footerReference r:id="rId3" w:type="default"/>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7F85BC8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附件1</w:t>
      </w:r>
      <w:bookmarkEnd w:id="18"/>
      <w:r>
        <w:rPr>
          <w:rFonts w:hint="eastAsia" w:ascii="宋体" w:hAnsi="宋体" w:cs="宋体"/>
          <w:sz w:val="24"/>
          <w:szCs w:val="24"/>
          <w:highlight w:val="none"/>
          <w:lang w:eastAsia="zh-CN"/>
        </w:rPr>
        <w:t>：</w:t>
      </w:r>
    </w:p>
    <w:p w14:paraId="07B247B4">
      <w:pPr>
        <w:pStyle w:val="4"/>
        <w:keepNext/>
        <w:keepLines/>
        <w:pageBreakBefore w:val="0"/>
        <w:widowControl w:val="0"/>
        <w:kinsoku/>
        <w:wordWrap/>
        <w:overflowPunct/>
        <w:topLinePunct w:val="0"/>
        <w:autoSpaceDE/>
        <w:autoSpaceDN/>
        <w:bidi w:val="0"/>
        <w:adjustRightInd w:val="0"/>
        <w:snapToGrid w:val="0"/>
        <w:spacing w:before="0" w:after="0" w:line="240" w:lineRule="auto"/>
        <w:jc w:val="right"/>
        <w:textAlignment w:val="auto"/>
        <w:rPr>
          <w:rFonts w:hint="eastAsia" w:ascii="宋体" w:hAnsi="宋体" w:eastAsia="宋体" w:cs="宋体"/>
          <w:highlight w:val="none"/>
        </w:rPr>
      </w:pPr>
      <w:r>
        <w:rPr>
          <w:rFonts w:hint="eastAsia" w:ascii="宋体" w:hAnsi="宋体" w:cs="宋体"/>
          <w:sz w:val="24"/>
          <w:szCs w:val="24"/>
          <w:highlight w:val="none"/>
          <w:lang w:eastAsia="zh-CN"/>
        </w:rPr>
        <w:t>金额（元）</w:t>
      </w:r>
    </w:p>
    <w:p w14:paraId="7D5F3E7C">
      <w:pPr>
        <w:pStyle w:val="17"/>
        <w:rPr>
          <w:rFonts w:hint="eastAsia"/>
          <w:highlight w:val="none"/>
        </w:rPr>
      </w:pPr>
    </w:p>
    <w:tbl>
      <w:tblPr>
        <w:tblStyle w:val="20"/>
        <w:tblW w:w="91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4"/>
        <w:gridCol w:w="1252"/>
        <w:gridCol w:w="1611"/>
        <w:gridCol w:w="1749"/>
        <w:gridCol w:w="1217"/>
        <w:gridCol w:w="2363"/>
      </w:tblGrid>
      <w:tr w14:paraId="17BC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9"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F64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项目包</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C65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险种类别</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13C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小计（元）</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AAB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保费金额</w:t>
            </w:r>
          </w:p>
          <w:p w14:paraId="19A9E5C3">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（元）</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F58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占比</w:t>
            </w: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F4EC">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行政区域</w:t>
            </w:r>
          </w:p>
        </w:tc>
      </w:tr>
      <w:tr w14:paraId="071F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09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包1</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063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养殖</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05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1610000.00 </w:t>
            </w:r>
          </w:p>
        </w:tc>
        <w:tc>
          <w:tcPr>
            <w:tcW w:w="1749" w:type="dxa"/>
            <w:vMerge w:val="restart"/>
            <w:tcBorders>
              <w:top w:val="single" w:color="000000" w:sz="4" w:space="0"/>
              <w:left w:val="single" w:color="000000" w:sz="4" w:space="0"/>
              <w:right w:val="single" w:color="000000" w:sz="4" w:space="0"/>
            </w:tcBorders>
            <w:shd w:val="clear" w:color="auto" w:fill="auto"/>
            <w:noWrap/>
            <w:vAlign w:val="center"/>
          </w:tcPr>
          <w:p w14:paraId="4B3FBB7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2100000.00</w:t>
            </w:r>
          </w:p>
        </w:tc>
        <w:tc>
          <w:tcPr>
            <w:tcW w:w="1217" w:type="dxa"/>
            <w:vMerge w:val="restart"/>
            <w:tcBorders>
              <w:top w:val="single" w:color="000000" w:sz="4" w:space="0"/>
              <w:left w:val="single" w:color="000000" w:sz="4" w:space="0"/>
              <w:right w:val="single" w:color="000000" w:sz="4" w:space="0"/>
            </w:tcBorders>
            <w:shd w:val="clear" w:color="auto" w:fill="auto"/>
            <w:noWrap/>
            <w:vAlign w:val="center"/>
          </w:tcPr>
          <w:p w14:paraId="61DDCB5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44.49%</w:t>
            </w: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920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黄金坳镇标包1</w:t>
            </w:r>
          </w:p>
        </w:tc>
      </w:tr>
      <w:tr w14:paraId="3A46E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FE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8F8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523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80000.00 </w:t>
            </w:r>
          </w:p>
        </w:tc>
        <w:tc>
          <w:tcPr>
            <w:tcW w:w="1749" w:type="dxa"/>
            <w:vMerge w:val="continue"/>
            <w:tcBorders>
              <w:left w:val="single" w:color="000000" w:sz="4" w:space="0"/>
              <w:right w:val="single" w:color="000000" w:sz="4" w:space="0"/>
            </w:tcBorders>
            <w:shd w:val="clear" w:color="auto" w:fill="auto"/>
            <w:noWrap/>
            <w:vAlign w:val="center"/>
          </w:tcPr>
          <w:p w14:paraId="469017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right w:val="single" w:color="000000" w:sz="4" w:space="0"/>
            </w:tcBorders>
            <w:shd w:val="clear" w:color="auto" w:fill="auto"/>
            <w:noWrap/>
            <w:vAlign w:val="center"/>
          </w:tcPr>
          <w:p w14:paraId="481F5DE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FCA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迎丰街道标包4</w:t>
            </w:r>
          </w:p>
        </w:tc>
      </w:tr>
      <w:tr w14:paraId="1CE8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9C7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E31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DB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90000.00 </w:t>
            </w:r>
          </w:p>
        </w:tc>
        <w:tc>
          <w:tcPr>
            <w:tcW w:w="1749" w:type="dxa"/>
            <w:vMerge w:val="continue"/>
            <w:tcBorders>
              <w:left w:val="single" w:color="000000" w:sz="4" w:space="0"/>
              <w:right w:val="single" w:color="000000" w:sz="4" w:space="0"/>
            </w:tcBorders>
            <w:shd w:val="clear" w:color="auto" w:fill="auto"/>
            <w:noWrap/>
            <w:vAlign w:val="center"/>
          </w:tcPr>
          <w:p w14:paraId="544C31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right w:val="single" w:color="000000" w:sz="4" w:space="0"/>
            </w:tcBorders>
            <w:shd w:val="clear" w:color="auto" w:fill="auto"/>
            <w:noWrap/>
            <w:vAlign w:val="center"/>
          </w:tcPr>
          <w:p w14:paraId="0ACD7FC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E71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城南街道标包6</w:t>
            </w:r>
          </w:p>
        </w:tc>
      </w:tr>
      <w:tr w14:paraId="0B15E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384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3D9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72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20000.00 </w:t>
            </w:r>
          </w:p>
        </w:tc>
        <w:tc>
          <w:tcPr>
            <w:tcW w:w="1749" w:type="dxa"/>
            <w:vMerge w:val="continue"/>
            <w:tcBorders>
              <w:left w:val="single" w:color="000000" w:sz="4" w:space="0"/>
              <w:right w:val="single" w:color="000000" w:sz="4" w:space="0"/>
            </w:tcBorders>
            <w:shd w:val="clear" w:color="auto" w:fill="auto"/>
            <w:noWrap/>
            <w:vAlign w:val="center"/>
          </w:tcPr>
          <w:p w14:paraId="7B1E924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right w:val="single" w:color="000000" w:sz="4" w:space="0"/>
            </w:tcBorders>
            <w:shd w:val="clear" w:color="auto" w:fill="auto"/>
            <w:noWrap/>
            <w:vAlign w:val="center"/>
          </w:tcPr>
          <w:p w14:paraId="12E5BB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1B2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城北街道标包7</w:t>
            </w:r>
          </w:p>
        </w:tc>
      </w:tr>
      <w:tr w14:paraId="1F4F4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17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E2E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25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300000.00 </w:t>
            </w:r>
          </w:p>
        </w:tc>
        <w:tc>
          <w:tcPr>
            <w:tcW w:w="1749" w:type="dxa"/>
            <w:vMerge w:val="continue"/>
            <w:tcBorders>
              <w:left w:val="single" w:color="000000" w:sz="4" w:space="0"/>
              <w:bottom w:val="single" w:color="000000" w:sz="4" w:space="0"/>
              <w:right w:val="single" w:color="000000" w:sz="4" w:space="0"/>
            </w:tcBorders>
            <w:shd w:val="clear" w:color="auto" w:fill="auto"/>
            <w:noWrap/>
            <w:vAlign w:val="center"/>
          </w:tcPr>
          <w:p w14:paraId="0EE172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bottom w:val="single" w:color="000000" w:sz="4" w:space="0"/>
              <w:right w:val="single" w:color="000000" w:sz="4" w:space="0"/>
            </w:tcBorders>
            <w:shd w:val="clear" w:color="auto" w:fill="auto"/>
            <w:noWrap/>
            <w:vAlign w:val="center"/>
          </w:tcPr>
          <w:p w14:paraId="2D6F301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478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盈口街道标包8</w:t>
            </w:r>
          </w:p>
        </w:tc>
      </w:tr>
      <w:tr w14:paraId="7565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BE8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包2</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8A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种植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712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590000.00 </w:t>
            </w:r>
          </w:p>
        </w:tc>
        <w:tc>
          <w:tcPr>
            <w:tcW w:w="1749" w:type="dxa"/>
            <w:vMerge w:val="restart"/>
            <w:tcBorders>
              <w:top w:val="single" w:color="000000" w:sz="4" w:space="0"/>
              <w:left w:val="single" w:color="000000" w:sz="4" w:space="0"/>
              <w:right w:val="single" w:color="000000" w:sz="4" w:space="0"/>
            </w:tcBorders>
            <w:shd w:val="clear" w:color="auto" w:fill="auto"/>
            <w:noWrap/>
            <w:vAlign w:val="center"/>
          </w:tcPr>
          <w:p w14:paraId="4BE4D3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1570000.00</w:t>
            </w:r>
          </w:p>
        </w:tc>
        <w:tc>
          <w:tcPr>
            <w:tcW w:w="1217" w:type="dxa"/>
            <w:vMerge w:val="restart"/>
            <w:tcBorders>
              <w:top w:val="single" w:color="000000" w:sz="4" w:space="0"/>
              <w:left w:val="single" w:color="000000" w:sz="4" w:space="0"/>
              <w:right w:val="single" w:color="000000" w:sz="4" w:space="0"/>
            </w:tcBorders>
            <w:shd w:val="clear" w:color="auto" w:fill="auto"/>
            <w:noWrap/>
            <w:vAlign w:val="center"/>
          </w:tcPr>
          <w:p w14:paraId="44BA07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33.26%</w:t>
            </w: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44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黄金坳镇标包2</w:t>
            </w:r>
          </w:p>
        </w:tc>
      </w:tr>
      <w:tr w14:paraId="49E1F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90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CC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森林</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53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200000.00  </w:t>
            </w:r>
          </w:p>
        </w:tc>
        <w:tc>
          <w:tcPr>
            <w:tcW w:w="1749" w:type="dxa"/>
            <w:vMerge w:val="continue"/>
            <w:tcBorders>
              <w:left w:val="single" w:color="000000" w:sz="4" w:space="0"/>
              <w:right w:val="single" w:color="000000" w:sz="4" w:space="0"/>
            </w:tcBorders>
            <w:shd w:val="clear" w:color="auto" w:fill="auto"/>
            <w:noWrap/>
            <w:vAlign w:val="center"/>
          </w:tcPr>
          <w:p w14:paraId="1EB7687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right w:val="single" w:color="000000" w:sz="4" w:space="0"/>
            </w:tcBorders>
            <w:shd w:val="clear" w:color="auto" w:fill="auto"/>
            <w:noWrap/>
            <w:vAlign w:val="center"/>
          </w:tcPr>
          <w:p w14:paraId="50743B6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67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黄金坳镇标包3</w:t>
            </w:r>
          </w:p>
        </w:tc>
      </w:tr>
      <w:tr w14:paraId="35F9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B6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B0E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061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280000.00  </w:t>
            </w:r>
          </w:p>
        </w:tc>
        <w:tc>
          <w:tcPr>
            <w:tcW w:w="1749" w:type="dxa"/>
            <w:vMerge w:val="continue"/>
            <w:tcBorders>
              <w:left w:val="single" w:color="000000" w:sz="4" w:space="0"/>
              <w:right w:val="single" w:color="000000" w:sz="4" w:space="0"/>
            </w:tcBorders>
            <w:shd w:val="clear" w:color="auto" w:fill="auto"/>
            <w:noWrap/>
            <w:vAlign w:val="center"/>
          </w:tcPr>
          <w:p w14:paraId="2FDEC38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right w:val="single" w:color="000000" w:sz="4" w:space="0"/>
            </w:tcBorders>
            <w:shd w:val="clear" w:color="auto" w:fill="auto"/>
            <w:noWrap/>
            <w:vAlign w:val="center"/>
          </w:tcPr>
          <w:p w14:paraId="112262B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5F3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河西街道标包12</w:t>
            </w:r>
          </w:p>
        </w:tc>
      </w:tr>
      <w:tr w14:paraId="5127D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A78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860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F4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500000.00  </w:t>
            </w:r>
          </w:p>
        </w:tc>
        <w:tc>
          <w:tcPr>
            <w:tcW w:w="1749" w:type="dxa"/>
            <w:vMerge w:val="continue"/>
            <w:tcBorders>
              <w:left w:val="single" w:color="000000" w:sz="4" w:space="0"/>
              <w:bottom w:val="single" w:color="000000" w:sz="4" w:space="0"/>
              <w:right w:val="single" w:color="000000" w:sz="4" w:space="0"/>
            </w:tcBorders>
            <w:shd w:val="clear" w:color="auto" w:fill="auto"/>
            <w:noWrap/>
            <w:vAlign w:val="center"/>
          </w:tcPr>
          <w:p w14:paraId="7D85FA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bottom w:val="single" w:color="000000" w:sz="4" w:space="0"/>
              <w:right w:val="single" w:color="000000" w:sz="4" w:space="0"/>
            </w:tcBorders>
            <w:shd w:val="clear" w:color="auto" w:fill="auto"/>
            <w:noWrap/>
            <w:vAlign w:val="center"/>
          </w:tcPr>
          <w:p w14:paraId="27C6E6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6A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凉亭坳乡标包10</w:t>
            </w:r>
          </w:p>
        </w:tc>
      </w:tr>
      <w:tr w14:paraId="6F0E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3D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包3</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1C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DAF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270000.00  </w:t>
            </w:r>
          </w:p>
        </w:tc>
        <w:tc>
          <w:tcPr>
            <w:tcW w:w="1749" w:type="dxa"/>
            <w:vMerge w:val="restart"/>
            <w:tcBorders>
              <w:top w:val="single" w:color="000000" w:sz="4" w:space="0"/>
              <w:left w:val="single" w:color="000000" w:sz="4" w:space="0"/>
              <w:right w:val="single" w:color="000000" w:sz="4" w:space="0"/>
            </w:tcBorders>
            <w:shd w:val="clear" w:color="auto" w:fill="auto"/>
            <w:noWrap/>
            <w:vAlign w:val="center"/>
          </w:tcPr>
          <w:p w14:paraId="641939D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1050000.00</w:t>
            </w:r>
          </w:p>
        </w:tc>
        <w:tc>
          <w:tcPr>
            <w:tcW w:w="1217" w:type="dxa"/>
            <w:vMerge w:val="restart"/>
            <w:tcBorders>
              <w:top w:val="single" w:color="000000" w:sz="4" w:space="0"/>
              <w:left w:val="single" w:color="000000" w:sz="4" w:space="0"/>
              <w:right w:val="single" w:color="000000" w:sz="4" w:space="0"/>
            </w:tcBorders>
            <w:shd w:val="clear" w:color="auto" w:fill="auto"/>
            <w:noWrap/>
            <w:vAlign w:val="center"/>
          </w:tcPr>
          <w:p w14:paraId="10DFA5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22.25%</w:t>
            </w: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548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黄岩旅游度假区标包9</w:t>
            </w:r>
          </w:p>
        </w:tc>
      </w:tr>
      <w:tr w14:paraId="0CA6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A7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977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33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680000.00  </w:t>
            </w:r>
          </w:p>
        </w:tc>
        <w:tc>
          <w:tcPr>
            <w:tcW w:w="1749" w:type="dxa"/>
            <w:vMerge w:val="continue"/>
            <w:tcBorders>
              <w:left w:val="single" w:color="000000" w:sz="4" w:space="0"/>
              <w:right w:val="single" w:color="000000" w:sz="4" w:space="0"/>
            </w:tcBorders>
            <w:shd w:val="clear" w:color="auto" w:fill="auto"/>
            <w:noWrap/>
            <w:vAlign w:val="center"/>
          </w:tcPr>
          <w:p w14:paraId="1D25DB6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right w:val="single" w:color="000000" w:sz="4" w:space="0"/>
            </w:tcBorders>
            <w:shd w:val="clear" w:color="auto" w:fill="auto"/>
            <w:noWrap/>
            <w:vAlign w:val="center"/>
          </w:tcPr>
          <w:p w14:paraId="5D9754E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57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坨院街道标包11</w:t>
            </w:r>
          </w:p>
        </w:tc>
      </w:tr>
      <w:tr w14:paraId="609F4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8CD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4FB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全险种</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99D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100000.00  </w:t>
            </w:r>
          </w:p>
        </w:tc>
        <w:tc>
          <w:tcPr>
            <w:tcW w:w="1749" w:type="dxa"/>
            <w:vMerge w:val="continue"/>
            <w:tcBorders>
              <w:left w:val="single" w:color="000000" w:sz="4" w:space="0"/>
              <w:bottom w:val="single" w:color="000000" w:sz="4" w:space="0"/>
              <w:right w:val="single" w:color="000000" w:sz="4" w:space="0"/>
            </w:tcBorders>
            <w:shd w:val="clear" w:color="auto" w:fill="auto"/>
            <w:noWrap/>
            <w:vAlign w:val="center"/>
          </w:tcPr>
          <w:p w14:paraId="4633CAB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7" w:type="dxa"/>
            <w:vMerge w:val="continue"/>
            <w:tcBorders>
              <w:left w:val="single" w:color="000000" w:sz="4" w:space="0"/>
              <w:bottom w:val="single" w:color="000000" w:sz="4" w:space="0"/>
              <w:right w:val="single" w:color="000000" w:sz="4" w:space="0"/>
            </w:tcBorders>
            <w:shd w:val="clear" w:color="auto" w:fill="auto"/>
            <w:noWrap/>
            <w:vAlign w:val="center"/>
          </w:tcPr>
          <w:p w14:paraId="72D2DC0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021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城中街道标包5</w:t>
            </w:r>
          </w:p>
        </w:tc>
      </w:tr>
    </w:tbl>
    <w:p w14:paraId="420DC1FF">
      <w:pPr>
        <w:pStyle w:val="18"/>
        <w:rPr>
          <w:rFonts w:hint="eastAsia"/>
          <w:highlight w:val="none"/>
        </w:rPr>
        <w:sectPr>
          <w:pgSz w:w="11906" w:h="16838"/>
          <w:pgMar w:top="1701" w:right="1134"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8"/>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Borders>
            <w:top w:val="none" w:sz="0" w:space="0"/>
            <w:left w:val="none" w:sz="0" w:space="0"/>
            <w:bottom w:val="none" w:sz="0" w:space="0"/>
            <w:right w:val="none" w:sz="0" w:space="0"/>
          </w:pgBorders>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7C99A8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416B86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2" w:hRule="atLeast"/>
        </w:trPr>
        <w:tc>
          <w:tcPr>
            <w:tcW w:w="722" w:type="dxa"/>
            <w:vAlign w:val="center"/>
          </w:tcPr>
          <w:p w14:paraId="7C9D225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3549363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8"/>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8"/>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bookmarkStart w:id="32" w:name="_Toc876"/>
    </w:p>
    <w:p w14:paraId="42F791BA">
      <w:pPr>
        <w:pStyle w:val="4"/>
        <w:bidi w:val="0"/>
        <w:spacing w:line="240" w:lineRule="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3"/>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789"/>
        <w:gridCol w:w="839"/>
        <w:gridCol w:w="960"/>
        <w:gridCol w:w="6579"/>
        <w:gridCol w:w="5180"/>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序号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一级指标</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top"/>
          </w:tcPr>
          <w:p w14:paraId="205BBEE7">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二级</w:t>
            </w:r>
          </w:p>
          <w:p w14:paraId="26794F10">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top"/>
          </w:tcPr>
          <w:p w14:paraId="1C8B2AD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分值</w:t>
            </w:r>
          </w:p>
          <w:p w14:paraId="7843CBF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（分）</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top"/>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评 分 标 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lang w:val="en-US" w:eastAsia="zh-CN" w:bidi="ar"/>
              </w:rPr>
            </w:pPr>
            <w:r>
              <w:rPr>
                <w:rFonts w:hint="eastAsia" w:ascii="仿宋" w:hAnsi="仿宋" w:eastAsia="仿宋" w:cs="仿宋"/>
                <w:b/>
                <w:bCs/>
                <w:i w:val="0"/>
                <w:iCs w:val="0"/>
                <w:snapToGrid w:val="0"/>
                <w:color w:val="auto"/>
                <w:kern w:val="0"/>
                <w:sz w:val="24"/>
                <w:szCs w:val="24"/>
                <w:highlight w:val="none"/>
                <w:u w:val="none"/>
                <w:lang w:val="en-US" w:eastAsia="zh-CN" w:bidi="ar"/>
              </w:rPr>
              <w:t>评  分  说  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w:t>
            </w:r>
          </w:p>
        </w:tc>
        <w:tc>
          <w:tcPr>
            <w:tcW w:w="789" w:type="dxa"/>
            <w:vMerge w:val="restart"/>
            <w:tcBorders>
              <w:top w:val="single" w:color="000000" w:sz="4" w:space="0"/>
              <w:left w:val="single" w:color="000000" w:sz="4" w:space="0"/>
              <w:right w:val="single" w:color="000000" w:sz="4" w:space="0"/>
            </w:tcBorders>
            <w:shd w:val="clear" w:color="auto" w:fill="auto"/>
            <w:vAlign w:val="center"/>
          </w:tcPr>
          <w:p w14:paraId="65F39642">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怀化市本级设置自主指标</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20分</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农业保险绩效评价结果</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5</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以参加遴选的承保机构在遴选区域内的2022-2024年度政策性农业保险承保机构工作绩效评价结果三年的平均分进行排名计分（第一名得5分，第二名得4分，第三名得3分，依此类推）。</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参加遴选的机构2022—2024年度政策性农业保险承保机构绩效得分，需提供区财政局认定的相关文件并加盖参加遴选的承保机构公章。</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789" w:type="dxa"/>
            <w:vMerge w:val="continue"/>
            <w:tcBorders>
              <w:left w:val="single" w:color="000000" w:sz="4" w:space="0"/>
              <w:right w:val="single" w:color="000000" w:sz="4" w:space="0"/>
            </w:tcBorders>
            <w:shd w:val="clear" w:color="auto" w:fill="auto"/>
            <w:vAlign w:val="center"/>
          </w:tcPr>
          <w:p w14:paraId="78728BB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农户助贷工作</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1.5</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参加遴选的承保机构及上级公司在2022-2024年度开展“以保促贷”等方式与金融机构签订合作协议并成功发放贷款的得1.5分；与金融机构签订合作协议未发放贷款的得1分。未提供相关资料的不得分。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参加遴选的承保机构应提供相关佐证材料，如合作协议、贷款合同、授信额度截图，并加盖参加遴选的承保机构公章。</w:t>
            </w:r>
          </w:p>
        </w:tc>
      </w:tr>
      <w:tr w14:paraId="6FA4D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FF6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789" w:type="dxa"/>
            <w:vMerge w:val="continue"/>
            <w:tcBorders>
              <w:left w:val="single" w:color="000000" w:sz="4" w:space="0"/>
              <w:right w:val="single" w:color="000000" w:sz="4" w:space="0"/>
            </w:tcBorders>
            <w:shd w:val="clear" w:color="auto" w:fill="auto"/>
            <w:vAlign w:val="center"/>
          </w:tcPr>
          <w:p w14:paraId="44D3DC32">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3AE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乡村振</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FE6">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2FD">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在2022-2024年度在全市范围内有乡村振兴点且有资金扶持的得1.5分，没有的不得分；以参加遴选的承保机构在2022—2024年对遴选区域受益农户人次为评分标准，赔偿受益农户人数最多的第一名得1.5分，第二名的得1分，第三名得0.5分，第四名及以后不得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3260">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参加遴选的承保机构提供相关文件，并加盖参加遴选的承保机构公章。</w:t>
            </w:r>
          </w:p>
        </w:tc>
      </w:tr>
      <w:tr w14:paraId="749A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1E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4</w:t>
            </w:r>
          </w:p>
        </w:tc>
        <w:tc>
          <w:tcPr>
            <w:tcW w:w="789" w:type="dxa"/>
            <w:vMerge w:val="continue"/>
            <w:tcBorders>
              <w:left w:val="single" w:color="000000" w:sz="4" w:space="0"/>
              <w:right w:val="single" w:color="000000" w:sz="4" w:space="0"/>
            </w:tcBorders>
            <w:shd w:val="clear" w:color="auto" w:fill="auto"/>
            <w:vAlign w:val="center"/>
          </w:tcPr>
          <w:p w14:paraId="597E6353">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4E6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农村金融贡献程度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CE3">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B96">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参加遴选的承保机构在2022年-2024年遴选区域的中央险种保险平均覆盖率（承保数量）排名计分，第一名得3分，第二名得2分，第三名得1分，第四名不得分。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73F">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鹤城区财政局提供承保基础数据，同时参加遴选的承保机构提供相关承保清单等资料，并加盖参加遴选的承保机构公章。</w:t>
            </w:r>
          </w:p>
        </w:tc>
      </w:tr>
      <w:tr w14:paraId="0DFC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66A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5</w:t>
            </w:r>
          </w:p>
        </w:tc>
        <w:tc>
          <w:tcPr>
            <w:tcW w:w="789" w:type="dxa"/>
            <w:vMerge w:val="continue"/>
            <w:tcBorders>
              <w:left w:val="single" w:color="000000" w:sz="4" w:space="0"/>
              <w:right w:val="single" w:color="000000" w:sz="4" w:space="0"/>
            </w:tcBorders>
            <w:shd w:val="clear" w:color="auto" w:fill="auto"/>
            <w:vAlign w:val="center"/>
          </w:tcPr>
          <w:p w14:paraId="73051B2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EF7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地方特色农业发展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F3D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C30C">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在2022-2024年度开展地方特色农业保险项目的得1.5分，无承保特色险种不得分。在2022-2024年度帮助种、养、林农在农业生产中减少损失并帮忙农户灾后稳定农业生产，对保障农民收入有贡献的按照已结案理赔总额排名计分（每年理赔总额第一得1.5分，理赔总额第二得1分，理赔总额第三得0.5分，第四名及以后不得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F64">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鹤城区财政局提供2022—2024年区级特色农业保险承保清单，同时遴选的承保机构提供历年理赔数据及相关资料文件，并加盖参加遴选的承保机构公章。</w:t>
            </w:r>
          </w:p>
        </w:tc>
      </w:tr>
      <w:tr w14:paraId="0884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8375">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6</w:t>
            </w:r>
          </w:p>
        </w:tc>
        <w:tc>
          <w:tcPr>
            <w:tcW w:w="789" w:type="dxa"/>
            <w:vMerge w:val="continue"/>
            <w:tcBorders>
              <w:left w:val="single" w:color="000000" w:sz="4" w:space="0"/>
              <w:right w:val="single" w:color="000000" w:sz="4" w:space="0"/>
            </w:tcBorders>
            <w:shd w:val="clear" w:color="auto" w:fill="auto"/>
            <w:vAlign w:val="center"/>
          </w:tcPr>
          <w:p w14:paraId="48B0C85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AD1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default" w:ascii="仿宋" w:hAnsi="仿宋" w:eastAsia="仿宋" w:cs="仿宋"/>
                <w:i w:val="0"/>
                <w:iCs w:val="0"/>
                <w:snapToGrid w:val="0"/>
                <w:color w:val="auto"/>
                <w:kern w:val="0"/>
                <w:sz w:val="24"/>
                <w:szCs w:val="24"/>
                <w:highlight w:val="none"/>
                <w:u w:val="none"/>
                <w:lang w:val="en-US" w:eastAsia="zh-CN" w:bidi="ar"/>
              </w:rPr>
              <w:t>农业保险宣传</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75D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2.5</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2FE8">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w:t>
            </w:r>
            <w:r>
              <w:rPr>
                <w:rFonts w:hint="default" w:ascii="仿宋" w:hAnsi="仿宋" w:eastAsia="仿宋" w:cs="仿宋"/>
                <w:i w:val="0"/>
                <w:iCs w:val="0"/>
                <w:snapToGrid w:val="0"/>
                <w:color w:val="auto"/>
                <w:kern w:val="0"/>
                <w:sz w:val="24"/>
                <w:szCs w:val="24"/>
                <w:highlight w:val="none"/>
                <w:u w:val="none"/>
                <w:lang w:val="en-US" w:eastAsia="zh-CN" w:bidi="ar"/>
              </w:rPr>
              <w:t>各承保机构必须制作简单通俗易懂的农业保险宣传单发放至每个投保农户。</w:t>
            </w:r>
          </w:p>
          <w:p w14:paraId="5DE4AD83">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r>
              <w:rPr>
                <w:rFonts w:hint="default" w:ascii="仿宋" w:hAnsi="仿宋" w:eastAsia="仿宋" w:cs="仿宋"/>
                <w:i w:val="0"/>
                <w:iCs w:val="0"/>
                <w:snapToGrid w:val="0"/>
                <w:color w:val="auto"/>
                <w:kern w:val="0"/>
                <w:sz w:val="24"/>
                <w:szCs w:val="24"/>
                <w:highlight w:val="none"/>
                <w:u w:val="none"/>
                <w:lang w:val="en-US" w:eastAsia="zh-CN" w:bidi="ar"/>
              </w:rPr>
              <w:t>各承保机构必须将投保须知、承保流程、理赔流程、联系人、业务咨询电话和省县两级监督电话等信息张贴至乡镇、村委会等场所。</w:t>
            </w:r>
          </w:p>
          <w:p w14:paraId="2438CC66">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r>
              <w:rPr>
                <w:rFonts w:hint="default" w:ascii="仿宋" w:hAnsi="仿宋" w:eastAsia="仿宋" w:cs="仿宋"/>
                <w:i w:val="0"/>
                <w:iCs w:val="0"/>
                <w:snapToGrid w:val="0"/>
                <w:color w:val="auto"/>
                <w:kern w:val="0"/>
                <w:sz w:val="24"/>
                <w:szCs w:val="24"/>
                <w:highlight w:val="none"/>
                <w:u w:val="none"/>
                <w:lang w:val="en-US" w:eastAsia="zh-CN" w:bidi="ar"/>
              </w:rPr>
              <w:t>各承保机构每年要开展1次集中宣传活动。</w:t>
            </w:r>
          </w:p>
          <w:p w14:paraId="22761136">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4.</w:t>
            </w:r>
            <w:r>
              <w:rPr>
                <w:rFonts w:hint="default" w:ascii="仿宋" w:hAnsi="仿宋" w:eastAsia="仿宋" w:cs="仿宋"/>
                <w:i w:val="0"/>
                <w:iCs w:val="0"/>
                <w:snapToGrid w:val="0"/>
                <w:color w:val="auto"/>
                <w:kern w:val="0"/>
                <w:sz w:val="24"/>
                <w:szCs w:val="24"/>
                <w:highlight w:val="none"/>
                <w:u w:val="none"/>
                <w:lang w:val="en-US" w:eastAsia="zh-CN" w:bidi="ar"/>
              </w:rPr>
              <w:t>每年组织专（兼）干、协保员培训2次及以上。</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0CA1">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w:t>
            </w:r>
            <w:r>
              <w:rPr>
                <w:rFonts w:hint="default" w:ascii="仿宋" w:hAnsi="仿宋" w:eastAsia="仿宋" w:cs="仿宋"/>
                <w:i w:val="0"/>
                <w:iCs w:val="0"/>
                <w:snapToGrid w:val="0"/>
                <w:color w:val="auto"/>
                <w:kern w:val="0"/>
                <w:sz w:val="24"/>
                <w:szCs w:val="24"/>
                <w:highlight w:val="none"/>
                <w:u w:val="none"/>
                <w:lang w:val="en-US" w:eastAsia="zh-CN" w:bidi="ar"/>
              </w:rPr>
              <w:t>各承保机构</w:t>
            </w:r>
            <w:r>
              <w:rPr>
                <w:rFonts w:hint="eastAsia" w:ascii="仿宋" w:hAnsi="仿宋" w:eastAsia="仿宋" w:cs="仿宋"/>
                <w:i w:val="0"/>
                <w:iCs w:val="0"/>
                <w:snapToGrid w:val="0"/>
                <w:color w:val="auto"/>
                <w:kern w:val="0"/>
                <w:sz w:val="24"/>
                <w:szCs w:val="24"/>
                <w:highlight w:val="none"/>
                <w:u w:val="none"/>
                <w:lang w:val="en-US" w:eastAsia="zh-CN" w:bidi="ar"/>
              </w:rPr>
              <w:t>未提供</w:t>
            </w:r>
            <w:r>
              <w:rPr>
                <w:rFonts w:hint="default" w:ascii="仿宋" w:hAnsi="仿宋" w:eastAsia="仿宋" w:cs="仿宋"/>
                <w:i w:val="0"/>
                <w:iCs w:val="0"/>
                <w:snapToGrid w:val="0"/>
                <w:color w:val="auto"/>
                <w:kern w:val="0"/>
                <w:sz w:val="24"/>
                <w:szCs w:val="24"/>
                <w:highlight w:val="none"/>
                <w:u w:val="none"/>
                <w:lang w:val="en-US" w:eastAsia="zh-CN" w:bidi="ar"/>
              </w:rPr>
              <w:t>宣传单</w:t>
            </w:r>
            <w:r>
              <w:rPr>
                <w:rFonts w:hint="eastAsia" w:ascii="仿宋" w:hAnsi="仿宋" w:eastAsia="仿宋" w:cs="仿宋"/>
                <w:i w:val="0"/>
                <w:iCs w:val="0"/>
                <w:snapToGrid w:val="0"/>
                <w:color w:val="auto"/>
                <w:kern w:val="0"/>
                <w:sz w:val="24"/>
                <w:szCs w:val="24"/>
                <w:highlight w:val="none"/>
                <w:u w:val="none"/>
                <w:lang w:val="en-US" w:eastAsia="zh-CN" w:bidi="ar"/>
              </w:rPr>
              <w:t>的印刷件和前往乡镇和村开展发放工作资料的扣</w:t>
            </w:r>
            <w:r>
              <w:rPr>
                <w:rFonts w:hint="default" w:ascii="仿宋" w:hAnsi="仿宋" w:eastAsia="仿宋" w:cs="仿宋"/>
                <w:i w:val="0"/>
                <w:iCs w:val="0"/>
                <w:snapToGrid w:val="0"/>
                <w:color w:val="auto"/>
                <w:kern w:val="0"/>
                <w:sz w:val="24"/>
                <w:szCs w:val="24"/>
                <w:highlight w:val="none"/>
                <w:u w:val="none"/>
                <w:lang w:val="en-US" w:eastAsia="zh-CN" w:bidi="ar"/>
              </w:rPr>
              <w:t>0.5分。</w:t>
            </w:r>
          </w:p>
          <w:p w14:paraId="669E6E2D">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r>
              <w:rPr>
                <w:rFonts w:hint="default" w:ascii="仿宋" w:hAnsi="仿宋" w:eastAsia="仿宋" w:cs="仿宋"/>
                <w:i w:val="0"/>
                <w:iCs w:val="0"/>
                <w:snapToGrid w:val="0"/>
                <w:color w:val="auto"/>
                <w:kern w:val="0"/>
                <w:sz w:val="24"/>
                <w:szCs w:val="24"/>
                <w:highlight w:val="none"/>
                <w:u w:val="none"/>
                <w:lang w:val="en-US" w:eastAsia="zh-CN" w:bidi="ar"/>
              </w:rPr>
              <w:t>各承保机构未将投保须知、承保流程、理赔流程、联系人、业务咨询电话和省县两级监督电话，以及各险种对应的承保机构名称、全国客服电话及区县服务电话等信息张贴至乡镇、村委会等场所，每少1个乡镇扣</w:t>
            </w:r>
            <w:r>
              <w:rPr>
                <w:rFonts w:hint="eastAsia" w:ascii="仿宋" w:hAnsi="仿宋" w:eastAsia="仿宋" w:cs="仿宋"/>
                <w:i w:val="0"/>
                <w:iCs w:val="0"/>
                <w:snapToGrid w:val="0"/>
                <w:color w:val="auto"/>
                <w:kern w:val="0"/>
                <w:sz w:val="24"/>
                <w:szCs w:val="24"/>
                <w:highlight w:val="none"/>
                <w:u w:val="none"/>
                <w:lang w:val="en-US" w:eastAsia="zh-CN" w:bidi="ar"/>
              </w:rPr>
              <w:t>0.5</w:t>
            </w:r>
            <w:r>
              <w:rPr>
                <w:rFonts w:hint="default" w:ascii="仿宋" w:hAnsi="仿宋" w:eastAsia="仿宋" w:cs="仿宋"/>
                <w:i w:val="0"/>
                <w:iCs w:val="0"/>
                <w:snapToGrid w:val="0"/>
                <w:color w:val="auto"/>
                <w:kern w:val="0"/>
                <w:sz w:val="24"/>
                <w:szCs w:val="24"/>
                <w:highlight w:val="none"/>
                <w:u w:val="none"/>
                <w:lang w:val="en-US" w:eastAsia="zh-CN" w:bidi="ar"/>
              </w:rPr>
              <w:t>分，每少</w:t>
            </w:r>
            <w:r>
              <w:rPr>
                <w:rFonts w:hint="eastAsia" w:ascii="仿宋" w:hAnsi="仿宋" w:eastAsia="仿宋" w:cs="仿宋"/>
                <w:i w:val="0"/>
                <w:iCs w:val="0"/>
                <w:snapToGrid w:val="0"/>
                <w:color w:val="auto"/>
                <w:kern w:val="0"/>
                <w:sz w:val="24"/>
                <w:szCs w:val="24"/>
                <w:highlight w:val="none"/>
                <w:u w:val="none"/>
                <w:lang w:val="en-US" w:eastAsia="zh-CN" w:bidi="ar"/>
              </w:rPr>
              <w:t>1</w:t>
            </w:r>
            <w:r>
              <w:rPr>
                <w:rFonts w:hint="default" w:ascii="仿宋" w:hAnsi="仿宋" w:eastAsia="仿宋" w:cs="仿宋"/>
                <w:i w:val="0"/>
                <w:iCs w:val="0"/>
                <w:snapToGrid w:val="0"/>
                <w:color w:val="auto"/>
                <w:kern w:val="0"/>
                <w:sz w:val="24"/>
                <w:szCs w:val="24"/>
                <w:highlight w:val="none"/>
                <w:u w:val="none"/>
                <w:lang w:val="en-US" w:eastAsia="zh-CN" w:bidi="ar"/>
              </w:rPr>
              <w:t>个村扣0.5分。</w:t>
            </w:r>
          </w:p>
          <w:p w14:paraId="74518EF4">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r>
              <w:rPr>
                <w:rFonts w:hint="default" w:ascii="仿宋" w:hAnsi="仿宋" w:eastAsia="仿宋" w:cs="仿宋"/>
                <w:i w:val="0"/>
                <w:iCs w:val="0"/>
                <w:snapToGrid w:val="0"/>
                <w:color w:val="auto"/>
                <w:kern w:val="0"/>
                <w:sz w:val="24"/>
                <w:szCs w:val="24"/>
                <w:highlight w:val="none"/>
                <w:u w:val="none"/>
                <w:lang w:val="en-US" w:eastAsia="zh-CN" w:bidi="ar"/>
              </w:rPr>
              <w:t>未开展集中宣传活动的承保机构扣</w:t>
            </w:r>
            <w:r>
              <w:rPr>
                <w:rFonts w:hint="eastAsia" w:ascii="仿宋" w:hAnsi="仿宋" w:eastAsia="仿宋" w:cs="仿宋"/>
                <w:i w:val="0"/>
                <w:iCs w:val="0"/>
                <w:snapToGrid w:val="0"/>
                <w:color w:val="auto"/>
                <w:kern w:val="0"/>
                <w:sz w:val="24"/>
                <w:szCs w:val="24"/>
                <w:highlight w:val="none"/>
                <w:u w:val="none"/>
                <w:lang w:val="en-US" w:eastAsia="zh-CN" w:bidi="ar"/>
              </w:rPr>
              <w:t>0.5</w:t>
            </w:r>
            <w:r>
              <w:rPr>
                <w:rFonts w:hint="default" w:ascii="仿宋" w:hAnsi="仿宋" w:eastAsia="仿宋" w:cs="仿宋"/>
                <w:i w:val="0"/>
                <w:iCs w:val="0"/>
                <w:snapToGrid w:val="0"/>
                <w:color w:val="auto"/>
                <w:kern w:val="0"/>
                <w:sz w:val="24"/>
                <w:szCs w:val="24"/>
                <w:highlight w:val="none"/>
                <w:u w:val="none"/>
                <w:lang w:val="en-US" w:eastAsia="zh-CN" w:bidi="ar"/>
              </w:rPr>
              <w:t>分。</w:t>
            </w:r>
          </w:p>
          <w:p w14:paraId="564659CB">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4.</w:t>
            </w:r>
            <w:r>
              <w:rPr>
                <w:rFonts w:hint="default" w:ascii="仿宋" w:hAnsi="仿宋" w:eastAsia="仿宋" w:cs="仿宋"/>
                <w:i w:val="0"/>
                <w:iCs w:val="0"/>
                <w:snapToGrid w:val="0"/>
                <w:color w:val="auto"/>
                <w:kern w:val="0"/>
                <w:sz w:val="24"/>
                <w:szCs w:val="24"/>
                <w:highlight w:val="none"/>
                <w:u w:val="none"/>
                <w:lang w:val="en-US" w:eastAsia="zh-CN" w:bidi="ar"/>
              </w:rPr>
              <w:t>未开展集中培训的，每缺少1次，扣</w:t>
            </w:r>
            <w:r>
              <w:rPr>
                <w:rFonts w:hint="eastAsia" w:ascii="仿宋" w:hAnsi="仿宋" w:eastAsia="仿宋" w:cs="仿宋"/>
                <w:i w:val="0"/>
                <w:iCs w:val="0"/>
                <w:snapToGrid w:val="0"/>
                <w:color w:val="auto"/>
                <w:kern w:val="0"/>
                <w:sz w:val="24"/>
                <w:szCs w:val="24"/>
                <w:highlight w:val="none"/>
                <w:u w:val="none"/>
                <w:lang w:val="en-US" w:eastAsia="zh-CN" w:bidi="ar"/>
              </w:rPr>
              <w:t>0.5</w:t>
            </w:r>
            <w:r>
              <w:rPr>
                <w:rFonts w:hint="default" w:ascii="仿宋" w:hAnsi="仿宋" w:eastAsia="仿宋" w:cs="仿宋"/>
                <w:i w:val="0"/>
                <w:iCs w:val="0"/>
                <w:snapToGrid w:val="0"/>
                <w:color w:val="auto"/>
                <w:kern w:val="0"/>
                <w:sz w:val="24"/>
                <w:szCs w:val="24"/>
                <w:highlight w:val="none"/>
                <w:u w:val="none"/>
                <w:lang w:val="en-US" w:eastAsia="zh-CN" w:bidi="ar"/>
              </w:rPr>
              <w:t>分。</w:t>
            </w:r>
          </w:p>
          <w:p w14:paraId="1C8DAA9E">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default" w:ascii="仿宋" w:hAnsi="仿宋" w:eastAsia="仿宋" w:cs="仿宋"/>
                <w:i w:val="0"/>
                <w:iCs w:val="0"/>
                <w:snapToGrid w:val="0"/>
                <w:color w:val="auto"/>
                <w:kern w:val="0"/>
                <w:sz w:val="24"/>
                <w:szCs w:val="24"/>
                <w:highlight w:val="none"/>
                <w:u w:val="none"/>
                <w:lang w:val="en-US" w:eastAsia="zh-CN" w:bidi="ar"/>
              </w:rPr>
              <w:t>本项</w:t>
            </w:r>
            <w:r>
              <w:rPr>
                <w:rFonts w:hint="eastAsia" w:ascii="仿宋" w:hAnsi="仿宋" w:eastAsia="仿宋" w:cs="仿宋"/>
                <w:i w:val="0"/>
                <w:iCs w:val="0"/>
                <w:snapToGrid w:val="0"/>
                <w:color w:val="auto"/>
                <w:kern w:val="0"/>
                <w:sz w:val="24"/>
                <w:szCs w:val="24"/>
                <w:highlight w:val="none"/>
                <w:u w:val="none"/>
                <w:lang w:val="en-US" w:eastAsia="zh-CN" w:bidi="ar"/>
              </w:rPr>
              <w:t>宣传是指参加遴选的承保机构在各自承保范围内的乡镇（街道）开展相关宣传工作，</w:t>
            </w:r>
            <w:r>
              <w:rPr>
                <w:rFonts w:hint="default" w:ascii="仿宋" w:hAnsi="仿宋" w:eastAsia="仿宋" w:cs="仿宋"/>
                <w:i w:val="0"/>
                <w:iCs w:val="0"/>
                <w:snapToGrid w:val="0"/>
                <w:color w:val="auto"/>
                <w:kern w:val="0"/>
                <w:sz w:val="24"/>
                <w:szCs w:val="24"/>
                <w:highlight w:val="none"/>
                <w:u w:val="none"/>
                <w:lang w:val="en-US" w:eastAsia="zh-CN" w:bidi="ar"/>
              </w:rPr>
              <w:t>以1-</w:t>
            </w:r>
            <w:r>
              <w:rPr>
                <w:rFonts w:hint="eastAsia" w:ascii="仿宋" w:hAnsi="仿宋" w:eastAsia="仿宋" w:cs="仿宋"/>
                <w:i w:val="0"/>
                <w:iCs w:val="0"/>
                <w:snapToGrid w:val="0"/>
                <w:color w:val="auto"/>
                <w:kern w:val="0"/>
                <w:sz w:val="24"/>
                <w:szCs w:val="24"/>
                <w:highlight w:val="none"/>
                <w:u w:val="none"/>
                <w:lang w:val="en-US" w:eastAsia="zh-CN" w:bidi="ar"/>
              </w:rPr>
              <w:t>4</w:t>
            </w:r>
            <w:r>
              <w:rPr>
                <w:rFonts w:hint="default" w:ascii="仿宋" w:hAnsi="仿宋" w:eastAsia="仿宋" w:cs="仿宋"/>
                <w:i w:val="0"/>
                <w:iCs w:val="0"/>
                <w:snapToGrid w:val="0"/>
                <w:color w:val="auto"/>
                <w:kern w:val="0"/>
                <w:sz w:val="24"/>
                <w:szCs w:val="24"/>
                <w:highlight w:val="none"/>
                <w:u w:val="none"/>
                <w:lang w:val="en-US" w:eastAsia="zh-CN" w:bidi="ar"/>
              </w:rPr>
              <w:t>项累计扣分后加总为最后得分。</w:t>
            </w:r>
            <w:r>
              <w:rPr>
                <w:rFonts w:hint="eastAsia" w:ascii="仿宋" w:hAnsi="仿宋" w:eastAsia="仿宋" w:cs="仿宋"/>
                <w:i w:val="0"/>
                <w:iCs w:val="0"/>
                <w:snapToGrid w:val="0"/>
                <w:color w:val="auto"/>
                <w:kern w:val="0"/>
                <w:sz w:val="24"/>
                <w:szCs w:val="24"/>
                <w:highlight w:val="none"/>
                <w:u w:val="none"/>
                <w:lang w:val="en-US" w:eastAsia="zh-CN" w:bidi="ar"/>
              </w:rPr>
              <w:t>以提供</w:t>
            </w:r>
            <w:r>
              <w:rPr>
                <w:rFonts w:hint="default" w:ascii="仿宋" w:hAnsi="仿宋" w:eastAsia="仿宋" w:cs="仿宋"/>
                <w:i w:val="0"/>
                <w:iCs w:val="0"/>
                <w:snapToGrid w:val="0"/>
                <w:color w:val="auto"/>
                <w:kern w:val="0"/>
                <w:sz w:val="24"/>
                <w:szCs w:val="24"/>
                <w:highlight w:val="none"/>
                <w:u w:val="none"/>
                <w:lang w:val="en-US" w:eastAsia="zh-CN" w:bidi="ar"/>
              </w:rPr>
              <w:t>宣传</w:t>
            </w:r>
            <w:r>
              <w:rPr>
                <w:rFonts w:hint="eastAsia" w:ascii="仿宋" w:hAnsi="仿宋" w:eastAsia="仿宋" w:cs="仿宋"/>
                <w:i w:val="0"/>
                <w:iCs w:val="0"/>
                <w:snapToGrid w:val="0"/>
                <w:color w:val="auto"/>
                <w:kern w:val="0"/>
                <w:sz w:val="24"/>
                <w:szCs w:val="24"/>
                <w:highlight w:val="none"/>
                <w:u w:val="none"/>
                <w:lang w:val="en-US" w:eastAsia="zh-CN" w:bidi="ar"/>
              </w:rPr>
              <w:t>单</w:t>
            </w:r>
            <w:r>
              <w:rPr>
                <w:rFonts w:hint="default" w:ascii="仿宋" w:hAnsi="仿宋" w:eastAsia="仿宋" w:cs="仿宋"/>
                <w:i w:val="0"/>
                <w:iCs w:val="0"/>
                <w:snapToGrid w:val="0"/>
                <w:color w:val="auto"/>
                <w:kern w:val="0"/>
                <w:sz w:val="24"/>
                <w:szCs w:val="24"/>
                <w:highlight w:val="none"/>
                <w:u w:val="none"/>
                <w:lang w:val="en-US" w:eastAsia="zh-CN" w:bidi="ar"/>
              </w:rPr>
              <w:t>和培训记录、签到表、课件、现场照片等佐证资料为准。</w:t>
            </w:r>
          </w:p>
        </w:tc>
      </w:tr>
      <w:tr w14:paraId="2283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B149">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7</w:t>
            </w:r>
          </w:p>
        </w:tc>
        <w:tc>
          <w:tcPr>
            <w:tcW w:w="789" w:type="dxa"/>
            <w:vMerge w:val="continue"/>
            <w:tcBorders>
              <w:left w:val="single" w:color="000000" w:sz="4" w:space="0"/>
              <w:right w:val="single" w:color="000000" w:sz="4" w:space="0"/>
            </w:tcBorders>
            <w:shd w:val="clear" w:color="auto" w:fill="auto"/>
            <w:vAlign w:val="center"/>
          </w:tcPr>
          <w:p w14:paraId="78CEB76A">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3A77">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服务方案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3BA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ECEC">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承保、理赔服务方案。包括组织机构、人员配置、服务流程、资金安排、承保定损理赔办法条款、风控应急管理、响应时限安排等各方面内容的完整性、科学性、合理性、可行性进行综合比较后评分。优计1分，良计0.5分，差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5DB9">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提供的资料文本为准，同时需提供对关键服务标准和服务响应时限的服务承诺书并加盖参加遴选的承保机构公章。承诺书包括但不限于遵守农业保险有关法律法规（特别是不进行虚假承保和虚假理赔）。</w:t>
            </w:r>
          </w:p>
        </w:tc>
      </w:tr>
      <w:tr w14:paraId="4DD6B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CB80">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default"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8</w:t>
            </w:r>
          </w:p>
        </w:tc>
        <w:tc>
          <w:tcPr>
            <w:tcW w:w="789" w:type="dxa"/>
            <w:vMerge w:val="continue"/>
            <w:tcBorders>
              <w:left w:val="single" w:color="000000" w:sz="4" w:space="0"/>
              <w:right w:val="single" w:color="000000" w:sz="4" w:space="0"/>
            </w:tcBorders>
            <w:shd w:val="clear" w:color="auto" w:fill="auto"/>
            <w:vAlign w:val="center"/>
          </w:tcPr>
          <w:p w14:paraId="07001AC4">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BD66">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响应文件制作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C3F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w:t>
            </w:r>
          </w:p>
        </w:tc>
        <w:tc>
          <w:tcPr>
            <w:tcW w:w="6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2B11">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响应文件全面响应遴选文件要求，编制完整、非活页装订，且有详细目录、连续页码、目录与有关材料装订顺序对应清晰、查阅方便得1分。2、编排杂乱无章、资料残缺不全、叙述模糊不清、前后不一致等，每处扣0.5分，扣完为止。</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EB29">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以参加遴选的承保机构提供的文件资料为准。</w:t>
            </w:r>
          </w:p>
        </w:tc>
      </w:tr>
    </w:tbl>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p>
    <w:p w14:paraId="489F61DF">
      <w:pPr>
        <w:pStyle w:val="16"/>
        <w:rPr>
          <w:rFonts w:hint="eastAsia" w:ascii="宋体" w:hAnsi="宋体" w:eastAsia="宋体" w:cs="宋体"/>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w:t>
      </w:r>
      <w:r>
        <w:rPr>
          <w:rFonts w:eastAsia="仿宋_GB2312"/>
          <w:color w:val="auto"/>
          <w:sz w:val="32"/>
          <w:szCs w:val="32"/>
          <w:highlight w:val="none"/>
        </w:rPr>
        <w:t>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Borders>
            <w:top w:val="none" w:sz="0" w:space="0"/>
            <w:left w:val="none" w:sz="0" w:space="0"/>
            <w:bottom w:val="none" w:sz="0" w:space="0"/>
            <w:right w:val="none" w:sz="0" w:space="0"/>
          </w:pgBorders>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5"/>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4392B0CA">
      <w:pPr>
        <w:pStyle w:val="16"/>
        <w:spacing w:line="600" w:lineRule="exact"/>
        <w:ind w:left="0" w:leftChars="0" w:firstLine="600" w:firstLineChars="200"/>
        <w:outlineLvl w:val="2"/>
        <w:rPr>
          <w:rFonts w:hint="eastAsia" w:ascii="宋体" w:hAnsi="宋体" w:eastAsia="宋体" w:cs="宋体"/>
          <w:sz w:val="30"/>
          <w:szCs w:val="30"/>
          <w:highlight w:val="none"/>
        </w:rPr>
      </w:pPr>
    </w:p>
    <w:bookmarkEnd w:id="41"/>
    <w:sectPr>
      <w:pgSz w:w="11906" w:h="16838"/>
      <w:pgMar w:top="1701" w:right="1587" w:bottom="1701"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C2DEE"/>
    <w:rsid w:val="00CE340E"/>
    <w:rsid w:val="00D4326F"/>
    <w:rsid w:val="00D84AE7"/>
    <w:rsid w:val="00DF3432"/>
    <w:rsid w:val="00E745FA"/>
    <w:rsid w:val="00E74714"/>
    <w:rsid w:val="00E90264"/>
    <w:rsid w:val="00EC702E"/>
    <w:rsid w:val="00EE2539"/>
    <w:rsid w:val="00EF2482"/>
    <w:rsid w:val="00FD2E43"/>
    <w:rsid w:val="00FD79B2"/>
    <w:rsid w:val="020066DE"/>
    <w:rsid w:val="02181973"/>
    <w:rsid w:val="031800B1"/>
    <w:rsid w:val="048225C7"/>
    <w:rsid w:val="05FA7C0E"/>
    <w:rsid w:val="064E40B2"/>
    <w:rsid w:val="07FF3AA7"/>
    <w:rsid w:val="081C07E2"/>
    <w:rsid w:val="089C2780"/>
    <w:rsid w:val="08A56755"/>
    <w:rsid w:val="0ADB1EFC"/>
    <w:rsid w:val="0B963088"/>
    <w:rsid w:val="0BC9121F"/>
    <w:rsid w:val="0C646532"/>
    <w:rsid w:val="0DA55445"/>
    <w:rsid w:val="0DA6333C"/>
    <w:rsid w:val="0E5A627C"/>
    <w:rsid w:val="0EB379F3"/>
    <w:rsid w:val="0EFF3C89"/>
    <w:rsid w:val="0F560CF6"/>
    <w:rsid w:val="100F6948"/>
    <w:rsid w:val="10163376"/>
    <w:rsid w:val="11AB1672"/>
    <w:rsid w:val="126637EB"/>
    <w:rsid w:val="1331714B"/>
    <w:rsid w:val="1538458B"/>
    <w:rsid w:val="158943B1"/>
    <w:rsid w:val="15CD4F7D"/>
    <w:rsid w:val="165B6A56"/>
    <w:rsid w:val="174F70BF"/>
    <w:rsid w:val="1787767E"/>
    <w:rsid w:val="17920977"/>
    <w:rsid w:val="17A17079"/>
    <w:rsid w:val="17A2797E"/>
    <w:rsid w:val="18DA758B"/>
    <w:rsid w:val="194D231D"/>
    <w:rsid w:val="19E54263"/>
    <w:rsid w:val="1A651CED"/>
    <w:rsid w:val="1B3A4D29"/>
    <w:rsid w:val="1B79398C"/>
    <w:rsid w:val="1B914D66"/>
    <w:rsid w:val="1E142693"/>
    <w:rsid w:val="1E2D5D39"/>
    <w:rsid w:val="1E372A92"/>
    <w:rsid w:val="1E7C5AB1"/>
    <w:rsid w:val="1F595DC8"/>
    <w:rsid w:val="20C63D0E"/>
    <w:rsid w:val="21FC002D"/>
    <w:rsid w:val="22E93214"/>
    <w:rsid w:val="23F67449"/>
    <w:rsid w:val="256A70B8"/>
    <w:rsid w:val="25ED0935"/>
    <w:rsid w:val="26403BC8"/>
    <w:rsid w:val="26461F07"/>
    <w:rsid w:val="26552377"/>
    <w:rsid w:val="271612E1"/>
    <w:rsid w:val="27542FE7"/>
    <w:rsid w:val="288566F6"/>
    <w:rsid w:val="28D42480"/>
    <w:rsid w:val="29987850"/>
    <w:rsid w:val="2A2967B0"/>
    <w:rsid w:val="2C713AB4"/>
    <w:rsid w:val="2CBC19E4"/>
    <w:rsid w:val="2E8C3C33"/>
    <w:rsid w:val="2EB05A7F"/>
    <w:rsid w:val="2EC902FF"/>
    <w:rsid w:val="2EF4531E"/>
    <w:rsid w:val="30223983"/>
    <w:rsid w:val="307A4FFC"/>
    <w:rsid w:val="31C76A1A"/>
    <w:rsid w:val="31E40C7D"/>
    <w:rsid w:val="32771731"/>
    <w:rsid w:val="33F158EE"/>
    <w:rsid w:val="34122B9B"/>
    <w:rsid w:val="341978A8"/>
    <w:rsid w:val="3479760B"/>
    <w:rsid w:val="34D32B0A"/>
    <w:rsid w:val="3570782E"/>
    <w:rsid w:val="35893A8D"/>
    <w:rsid w:val="359D741F"/>
    <w:rsid w:val="384B4B7F"/>
    <w:rsid w:val="38EB2F2F"/>
    <w:rsid w:val="39034BFF"/>
    <w:rsid w:val="3A233BEC"/>
    <w:rsid w:val="3A3277AF"/>
    <w:rsid w:val="3A53002F"/>
    <w:rsid w:val="3BB86D4F"/>
    <w:rsid w:val="3EE720FA"/>
    <w:rsid w:val="3EED47C8"/>
    <w:rsid w:val="3F34410E"/>
    <w:rsid w:val="41453A1C"/>
    <w:rsid w:val="41CA5978"/>
    <w:rsid w:val="42353BD0"/>
    <w:rsid w:val="424C731E"/>
    <w:rsid w:val="42A10AC8"/>
    <w:rsid w:val="437737FF"/>
    <w:rsid w:val="438600CE"/>
    <w:rsid w:val="44F3589B"/>
    <w:rsid w:val="451801AE"/>
    <w:rsid w:val="45554B03"/>
    <w:rsid w:val="45A54AE0"/>
    <w:rsid w:val="45E85E4D"/>
    <w:rsid w:val="45FD5611"/>
    <w:rsid w:val="471825FE"/>
    <w:rsid w:val="47882A6A"/>
    <w:rsid w:val="47AB3FD8"/>
    <w:rsid w:val="48162FF4"/>
    <w:rsid w:val="4A146E07"/>
    <w:rsid w:val="4A1C5B14"/>
    <w:rsid w:val="4A981FDE"/>
    <w:rsid w:val="4AD04226"/>
    <w:rsid w:val="4CB01046"/>
    <w:rsid w:val="4D1E5130"/>
    <w:rsid w:val="4D610614"/>
    <w:rsid w:val="4D763148"/>
    <w:rsid w:val="4E2F4656"/>
    <w:rsid w:val="4FB709CD"/>
    <w:rsid w:val="4FE97231"/>
    <w:rsid w:val="509E6BFA"/>
    <w:rsid w:val="50B4575D"/>
    <w:rsid w:val="50B975D8"/>
    <w:rsid w:val="50C05BC4"/>
    <w:rsid w:val="51965A03"/>
    <w:rsid w:val="5245080D"/>
    <w:rsid w:val="539878FA"/>
    <w:rsid w:val="53C81C8A"/>
    <w:rsid w:val="541C6E0A"/>
    <w:rsid w:val="542E4C6D"/>
    <w:rsid w:val="55351E5B"/>
    <w:rsid w:val="55F25F84"/>
    <w:rsid w:val="56464A92"/>
    <w:rsid w:val="56D82E44"/>
    <w:rsid w:val="57715BCB"/>
    <w:rsid w:val="57D93ACA"/>
    <w:rsid w:val="582653EF"/>
    <w:rsid w:val="58697DF8"/>
    <w:rsid w:val="5A2B5DD6"/>
    <w:rsid w:val="5A9C7111"/>
    <w:rsid w:val="5B771524"/>
    <w:rsid w:val="5E7C50A1"/>
    <w:rsid w:val="5EA818BE"/>
    <w:rsid w:val="5F375171"/>
    <w:rsid w:val="5FA34DEE"/>
    <w:rsid w:val="6036278C"/>
    <w:rsid w:val="60472D9A"/>
    <w:rsid w:val="606E539C"/>
    <w:rsid w:val="60FB2D39"/>
    <w:rsid w:val="61191ECF"/>
    <w:rsid w:val="62944C99"/>
    <w:rsid w:val="635F2F97"/>
    <w:rsid w:val="63D51407"/>
    <w:rsid w:val="640062FE"/>
    <w:rsid w:val="64C16C53"/>
    <w:rsid w:val="658D324C"/>
    <w:rsid w:val="65A03C86"/>
    <w:rsid w:val="65B771FC"/>
    <w:rsid w:val="65CD3425"/>
    <w:rsid w:val="672D39CE"/>
    <w:rsid w:val="67CB13DC"/>
    <w:rsid w:val="6868749D"/>
    <w:rsid w:val="6899107A"/>
    <w:rsid w:val="689D6CC8"/>
    <w:rsid w:val="68D44FCC"/>
    <w:rsid w:val="68E32517"/>
    <w:rsid w:val="6A9557B2"/>
    <w:rsid w:val="6B513BDC"/>
    <w:rsid w:val="6B88527E"/>
    <w:rsid w:val="6D3F0494"/>
    <w:rsid w:val="6DC22321"/>
    <w:rsid w:val="6E3628AD"/>
    <w:rsid w:val="6F5E2385"/>
    <w:rsid w:val="70623CB1"/>
    <w:rsid w:val="70C428E7"/>
    <w:rsid w:val="710B26DD"/>
    <w:rsid w:val="715E7A1C"/>
    <w:rsid w:val="71D636F6"/>
    <w:rsid w:val="72A33E3A"/>
    <w:rsid w:val="7391146F"/>
    <w:rsid w:val="73FE676A"/>
    <w:rsid w:val="74723B0C"/>
    <w:rsid w:val="7499091E"/>
    <w:rsid w:val="74B47D89"/>
    <w:rsid w:val="75695AB4"/>
    <w:rsid w:val="75AC53E0"/>
    <w:rsid w:val="76322E49"/>
    <w:rsid w:val="770C2360"/>
    <w:rsid w:val="785B3D17"/>
    <w:rsid w:val="79796A48"/>
    <w:rsid w:val="7B4D6C3B"/>
    <w:rsid w:val="7C5E48F4"/>
    <w:rsid w:val="7C9421F7"/>
    <w:rsid w:val="7CAA6A43"/>
    <w:rsid w:val="7CFF70CA"/>
    <w:rsid w:val="7D1E0454"/>
    <w:rsid w:val="7E492C79"/>
    <w:rsid w:val="7EBE2D4D"/>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9"/>
    <w:pPr>
      <w:keepNext/>
      <w:keepLines/>
      <w:spacing w:line="576" w:lineRule="auto"/>
      <w:outlineLvl w:val="0"/>
    </w:pPr>
    <w:rPr>
      <w:b/>
      <w:bCs/>
      <w:kern w:val="44"/>
      <w:sz w:val="44"/>
      <w:szCs w:val="44"/>
    </w:rPr>
  </w:style>
  <w:style w:type="paragraph" w:styleId="3">
    <w:name w:val="heading 2"/>
    <w:basedOn w:val="1"/>
    <w:next w:val="1"/>
    <w:link w:val="30"/>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列出段落1"/>
    <w:basedOn w:val="1"/>
    <w:qFormat/>
    <w:uiPriority w:val="0"/>
    <w:pPr>
      <w:ind w:firstLine="420" w:firstLineChars="200"/>
    </w:pPr>
    <w:rPr>
      <w:szCs w:val="20"/>
    </w:rPr>
  </w:style>
  <w:style w:type="character" w:customStyle="1" w:styleId="27">
    <w:name w:val="正文文本 (8) + 6.5 pt"/>
    <w:basedOn w:val="28"/>
    <w:qFormat/>
    <w:uiPriority w:val="0"/>
    <w:rPr>
      <w:i/>
      <w:iCs/>
      <w:color w:val="000000"/>
      <w:w w:val="100"/>
      <w:position w:val="0"/>
      <w:sz w:val="13"/>
      <w:szCs w:val="13"/>
      <w:lang w:val="zh-TW" w:eastAsia="zh-TW" w:bidi="zh-TW"/>
    </w:rPr>
  </w:style>
  <w:style w:type="character" w:customStyle="1" w:styleId="28">
    <w:name w:val="正文文本 (8)_"/>
    <w:basedOn w:val="22"/>
    <w:link w:val="29"/>
    <w:qFormat/>
    <w:uiPriority w:val="0"/>
    <w:rPr>
      <w:rFonts w:ascii="MingLiU" w:hAnsi="MingLiU" w:eastAsia="MingLiU" w:cs="MingLiU"/>
      <w:spacing w:val="10"/>
      <w:kern w:val="0"/>
      <w:sz w:val="14"/>
      <w:szCs w:val="14"/>
    </w:rPr>
  </w:style>
  <w:style w:type="paragraph" w:customStyle="1" w:styleId="29">
    <w:name w:val="正文文本 (8)"/>
    <w:basedOn w:val="1"/>
    <w:link w:val="28"/>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30">
    <w:name w:val="标题 2 Char"/>
    <w:link w:val="3"/>
    <w:qFormat/>
    <w:uiPriority w:val="0"/>
    <w:rPr>
      <w:rFonts w:ascii="Arial" w:hAnsi="Arial" w:eastAsia="黑体"/>
      <w:b/>
      <w:sz w:val="32"/>
    </w:rPr>
  </w:style>
  <w:style w:type="character" w:customStyle="1" w:styleId="31">
    <w:name w:val="标题 1 Char"/>
    <w:basedOn w:val="22"/>
    <w:link w:val="2"/>
    <w:qFormat/>
    <w:locked/>
    <w:uiPriority w:val="99"/>
    <w:rPr>
      <w:b/>
      <w:bCs/>
      <w:kern w:val="44"/>
      <w:sz w:val="44"/>
      <w:szCs w:val="44"/>
    </w:rPr>
  </w:style>
  <w:style w:type="paragraph" w:customStyle="1" w:styleId="32">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3">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3"/>
    <w:qFormat/>
    <w:uiPriority w:val="0"/>
    <w:pPr>
      <w:ind w:leftChars="400"/>
    </w:pPr>
    <w:rPr>
      <w:rFonts w:ascii="Times New Roman" w:hAnsi="Times New Roman" w:eastAsia="宋体" w:cs="Times New Roman"/>
      <w:sz w:val="20"/>
      <w:szCs w:val="20"/>
    </w:rPr>
  </w:style>
  <w:style w:type="paragraph" w:customStyle="1" w:styleId="38">
    <w:name w:val="Table Paragraph"/>
    <w:basedOn w:val="1"/>
    <w:qFormat/>
    <w:uiPriority w:val="1"/>
    <w:rPr>
      <w:rFonts w:ascii="宋体" w:hAnsi="宋体" w:eastAsia="宋体" w:cs="宋体"/>
    </w:rPr>
  </w:style>
  <w:style w:type="character" w:customStyle="1" w:styleId="39">
    <w:name w:val="font11"/>
    <w:basedOn w:val="22"/>
    <w:qFormat/>
    <w:uiPriority w:val="0"/>
    <w:rPr>
      <w:rFonts w:hint="eastAsia" w:ascii="宋体" w:hAnsi="宋体" w:eastAsia="宋体" w:cs="宋体"/>
      <w:color w:val="000000"/>
      <w:sz w:val="28"/>
      <w:szCs w:val="28"/>
      <w:u w:val="none"/>
    </w:rPr>
  </w:style>
  <w:style w:type="character" w:customStyle="1" w:styleId="40">
    <w:name w:val="font31"/>
    <w:basedOn w:val="22"/>
    <w:qFormat/>
    <w:uiPriority w:val="0"/>
    <w:rPr>
      <w:rFonts w:hint="default" w:ascii="Times New Roman" w:hAnsi="Times New Roman" w:cs="Times New Roman"/>
      <w:color w:val="000000"/>
      <w:sz w:val="28"/>
      <w:szCs w:val="28"/>
      <w:u w:val="none"/>
    </w:rPr>
  </w:style>
  <w:style w:type="character" w:customStyle="1" w:styleId="41">
    <w:name w:val="font41"/>
    <w:basedOn w:val="22"/>
    <w:qFormat/>
    <w:uiPriority w:val="0"/>
    <w:rPr>
      <w:rFonts w:hint="default" w:ascii="仿宋_GB2312" w:eastAsia="仿宋_GB2312" w:cs="仿宋_GB2312"/>
      <w:color w:val="000000"/>
      <w:sz w:val="20"/>
      <w:szCs w:val="20"/>
      <w:u w:val="none"/>
    </w:rPr>
  </w:style>
  <w:style w:type="character" w:customStyle="1" w:styleId="42">
    <w:name w:val="font21"/>
    <w:basedOn w:val="22"/>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14591</Words>
  <Characters>15567</Characters>
  <Lines>115</Lines>
  <Paragraphs>32</Paragraphs>
  <TotalTime>16</TotalTime>
  <ScaleCrop>false</ScaleCrop>
  <LinksUpToDate>false</LinksUpToDate>
  <CharactersWithSpaces>15738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2026-01-29T05:59:00Z</cp:lastPrinted>
  <dcterms:modified xsi:type="dcterms:W3CDTF">2026-01-30T11:06:20Z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eyJoZGlkIjoiNzEwNGQyY2E1ZmM2ZGY4MTY0YzQxZTExZWFiMjAxNjciLCJ1c2VySWQiOiI1NDQ5NzcyOTkifQ==</vt:lpwstr>
  </property>
</Properties>
</file>