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怀化市洪江区2026—2028年政策性农业保险承保机构项目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4"/>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20</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pgBorders>
            <w:top w:val="none" w:sz="0" w:space="0"/>
            <w:left w:val="none" w:sz="0" w:space="0"/>
            <w:bottom w:val="none" w:sz="0" w:space="0"/>
            <w:right w:val="none" w:sz="0" w:space="0"/>
          </w:pgBorders>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_Toc23780"/>
      <w:bookmarkStart w:id="2" w:name="遴选邀请"/>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cs="宋体"/>
          <w:snapToGrid w:val="0"/>
          <w:spacing w:val="0"/>
          <w:kern w:val="0"/>
          <w:sz w:val="30"/>
          <w:szCs w:val="30"/>
          <w:highlight w:val="none"/>
          <w:u w:val="single"/>
          <w:lang w:eastAsia="zh-CN"/>
        </w:rPr>
        <w:t>怀化市洪江区2026—2028年政策性农业保险承保机构项目</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4"/>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cs="宋体"/>
          <w:b w:val="0"/>
          <w:bCs w:val="0"/>
          <w:snapToGrid w:val="0"/>
          <w:color w:val="auto"/>
          <w:spacing w:val="0"/>
          <w:kern w:val="0"/>
          <w:sz w:val="30"/>
          <w:szCs w:val="30"/>
          <w:highlight w:val="none"/>
          <w:u w:val="single"/>
          <w:shd w:val="clear" w:color="auto" w:fill="FFFFFF"/>
          <w:lang w:val="en-US" w:eastAsia="zh-CN"/>
        </w:rPr>
        <w:t>怀化市洪江区2026—2028年政策性农业保险承保机构项目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300" w:firstLineChars="100"/>
        <w:jc w:val="left"/>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635"/>
        <w:gridCol w:w="2960"/>
        <w:gridCol w:w="1980"/>
        <w:gridCol w:w="2140"/>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635"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包/品目号</w:t>
            </w:r>
          </w:p>
        </w:tc>
        <w:tc>
          <w:tcPr>
            <w:tcW w:w="29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标的名称</w:t>
            </w:r>
          </w:p>
        </w:tc>
        <w:tc>
          <w:tcPr>
            <w:tcW w:w="198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（单位：项）</w:t>
            </w:r>
          </w:p>
        </w:tc>
        <w:tc>
          <w:tcPr>
            <w:tcW w:w="21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29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cs="宋体"/>
                <w:snapToGrid w:val="0"/>
                <w:spacing w:val="0"/>
                <w:kern w:val="0"/>
                <w:sz w:val="30"/>
                <w:szCs w:val="30"/>
                <w:highlight w:val="none"/>
                <w:lang w:eastAsia="zh-CN"/>
              </w:rPr>
              <w:t>怀化市洪江区2026—2028年政策性农业保险承保机构项目</w:t>
            </w:r>
          </w:p>
        </w:tc>
        <w:tc>
          <w:tcPr>
            <w:tcW w:w="19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1</w:t>
            </w:r>
          </w:p>
        </w:tc>
        <w:tc>
          <w:tcPr>
            <w:tcW w:w="21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40" w:lineRule="exact"/>
              <w:ind w:left="0" w:leftChars="0" w:firstLine="0" w:firstLineChars="0"/>
              <w:jc w:val="center"/>
              <w:textAlignment w:val="auto"/>
              <w:rPr>
                <w:rFonts w:hint="eastAsia" w:ascii="宋体" w:hAnsi="宋体" w:eastAsia="宋体" w:cs="宋体"/>
                <w:b w:val="0"/>
                <w:bCs w:val="0"/>
                <w:snapToGrid w:val="0"/>
                <w:spacing w:val="0"/>
                <w:kern w:val="0"/>
                <w:sz w:val="30"/>
                <w:szCs w:val="30"/>
                <w:highlight w:val="none"/>
                <w:lang w:val="en-US" w:eastAsia="zh-CN"/>
              </w:rPr>
            </w:pPr>
            <w:r>
              <w:rPr>
                <w:rFonts w:hint="eastAsia" w:cs="宋体"/>
                <w:b w:val="0"/>
                <w:bCs w:val="0"/>
                <w:i w:val="0"/>
                <w:iCs w:val="0"/>
                <w:snapToGrid w:val="0"/>
                <w:color w:val="000000"/>
                <w:spacing w:val="0"/>
                <w:kern w:val="0"/>
                <w:sz w:val="30"/>
                <w:szCs w:val="30"/>
                <w:highlight w:val="none"/>
                <w:u w:val="none"/>
                <w:lang w:val="en-US" w:eastAsia="zh-CN" w:bidi="ar"/>
              </w:rPr>
              <w:t>372390.80</w:t>
            </w:r>
          </w:p>
        </w:tc>
      </w:tr>
    </w:tbl>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rPr>
        <w:t> </w:t>
      </w: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301" w:type="dxa"/>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6"/>
        <w:gridCol w:w="2400"/>
        <w:gridCol w:w="2511"/>
        <w:gridCol w:w="2480"/>
        <w:gridCol w:w="1094"/>
      </w:tblGrid>
      <w:tr w14:paraId="1A24A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6" w:type="dxa"/>
            <w:tcBorders>
              <w:top w:val="single" w:color="000000" w:sz="4" w:space="0"/>
              <w:left w:val="single" w:color="000000" w:sz="4" w:space="0"/>
              <w:bottom w:val="nil"/>
              <w:right w:val="single" w:color="000000" w:sz="4" w:space="0"/>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8"/>
                <w:szCs w:val="28"/>
                <w:highlight w:val="none"/>
                <w:u w:val="none"/>
              </w:rPr>
            </w:pPr>
            <w:r>
              <w:rPr>
                <w:rFonts w:hint="eastAsia" w:ascii="宋体" w:hAnsi="宋体" w:eastAsia="宋体" w:cs="宋体"/>
                <w:b/>
                <w:bCs/>
                <w:i w:val="0"/>
                <w:iCs w:val="0"/>
                <w:snapToGrid w:val="0"/>
                <w:color w:val="auto"/>
                <w:spacing w:val="0"/>
                <w:kern w:val="0"/>
                <w:sz w:val="28"/>
                <w:szCs w:val="28"/>
                <w:highlight w:val="none"/>
                <w:u w:val="none"/>
                <w:lang w:val="en-US" w:eastAsia="zh-CN" w:bidi="ar"/>
              </w:rPr>
              <w:t>分包</w:t>
            </w:r>
          </w:p>
        </w:tc>
        <w:tc>
          <w:tcPr>
            <w:tcW w:w="2400" w:type="dxa"/>
            <w:tcBorders>
              <w:top w:val="single" w:color="000000" w:sz="4" w:space="0"/>
              <w:left w:val="single" w:color="000000" w:sz="4" w:space="0"/>
              <w:bottom w:val="nil"/>
              <w:right w:val="single" w:color="000000" w:sz="4" w:space="0"/>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8"/>
                <w:szCs w:val="28"/>
                <w:highlight w:val="none"/>
                <w:u w:val="none"/>
              </w:rPr>
            </w:pPr>
            <w:r>
              <w:rPr>
                <w:rFonts w:hint="eastAsia" w:ascii="宋体" w:hAnsi="宋体" w:eastAsia="宋体" w:cs="宋体"/>
                <w:b/>
                <w:bCs/>
                <w:i w:val="0"/>
                <w:iCs w:val="0"/>
                <w:snapToGrid w:val="0"/>
                <w:color w:val="auto"/>
                <w:spacing w:val="0"/>
                <w:kern w:val="0"/>
                <w:sz w:val="28"/>
                <w:szCs w:val="28"/>
                <w:highlight w:val="none"/>
                <w:u w:val="none"/>
                <w:lang w:val="en-US" w:eastAsia="zh-CN" w:bidi="ar"/>
              </w:rPr>
              <w:t>险种</w:t>
            </w:r>
          </w:p>
        </w:tc>
        <w:tc>
          <w:tcPr>
            <w:tcW w:w="2511" w:type="dxa"/>
            <w:tcBorders>
              <w:top w:val="single" w:color="000000" w:sz="4" w:space="0"/>
              <w:left w:val="single" w:color="000000" w:sz="4" w:space="0"/>
              <w:bottom w:val="nil"/>
              <w:right w:val="single" w:color="000000" w:sz="4" w:space="0"/>
            </w:tcBorders>
            <w:shd w:val="clear" w:color="auto" w:fill="auto"/>
            <w:vAlign w:val="center"/>
          </w:tcPr>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8"/>
                <w:szCs w:val="28"/>
                <w:highlight w:val="none"/>
                <w:u w:val="none"/>
              </w:rPr>
            </w:pPr>
            <w:r>
              <w:rPr>
                <w:rFonts w:hint="eastAsia" w:ascii="宋体" w:hAnsi="宋体" w:eastAsia="宋体" w:cs="宋体"/>
                <w:b/>
                <w:bCs/>
                <w:i w:val="0"/>
                <w:iCs w:val="0"/>
                <w:snapToGrid w:val="0"/>
                <w:color w:val="auto"/>
                <w:spacing w:val="0"/>
                <w:kern w:val="0"/>
                <w:sz w:val="28"/>
                <w:szCs w:val="28"/>
                <w:highlight w:val="none"/>
                <w:u w:val="none"/>
                <w:lang w:val="en-US" w:eastAsia="zh-CN" w:bidi="ar"/>
              </w:rPr>
              <w:t>保费金额（元）</w:t>
            </w:r>
          </w:p>
        </w:tc>
        <w:tc>
          <w:tcPr>
            <w:tcW w:w="2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8"/>
                <w:szCs w:val="28"/>
                <w:highlight w:val="none"/>
                <w:u w:val="none"/>
              </w:rPr>
            </w:pPr>
            <w:r>
              <w:rPr>
                <w:rFonts w:hint="eastAsia" w:ascii="宋体" w:hAnsi="宋体" w:eastAsia="宋体" w:cs="宋体"/>
                <w:b/>
                <w:bCs/>
                <w:i w:val="0"/>
                <w:iCs w:val="0"/>
                <w:snapToGrid w:val="0"/>
                <w:color w:val="auto"/>
                <w:spacing w:val="0"/>
                <w:kern w:val="0"/>
                <w:sz w:val="28"/>
                <w:szCs w:val="28"/>
                <w:highlight w:val="none"/>
                <w:u w:val="none"/>
                <w:lang w:val="en-US" w:eastAsia="zh-CN" w:bidi="ar"/>
              </w:rPr>
              <w:t>小计（元）</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8"/>
                <w:szCs w:val="28"/>
                <w:highlight w:val="none"/>
                <w:u w:val="none"/>
              </w:rPr>
            </w:pPr>
            <w:r>
              <w:rPr>
                <w:rFonts w:hint="eastAsia" w:ascii="宋体" w:hAnsi="宋体" w:eastAsia="宋体" w:cs="宋体"/>
                <w:b/>
                <w:bCs/>
                <w:i w:val="0"/>
                <w:iCs w:val="0"/>
                <w:snapToGrid w:val="0"/>
                <w:color w:val="auto"/>
                <w:spacing w:val="0"/>
                <w:kern w:val="0"/>
                <w:sz w:val="28"/>
                <w:szCs w:val="28"/>
                <w:highlight w:val="none"/>
                <w:u w:val="none"/>
                <w:lang w:val="en-US" w:eastAsia="zh-CN" w:bidi="ar"/>
              </w:rPr>
              <w:t>占比</w:t>
            </w:r>
          </w:p>
        </w:tc>
      </w:tr>
      <w:tr w14:paraId="09FF8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816" w:type="dxa"/>
            <w:vMerge w:val="restart"/>
            <w:tcBorders>
              <w:top w:val="single" w:color="000000" w:sz="4" w:space="0"/>
              <w:left w:val="single" w:color="000000" w:sz="4" w:space="0"/>
              <w:right w:val="single" w:color="000000" w:sz="4" w:space="0"/>
            </w:tcBorders>
            <w:shd w:val="clear" w:color="auto" w:fill="auto"/>
            <w:vAlign w:val="center"/>
          </w:tcPr>
          <w:p w14:paraId="21B42B6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包1</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eastAsia="宋体" w:cs="宋体"/>
                <w:i w:val="0"/>
                <w:iCs w:val="0"/>
                <w:snapToGrid w:val="0"/>
                <w:color w:val="auto"/>
                <w:spacing w:val="0"/>
                <w:kern w:val="0"/>
                <w:sz w:val="28"/>
                <w:szCs w:val="28"/>
                <w:highlight w:val="none"/>
                <w:u w:val="none"/>
                <w:lang w:val="en-US" w:eastAsia="zh-CN" w:bidi="ar"/>
              </w:rPr>
              <w:t>水稻</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i w:val="0"/>
                <w:iCs w:val="0"/>
                <w:snapToGrid w:val="0"/>
                <w:color w:val="auto"/>
                <w:spacing w:val="0"/>
                <w:kern w:val="0"/>
                <w:sz w:val="28"/>
                <w:szCs w:val="28"/>
                <w:highlight w:val="none"/>
                <w:u w:val="none"/>
                <w:lang w:val="en-US"/>
              </w:rPr>
            </w:pPr>
            <w:r>
              <w:rPr>
                <w:rFonts w:hint="eastAsia" w:ascii="宋体" w:hAnsi="宋体" w:eastAsia="宋体" w:cs="宋体"/>
                <w:i w:val="0"/>
                <w:iCs w:val="0"/>
                <w:snapToGrid w:val="0"/>
                <w:color w:val="auto"/>
                <w:spacing w:val="0"/>
                <w:kern w:val="0"/>
                <w:sz w:val="28"/>
                <w:szCs w:val="28"/>
                <w:highlight w:val="none"/>
                <w:u w:val="none"/>
                <w:lang w:val="en-US" w:eastAsia="zh-CN" w:bidi="ar"/>
              </w:rPr>
              <w:t>108000</w:t>
            </w:r>
            <w:r>
              <w:rPr>
                <w:rFonts w:hint="eastAsia" w:ascii="宋体" w:hAnsi="宋体" w:cs="宋体"/>
                <w:i w:val="0"/>
                <w:iCs w:val="0"/>
                <w:snapToGrid w:val="0"/>
                <w:color w:val="auto"/>
                <w:spacing w:val="0"/>
                <w:kern w:val="0"/>
                <w:sz w:val="28"/>
                <w:szCs w:val="28"/>
                <w:highlight w:val="none"/>
                <w:u w:val="none"/>
                <w:lang w:val="en-US" w:eastAsia="zh-CN" w:bidi="ar"/>
              </w:rPr>
              <w:t>.00</w:t>
            </w:r>
          </w:p>
        </w:tc>
        <w:tc>
          <w:tcPr>
            <w:tcW w:w="2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eastAsia="宋体" w:cs="宋体"/>
                <w:i w:val="0"/>
                <w:iCs w:val="0"/>
                <w:snapToGrid w:val="0"/>
                <w:color w:val="auto"/>
                <w:spacing w:val="0"/>
                <w:kern w:val="0"/>
                <w:sz w:val="28"/>
                <w:szCs w:val="28"/>
                <w:highlight w:val="none"/>
                <w:u w:val="none"/>
                <w:lang w:val="en-US" w:eastAsia="zh-CN" w:bidi="ar"/>
              </w:rPr>
              <w:t>108000</w:t>
            </w:r>
            <w:r>
              <w:rPr>
                <w:rFonts w:hint="eastAsia" w:ascii="宋体" w:hAnsi="宋体" w:cs="宋体"/>
                <w:i w:val="0"/>
                <w:iCs w:val="0"/>
                <w:snapToGrid w:val="0"/>
                <w:color w:val="auto"/>
                <w:spacing w:val="0"/>
                <w:kern w:val="0"/>
                <w:sz w:val="28"/>
                <w:szCs w:val="28"/>
                <w:highlight w:val="none"/>
                <w:u w:val="none"/>
                <w:lang w:val="en-US" w:eastAsia="zh-CN" w:bidi="ar"/>
              </w:rPr>
              <w:t>.00</w:t>
            </w:r>
          </w:p>
        </w:tc>
        <w:tc>
          <w:tcPr>
            <w:tcW w:w="1094" w:type="dxa"/>
            <w:vMerge w:val="restart"/>
            <w:tcBorders>
              <w:top w:val="single" w:color="000000" w:sz="4" w:space="0"/>
              <w:left w:val="single" w:color="000000" w:sz="4" w:space="0"/>
              <w:right w:val="single" w:color="000000" w:sz="4" w:space="0"/>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i w:val="0"/>
                <w:iCs w:val="0"/>
                <w:snapToGrid w:val="0"/>
                <w:color w:val="auto"/>
                <w:spacing w:val="0"/>
                <w:kern w:val="0"/>
                <w:sz w:val="28"/>
                <w:szCs w:val="28"/>
                <w:highlight w:val="none"/>
                <w:u w:val="none"/>
                <w:lang w:val="en-US" w:eastAsia="zh-CN"/>
              </w:rPr>
            </w:pPr>
            <w:r>
              <w:rPr>
                <w:rFonts w:hint="eastAsia" w:ascii="宋体" w:hAnsi="宋体" w:cs="宋体"/>
                <w:i w:val="0"/>
                <w:iCs w:val="0"/>
                <w:snapToGrid w:val="0"/>
                <w:color w:val="auto"/>
                <w:spacing w:val="0"/>
                <w:kern w:val="0"/>
                <w:sz w:val="28"/>
                <w:szCs w:val="28"/>
                <w:highlight w:val="none"/>
                <w:u w:val="none"/>
                <w:lang w:val="en-US" w:eastAsia="zh-CN"/>
              </w:rPr>
              <w:t>100%</w:t>
            </w:r>
          </w:p>
        </w:tc>
      </w:tr>
      <w:tr w14:paraId="3ACAE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816" w:type="dxa"/>
            <w:vMerge w:val="continue"/>
            <w:tcBorders>
              <w:left w:val="single" w:color="000000" w:sz="4" w:space="0"/>
              <w:right w:val="single" w:color="000000" w:sz="4" w:space="0"/>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eastAsia="宋体" w:cs="宋体"/>
                <w:i w:val="0"/>
                <w:iCs w:val="0"/>
                <w:snapToGrid w:val="0"/>
                <w:color w:val="auto"/>
                <w:spacing w:val="0"/>
                <w:kern w:val="0"/>
                <w:sz w:val="28"/>
                <w:szCs w:val="28"/>
                <w:highlight w:val="none"/>
                <w:u w:val="none"/>
                <w:lang w:val="en-US" w:eastAsia="zh-CN" w:bidi="ar"/>
              </w:rPr>
              <w:t>公益林</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cs="宋体"/>
                <w:i w:val="0"/>
                <w:iCs w:val="0"/>
                <w:snapToGrid w:val="0"/>
                <w:color w:val="auto"/>
                <w:spacing w:val="0"/>
                <w:kern w:val="0"/>
                <w:sz w:val="28"/>
                <w:szCs w:val="28"/>
                <w:highlight w:val="none"/>
                <w:u w:val="none"/>
                <w:lang w:val="en-US" w:eastAsia="zh-CN" w:bidi="ar"/>
              </w:rPr>
              <w:t>64390.80</w:t>
            </w:r>
          </w:p>
        </w:tc>
        <w:tc>
          <w:tcPr>
            <w:tcW w:w="2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cs="宋体"/>
                <w:i w:val="0"/>
                <w:iCs w:val="0"/>
                <w:snapToGrid w:val="0"/>
                <w:color w:val="auto"/>
                <w:spacing w:val="0"/>
                <w:kern w:val="0"/>
                <w:sz w:val="28"/>
                <w:szCs w:val="28"/>
                <w:highlight w:val="none"/>
                <w:u w:val="none"/>
                <w:lang w:val="en-US" w:eastAsia="zh-CN" w:bidi="ar"/>
              </w:rPr>
              <w:t>64390.80</w:t>
            </w:r>
          </w:p>
        </w:tc>
        <w:tc>
          <w:tcPr>
            <w:tcW w:w="1094" w:type="dxa"/>
            <w:vMerge w:val="continue"/>
            <w:tcBorders>
              <w:left w:val="single" w:color="000000" w:sz="4" w:space="0"/>
              <w:right w:val="single" w:color="000000" w:sz="4" w:space="0"/>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i w:val="0"/>
                <w:iCs w:val="0"/>
                <w:snapToGrid w:val="0"/>
                <w:color w:val="auto"/>
                <w:spacing w:val="0"/>
                <w:kern w:val="0"/>
                <w:sz w:val="28"/>
                <w:szCs w:val="28"/>
                <w:highlight w:val="none"/>
                <w:u w:val="none"/>
                <w:lang w:val="en-US" w:eastAsia="zh-CN"/>
              </w:rPr>
            </w:pPr>
          </w:p>
        </w:tc>
      </w:tr>
      <w:tr w14:paraId="595C5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816" w:type="dxa"/>
            <w:vMerge w:val="continue"/>
            <w:tcBorders>
              <w:left w:val="single" w:color="000000" w:sz="4" w:space="0"/>
              <w:bottom w:val="single" w:color="000000" w:sz="4" w:space="0"/>
              <w:right w:val="single" w:color="000000" w:sz="4" w:space="0"/>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eastAsia="宋体" w:cs="宋体"/>
                <w:i w:val="0"/>
                <w:iCs w:val="0"/>
                <w:snapToGrid w:val="0"/>
                <w:color w:val="auto"/>
                <w:spacing w:val="0"/>
                <w:kern w:val="0"/>
                <w:sz w:val="28"/>
                <w:szCs w:val="28"/>
                <w:highlight w:val="none"/>
                <w:u w:val="none"/>
                <w:lang w:val="en-US" w:eastAsia="zh-CN" w:bidi="ar"/>
              </w:rPr>
              <w:t>育肥猪</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cs="宋体"/>
                <w:i w:val="0"/>
                <w:iCs w:val="0"/>
                <w:snapToGrid w:val="0"/>
                <w:color w:val="auto"/>
                <w:spacing w:val="0"/>
                <w:kern w:val="0"/>
                <w:sz w:val="28"/>
                <w:szCs w:val="28"/>
                <w:highlight w:val="none"/>
                <w:u w:val="none"/>
                <w:lang w:val="en-US" w:eastAsia="zh-CN" w:bidi="ar"/>
              </w:rPr>
              <w:t>200000.00</w:t>
            </w:r>
          </w:p>
        </w:tc>
        <w:tc>
          <w:tcPr>
            <w:tcW w:w="2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i w:val="0"/>
                <w:iCs w:val="0"/>
                <w:snapToGrid w:val="0"/>
                <w:color w:val="auto"/>
                <w:spacing w:val="0"/>
                <w:kern w:val="0"/>
                <w:sz w:val="28"/>
                <w:szCs w:val="28"/>
                <w:highlight w:val="none"/>
                <w:u w:val="none"/>
              </w:rPr>
            </w:pPr>
            <w:r>
              <w:rPr>
                <w:rFonts w:hint="eastAsia" w:ascii="宋体" w:hAnsi="宋体" w:cs="宋体"/>
                <w:i w:val="0"/>
                <w:iCs w:val="0"/>
                <w:snapToGrid w:val="0"/>
                <w:color w:val="auto"/>
                <w:spacing w:val="0"/>
                <w:kern w:val="0"/>
                <w:sz w:val="28"/>
                <w:szCs w:val="28"/>
                <w:highlight w:val="none"/>
                <w:u w:val="none"/>
                <w:lang w:val="en-US" w:eastAsia="zh-CN" w:bidi="ar"/>
              </w:rPr>
              <w:t>200000.00</w:t>
            </w:r>
          </w:p>
        </w:tc>
        <w:tc>
          <w:tcPr>
            <w:tcW w:w="1094" w:type="dxa"/>
            <w:vMerge w:val="continue"/>
            <w:tcBorders>
              <w:left w:val="single" w:color="000000" w:sz="4" w:space="0"/>
              <w:bottom w:val="single" w:color="000000" w:sz="4" w:space="0"/>
              <w:right w:val="single" w:color="000000" w:sz="4" w:space="0"/>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i w:val="0"/>
                <w:iCs w:val="0"/>
                <w:snapToGrid w:val="0"/>
                <w:color w:val="auto"/>
                <w:spacing w:val="0"/>
                <w:kern w:val="0"/>
                <w:sz w:val="28"/>
                <w:szCs w:val="28"/>
                <w:highlight w:val="none"/>
                <w:u w:val="none"/>
                <w:lang w:val="en-US" w:eastAsia="zh-CN"/>
              </w:rPr>
            </w:pPr>
          </w:p>
        </w:tc>
      </w:tr>
    </w:tbl>
    <w:p w14:paraId="0E60D25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05"/>
        <w:gridCol w:w="3240"/>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240"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240"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24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cs="宋体"/>
                <w:snapToGrid w:val="0"/>
                <w:spacing w:val="0"/>
                <w:kern w:val="0"/>
                <w:sz w:val="30"/>
                <w:szCs w:val="30"/>
                <w:highlight w:val="none"/>
                <w:lang w:eastAsia="zh-CN"/>
              </w:rPr>
              <w:t>怀化市洪江区2026—2028年政策性农业保险承保机构项目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484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0B93D6E2">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snapToGrid w:val="0"/>
          <w:color w:val="666666"/>
          <w:spacing w:val="0"/>
          <w:kern w:val="0"/>
          <w:sz w:val="30"/>
          <w:szCs w:val="30"/>
          <w:highlight w:val="none"/>
        </w:rPr>
      </w:pPr>
      <w:r>
        <w:rPr>
          <w:rFonts w:hint="eastAsia" w:ascii="宋体" w:hAnsi="宋体" w:eastAsia="宋体" w:cs="宋体"/>
          <w:snapToGrid w:val="0"/>
          <w:color w:val="666666"/>
          <w:spacing w:val="0"/>
          <w:kern w:val="0"/>
          <w:sz w:val="30"/>
          <w:szCs w:val="30"/>
          <w:highlight w:val="none"/>
          <w:shd w:val="clear" w:color="auto" w:fill="FFFFFF"/>
        </w:rPr>
        <w:t> </w:t>
      </w:r>
    </w:p>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301" w:firstLineChars="100"/>
        <w:jc w:val="left"/>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301" w:firstLineChars="1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bookmarkEnd w:id="7"/>
    <w:p w14:paraId="3BEC7EA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本次遴选确定</w:t>
      </w:r>
      <w:r>
        <w:rPr>
          <w:rFonts w:hint="eastAsia" w:ascii="宋体" w:hAnsi="宋体" w:cs="宋体"/>
          <w:snapToGrid w:val="0"/>
          <w:spacing w:val="0"/>
          <w:kern w:val="0"/>
          <w:sz w:val="30"/>
          <w:szCs w:val="30"/>
          <w:highlight w:val="none"/>
          <w:u w:val="single"/>
          <w:shd w:val="clear" w:color="auto" w:fill="FFFFFF"/>
          <w:lang w:val="en-US" w:eastAsia="zh-CN" w:bidi="ar-SA"/>
        </w:rPr>
        <w:t xml:space="preserve"> </w:t>
      </w:r>
      <w:r>
        <w:rPr>
          <w:rFonts w:hint="eastAsia" w:ascii="宋体" w:hAnsi="宋体" w:eastAsia="宋体" w:cs="宋体"/>
          <w:snapToGrid w:val="0"/>
          <w:spacing w:val="0"/>
          <w:kern w:val="0"/>
          <w:sz w:val="30"/>
          <w:szCs w:val="30"/>
          <w:highlight w:val="none"/>
          <w:u w:val="single"/>
          <w:shd w:val="clear" w:color="auto" w:fill="FFFFFF"/>
          <w:lang w:val="en-US" w:eastAsia="zh-CN" w:bidi="ar-SA"/>
        </w:rPr>
        <w:t xml:space="preserve">怀化市洪江区2026—2028年政策性农业保险承保机构项目 </w:t>
      </w:r>
      <w:r>
        <w:rPr>
          <w:rFonts w:hint="eastAsia" w:ascii="宋体" w:hAnsi="宋体" w:eastAsia="宋体" w:cs="宋体"/>
          <w:snapToGrid w:val="0"/>
          <w:spacing w:val="0"/>
          <w:kern w:val="0"/>
          <w:sz w:val="30"/>
          <w:szCs w:val="30"/>
          <w:highlight w:val="none"/>
          <w:shd w:val="clear" w:color="auto" w:fill="FFFFFF"/>
          <w:lang w:val="en-US" w:eastAsia="zh-CN" w:bidi="ar-SA"/>
        </w:rPr>
        <w:t>1家，按照参加遴选的承保机构</w:t>
      </w:r>
      <w:r>
        <w:rPr>
          <w:rFonts w:hint="eastAsia" w:ascii="宋体" w:hAnsi="宋体" w:cs="宋体"/>
          <w:snapToGrid w:val="0"/>
          <w:spacing w:val="0"/>
          <w:kern w:val="0"/>
          <w:sz w:val="30"/>
          <w:szCs w:val="30"/>
          <w:highlight w:val="none"/>
          <w:shd w:val="clear" w:color="auto" w:fill="FFFFFF"/>
          <w:lang w:val="en-US" w:eastAsia="zh-CN" w:bidi="ar-SA"/>
        </w:rPr>
        <w:t>综合</w:t>
      </w:r>
      <w:r>
        <w:rPr>
          <w:rFonts w:hint="eastAsia" w:ascii="宋体" w:hAnsi="宋体" w:eastAsia="宋体" w:cs="宋体"/>
          <w:snapToGrid w:val="0"/>
          <w:spacing w:val="0"/>
          <w:kern w:val="0"/>
          <w:sz w:val="30"/>
          <w:szCs w:val="30"/>
          <w:highlight w:val="none"/>
          <w:shd w:val="clear" w:color="auto" w:fill="FFFFFF"/>
          <w:lang w:val="en-US" w:eastAsia="zh-CN" w:bidi="ar-SA"/>
        </w:rPr>
        <w:t xml:space="preserve">评审得分排名顺序确定。根据湘财金[2026]4号文的规定，所有遴选区域在中选机构之外，按照本办法遴选 </w:t>
      </w:r>
      <w:r>
        <w:rPr>
          <w:rFonts w:hint="default" w:ascii="宋体" w:hAnsi="宋体" w:eastAsia="宋体" w:cs="宋体"/>
          <w:snapToGrid w:val="0"/>
          <w:spacing w:val="0"/>
          <w:kern w:val="0"/>
          <w:sz w:val="30"/>
          <w:szCs w:val="30"/>
          <w:highlight w:val="none"/>
          <w:shd w:val="clear" w:color="auto" w:fill="FFFFFF"/>
          <w:lang w:val="en-US" w:eastAsia="zh-CN" w:bidi="ar-SA"/>
        </w:rPr>
        <w:t xml:space="preserve">1 </w:t>
      </w:r>
      <w:r>
        <w:rPr>
          <w:rFonts w:hint="eastAsia" w:ascii="宋体" w:hAnsi="宋体" w:eastAsia="宋体" w:cs="宋体"/>
          <w:snapToGrid w:val="0"/>
          <w:spacing w:val="0"/>
          <w:kern w:val="0"/>
          <w:sz w:val="30"/>
          <w:szCs w:val="30"/>
          <w:highlight w:val="none"/>
          <w:shd w:val="clear" w:color="auto" w:fill="FFFFFF"/>
          <w:lang w:val="en-US" w:eastAsia="zh-CN" w:bidi="ar-SA"/>
        </w:rPr>
        <w:t>家得分最高且具备农业保险实施能力的机构作为后备机构。</w:t>
      </w: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298" w:leftChars="142" w:right="0" w:firstLine="300" w:firstLineChars="1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cs="宋体"/>
          <w:b w:val="0"/>
          <w:bCs w:val="0"/>
          <w:snapToGrid w:val="0"/>
          <w:kern w:val="0"/>
          <w:sz w:val="30"/>
          <w:szCs w:val="30"/>
          <w:highlight w:val="none"/>
          <w:u w:val="single"/>
          <w:lang w:val="en-US" w:eastAsia="zh-CN" w:bidi="ar"/>
        </w:rPr>
        <w:t xml:space="preserve"> </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cs="宋体"/>
          <w:b w:val="0"/>
          <w:bCs w:val="0"/>
          <w:snapToGrid w:val="0"/>
          <w:color w:val="auto"/>
          <w:spacing w:val="0"/>
          <w:kern w:val="0"/>
          <w:sz w:val="30"/>
          <w:szCs w:val="30"/>
          <w:highlight w:val="none"/>
          <w:u w:val="single"/>
          <w:lang w:val="en-US" w:eastAsia="zh-CN"/>
        </w:rPr>
        <w:t xml:space="preserve"> </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01</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30</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02</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w:t>
      </w:r>
      <w:r>
        <w:rPr>
          <w:rFonts w:hint="eastAsia" w:ascii="宋体" w:hAnsi="宋体" w:cs="宋体"/>
          <w:b w:val="0"/>
          <w:bCs w:val="0"/>
          <w:snapToGrid w:val="0"/>
          <w:color w:val="auto"/>
          <w:spacing w:val="0"/>
          <w:kern w:val="0"/>
          <w:sz w:val="30"/>
          <w:szCs w:val="30"/>
          <w:highlight w:val="none"/>
          <w:u w:val="single"/>
          <w:lang w:val="en-US" w:eastAsia="zh-CN"/>
        </w:rPr>
        <w:t xml:space="preserve">06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40129A29">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067EA7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7670FF5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78B341AA">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679286FB">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58D92ADF">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12</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3CD4690A">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12</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1A6F260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bookmarkStart w:id="41" w:name="_GoBack"/>
      <w:bookmarkEnd w:id="41"/>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2"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lang w:eastAsia="zh-CN"/>
        </w:rPr>
        <w:t>遴选人：</w:t>
      </w:r>
      <w:r>
        <w:rPr>
          <w:rFonts w:hint="eastAsia" w:ascii="宋体" w:hAnsi="宋体" w:eastAsia="宋体" w:cs="宋体"/>
          <w:snapToGrid w:val="0"/>
          <w:spacing w:val="0"/>
          <w:kern w:val="0"/>
          <w:sz w:val="30"/>
          <w:szCs w:val="30"/>
          <w:highlight w:val="none"/>
          <w:shd w:val="clear" w:color="auto" w:fill="FFFFFF"/>
          <w:lang w:val="en-US" w:eastAsia="zh-CN"/>
        </w:rPr>
        <w:t>怀化市</w:t>
      </w:r>
      <w:r>
        <w:rPr>
          <w:rFonts w:hint="eastAsia" w:ascii="宋体" w:hAnsi="宋体" w:eastAsia="宋体" w:cs="宋体"/>
          <w:snapToGrid w:val="0"/>
          <w:spacing w:val="0"/>
          <w:kern w:val="0"/>
          <w:sz w:val="30"/>
          <w:szCs w:val="30"/>
          <w:highlight w:val="none"/>
          <w:shd w:val="clear" w:color="auto" w:fill="FFFFFF"/>
          <w:lang w:eastAsia="zh-CN"/>
        </w:rPr>
        <w:t>财政局、</w:t>
      </w:r>
      <w:r>
        <w:rPr>
          <w:rFonts w:hint="eastAsia" w:ascii="宋体" w:hAnsi="宋体" w:eastAsia="宋体" w:cs="宋体"/>
          <w:snapToGrid w:val="0"/>
          <w:spacing w:val="0"/>
          <w:kern w:val="0"/>
          <w:sz w:val="30"/>
          <w:szCs w:val="30"/>
          <w:highlight w:val="none"/>
          <w:shd w:val="clear" w:color="auto" w:fill="FFFFFF"/>
          <w:lang w:val="en-US" w:eastAsia="zh-CN"/>
        </w:rPr>
        <w:t>怀化市农业农村局</w:t>
      </w:r>
    </w:p>
    <w:p w14:paraId="742B23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eastAsia="zh-CN"/>
        </w:rPr>
        <w:t>联系人：</w:t>
      </w:r>
      <w:r>
        <w:rPr>
          <w:rFonts w:hint="eastAsia" w:cs="宋体"/>
          <w:snapToGrid w:val="0"/>
          <w:spacing w:val="0"/>
          <w:kern w:val="0"/>
          <w:sz w:val="30"/>
          <w:szCs w:val="30"/>
          <w:highlight w:val="none"/>
          <w:shd w:val="clear" w:color="auto" w:fill="FFFFFF"/>
          <w:lang w:eastAsia="zh-CN"/>
        </w:rPr>
        <w:t>谢先生、孙先生</w:t>
      </w:r>
    </w:p>
    <w:p w14:paraId="7ED8824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default"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eastAsia="zh-CN"/>
        </w:rPr>
        <w:t>电   话：</w:t>
      </w:r>
      <w:r>
        <w:rPr>
          <w:rFonts w:hint="eastAsia" w:ascii="宋体" w:hAnsi="宋体" w:eastAsia="宋体" w:cs="宋体"/>
          <w:snapToGrid w:val="0"/>
          <w:spacing w:val="0"/>
          <w:kern w:val="0"/>
          <w:sz w:val="30"/>
          <w:szCs w:val="30"/>
          <w:highlight w:val="none"/>
          <w:shd w:val="clear" w:color="auto" w:fill="FFFFFF"/>
          <w:lang w:val="en-US" w:eastAsia="zh-CN"/>
        </w:rPr>
        <w:t>0745-2218002</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color w:val="0000FF"/>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color w:val="auto"/>
          <w:spacing w:val="0"/>
          <w:kern w:val="0"/>
          <w:sz w:val="30"/>
          <w:szCs w:val="30"/>
          <w:highlight w:val="none"/>
          <w:shd w:val="clear" w:color="auto" w:fill="FFFFFF"/>
        </w:rPr>
        <w:t>地   址：</w:t>
      </w:r>
      <w:r>
        <w:rPr>
          <w:rFonts w:hint="eastAsia" w:ascii="宋体" w:hAnsi="宋体" w:eastAsia="宋体" w:cs="宋体"/>
          <w:snapToGrid w:val="0"/>
          <w:color w:val="auto"/>
          <w:spacing w:val="0"/>
          <w:kern w:val="0"/>
          <w:sz w:val="30"/>
          <w:szCs w:val="30"/>
          <w:highlight w:val="none"/>
          <w:shd w:val="clear" w:color="auto" w:fill="FFFFFF"/>
          <w:lang w:eastAsia="zh-CN"/>
        </w:rPr>
        <w:t>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2" w:firstLineChars="200"/>
        <w:jc w:val="left"/>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left="0" w:leftChars="0" w:firstLine="600" w:firstLineChars="200"/>
        <w:jc w:val="left"/>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5E7E8CC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57CA8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本项目遴选对象为保险公司所辖区域分支机构，不接受市州级分支机构报名。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eastAsia="宋体" w:cs="宋体"/>
          <w:color w:val="auto"/>
          <w:kern w:val="0"/>
          <w:sz w:val="30"/>
          <w:szCs w:val="30"/>
          <w:highlight w:val="none"/>
          <w:lang w:val="en-US" w:eastAsia="zh-CN"/>
        </w:rPr>
        <w:t>洪江区</w:t>
      </w:r>
      <w:r>
        <w:rPr>
          <w:rFonts w:hint="eastAsia" w:ascii="宋体" w:hAnsi="宋体" w:eastAsia="宋体" w:cs="宋体"/>
          <w:color w:val="auto"/>
          <w:kern w:val="0"/>
          <w:sz w:val="30"/>
          <w:szCs w:val="30"/>
          <w:highlight w:val="none"/>
        </w:rPr>
        <w:t>内开展政策农业保险品种业务（不含省级共保）的承保机构。政策性农业保险品种</w:t>
      </w:r>
      <w:r>
        <w:rPr>
          <w:rFonts w:hint="eastAsia" w:ascii="宋体" w:hAnsi="宋体" w:eastAsia="宋体" w:cs="宋体"/>
          <w:color w:val="auto"/>
          <w:kern w:val="0"/>
          <w:sz w:val="30"/>
          <w:szCs w:val="30"/>
          <w:highlight w:val="none"/>
          <w:lang w:val="en-US" w:eastAsia="zh-CN"/>
        </w:rPr>
        <w:t>中央财政补贴的农业保险品种3个</w:t>
      </w:r>
      <w:r>
        <w:rPr>
          <w:rFonts w:hint="eastAsia" w:ascii="宋体" w:hAnsi="宋体" w:eastAsia="宋体" w:cs="宋体"/>
          <w:color w:val="auto"/>
          <w:kern w:val="0"/>
          <w:sz w:val="30"/>
          <w:szCs w:val="30"/>
          <w:highlight w:val="none"/>
        </w:rPr>
        <w:t>：水稻、公益林、育肥猪。</w:t>
      </w:r>
      <w:r>
        <w:rPr>
          <w:rFonts w:hint="eastAsia" w:ascii="宋体" w:hAnsi="宋体" w:eastAsia="宋体" w:cs="宋体"/>
          <w:kern w:val="0"/>
          <w:sz w:val="30"/>
          <w:szCs w:val="30"/>
          <w:highlight w:val="none"/>
          <w:lang w:val="en-US" w:eastAsia="zh-CN"/>
        </w:rPr>
        <w:t>标包具体情况见附件1。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关于印发〈公开竞争性遴选政策性农业保险承保机构实施办法）的通知》（湘财金[20</w:t>
      </w:r>
      <w:r>
        <w:rPr>
          <w:rFonts w:hint="eastAsia" w:ascii="宋体" w:hAnsi="宋体" w:eastAsia="宋体" w:cs="宋体"/>
          <w:b w:val="0"/>
          <w:bCs w:val="0"/>
          <w:snapToGrid w:val="0"/>
          <w:spacing w:val="0"/>
          <w:kern w:val="0"/>
          <w:sz w:val="30"/>
          <w:szCs w:val="30"/>
          <w:highlight w:val="none"/>
          <w:shd w:val="clear" w:color="auto" w:fill="FFFFFF"/>
          <w:lang w:val="en-US" w:eastAsia="zh-CN"/>
        </w:rPr>
        <w:t>26</w:t>
      </w:r>
      <w:r>
        <w:rPr>
          <w:rFonts w:hint="eastAsia" w:ascii="宋体" w:hAnsi="宋体" w:eastAsia="宋体" w:cs="宋体"/>
          <w:b w:val="0"/>
          <w:bCs w:val="0"/>
          <w:snapToGrid w:val="0"/>
          <w:spacing w:val="0"/>
          <w:kern w:val="0"/>
          <w:sz w:val="30"/>
          <w:szCs w:val="30"/>
          <w:highlight w:val="none"/>
          <w:shd w:val="clear" w:color="auto" w:fill="FFFFFF"/>
        </w:rPr>
        <w:t>]</w:t>
      </w:r>
      <w:r>
        <w:rPr>
          <w:rFonts w:hint="eastAsia" w:ascii="宋体" w:hAnsi="宋体" w:eastAsia="宋体" w:cs="宋体"/>
          <w:b w:val="0"/>
          <w:bCs w:val="0"/>
          <w:snapToGrid w:val="0"/>
          <w:spacing w:val="0"/>
          <w:kern w:val="0"/>
          <w:sz w:val="30"/>
          <w:szCs w:val="30"/>
          <w:highlight w:val="none"/>
          <w:shd w:val="clear" w:color="auto" w:fill="FFFFFF"/>
          <w:lang w:val="en-US" w:eastAsia="zh-CN"/>
        </w:rPr>
        <w:t>4</w:t>
      </w:r>
      <w:r>
        <w:rPr>
          <w:rFonts w:hint="eastAsia" w:ascii="宋体" w:hAnsi="宋体" w:eastAsia="宋体" w:cs="宋体"/>
          <w:b w:val="0"/>
          <w:bCs w:val="0"/>
          <w:snapToGrid w:val="0"/>
          <w:spacing w:val="0"/>
          <w:kern w:val="0"/>
          <w:sz w:val="30"/>
          <w:szCs w:val="30"/>
          <w:highlight w:val="none"/>
          <w:shd w:val="clear" w:color="auto" w:fill="FFFFFF"/>
        </w:rPr>
        <w:t>号）规定的基本资格条件：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7EA3DA9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本次遴选确定</w:t>
      </w:r>
      <w:r>
        <w:rPr>
          <w:rFonts w:hint="eastAsia" w:ascii="宋体" w:hAnsi="宋体" w:eastAsia="宋体" w:cs="宋体"/>
          <w:snapToGrid w:val="0"/>
          <w:spacing w:val="0"/>
          <w:kern w:val="0"/>
          <w:sz w:val="30"/>
          <w:szCs w:val="30"/>
          <w:highlight w:val="none"/>
          <w:u w:val="single"/>
          <w:shd w:val="clear" w:color="auto" w:fill="FFFFFF"/>
          <w:lang w:val="en-US" w:eastAsia="zh-CN" w:bidi="ar-SA"/>
        </w:rPr>
        <w:t>怀化市洪江区2026—2028年政策性农业保险承保机构项目</w:t>
      </w:r>
      <w:r>
        <w:rPr>
          <w:rFonts w:hint="eastAsia" w:ascii="宋体" w:hAnsi="宋体" w:eastAsia="宋体" w:cs="宋体"/>
          <w:snapToGrid w:val="0"/>
          <w:spacing w:val="0"/>
          <w:kern w:val="0"/>
          <w:sz w:val="30"/>
          <w:szCs w:val="30"/>
          <w:highlight w:val="none"/>
          <w:shd w:val="clear" w:color="auto" w:fill="FFFFFF"/>
          <w:lang w:val="en-US" w:eastAsia="zh-CN" w:bidi="ar-SA"/>
        </w:rPr>
        <w:t>1家，按照参加遴选的承保机构综合评审得分排名顺序确定。根据湘财金[2026]4号文的规定，所有遴选区域在中选机构之外，按照本办法遴选1家得分最高且具备农业保险实施能力的机构作为后备机构。</w:t>
      </w:r>
    </w:p>
    <w:p w14:paraId="0B1ADF84">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eastAsia="宋体" w:cs="宋体"/>
          <w:snapToGrid w:val="0"/>
          <w:color w:val="000000"/>
          <w:spacing w:val="0"/>
          <w:kern w:val="0"/>
          <w:sz w:val="30"/>
          <w:szCs w:val="30"/>
          <w:highlight w:val="none"/>
          <w:lang w:val="en-US" w:eastAsia="zh-CN" w:bidi="ar"/>
        </w:rPr>
        <w:t>遴选对象为保险公司所辖区域分支机构，不接受市州级及以上分支机构报名。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outlineLvl w:val="1"/>
        <w:rPr>
          <w:rFonts w:hint="eastAsia" w:ascii="宋体" w:hAnsi="宋体" w:eastAsia="宋体" w:cs="宋体"/>
          <w:kern w:val="0"/>
          <w:sz w:val="30"/>
          <w:szCs w:val="30"/>
          <w:highlight w:val="none"/>
        </w:rPr>
      </w:pPr>
      <w:bookmarkStart w:id="14" w:name="_Toc10232"/>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1A0E8E9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7E58469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1B9A95B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其中省级指标（80分）包括服务能力（30分）、服务业绩（30分）、合规经营及风险管控能力（20分）三项（具体指标及评分细则详见附件2）</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县级自主设置指标一级指标分值为20分，二级指标从</w:t>
      </w:r>
      <w:r>
        <w:rPr>
          <w:rFonts w:hint="eastAsia" w:ascii="宋体" w:hAnsi="宋体" w:eastAsia="宋体" w:cs="宋体"/>
          <w:kern w:val="0"/>
          <w:sz w:val="30"/>
          <w:szCs w:val="30"/>
          <w:highlight w:val="none"/>
          <w:lang w:val="en-US" w:eastAsia="zh-CN"/>
        </w:rPr>
        <w:t>六</w:t>
      </w:r>
      <w:r>
        <w:rPr>
          <w:rFonts w:hint="eastAsia" w:ascii="宋体" w:hAnsi="宋体" w:eastAsia="宋体" w:cs="宋体"/>
          <w:kern w:val="0"/>
          <w:sz w:val="30"/>
          <w:szCs w:val="30"/>
          <w:highlight w:val="none"/>
        </w:rPr>
        <w:t>个方面进行设置分</w:t>
      </w:r>
      <w:r>
        <w:rPr>
          <w:rFonts w:hint="eastAsia" w:ascii="宋体" w:hAnsi="宋体" w:eastAsia="宋体" w:cs="宋体"/>
          <w:color w:val="auto"/>
          <w:kern w:val="0"/>
          <w:sz w:val="30"/>
          <w:szCs w:val="30"/>
          <w:highlight w:val="none"/>
        </w:rPr>
        <w:t>别为：</w:t>
      </w:r>
      <w:r>
        <w:rPr>
          <w:rFonts w:hint="eastAsia" w:ascii="宋体" w:hAnsi="宋体" w:eastAsia="宋体" w:cs="宋体"/>
          <w:color w:val="auto"/>
          <w:kern w:val="0"/>
          <w:sz w:val="30"/>
          <w:szCs w:val="30"/>
          <w:highlight w:val="none"/>
          <w:lang w:val="en-US" w:eastAsia="zh-CN"/>
        </w:rPr>
        <w:t>农业保险绩效评价</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乡村振兴</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响应文件制作</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lang w:val="en-US" w:eastAsia="zh-CN"/>
        </w:rPr>
        <w:t>农业保险宣传</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服务方案。</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具体分值及要求见附件</w:t>
      </w:r>
      <w:r>
        <w:rPr>
          <w:rFonts w:hint="eastAsia" w:ascii="宋体" w:hAnsi="宋体" w:eastAsia="宋体" w:cs="宋体"/>
          <w:color w:val="auto"/>
          <w:kern w:val="0"/>
          <w:sz w:val="30"/>
          <w:szCs w:val="30"/>
          <w:highlight w:val="none"/>
          <w:lang w:val="en-US" w:eastAsia="zh-CN"/>
        </w:rPr>
        <w:t>3</w:t>
      </w:r>
      <w:r>
        <w:rPr>
          <w:rFonts w:hint="eastAsia" w:ascii="宋体" w:hAnsi="宋体" w:eastAsia="宋体" w:cs="宋体"/>
          <w:color w:val="auto"/>
          <w:kern w:val="0"/>
          <w:sz w:val="30"/>
          <w:szCs w:val="30"/>
          <w:highlight w:val="none"/>
          <w:lang w:eastAsia="zh-CN"/>
        </w:rPr>
        <w:t>）</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w:t>
      </w:r>
      <w:r>
        <w:rPr>
          <w:rFonts w:hint="eastAsia" w:ascii="宋体" w:hAnsi="宋体" w:eastAsia="宋体" w:cs="宋体"/>
          <w:kern w:val="0"/>
          <w:sz w:val="30"/>
          <w:szCs w:val="30"/>
          <w:highlight w:val="none"/>
          <w:lang w:eastAsia="zh-CN"/>
        </w:rPr>
        <w:t>。</w:t>
      </w:r>
      <w:r>
        <w:rPr>
          <w:rFonts w:hint="eastAsia" w:ascii="宋体" w:hAnsi="宋体" w:eastAsia="宋体" w:cs="宋体"/>
          <w:kern w:val="0"/>
          <w:sz w:val="30"/>
          <w:szCs w:val="30"/>
          <w:highlight w:val="none"/>
        </w:rPr>
        <w:t>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eastAsia="宋体" w:cs="宋体"/>
          <w:kern w:val="0"/>
          <w:sz w:val="30"/>
          <w:szCs w:val="30"/>
          <w:highlight w:val="none"/>
          <w:lang w:val="en-US" w:eastAsia="zh-CN"/>
        </w:rPr>
        <w:t>四</w:t>
      </w:r>
      <w:r>
        <w:rPr>
          <w:rFonts w:hint="eastAsia" w:ascii="宋体" w:hAnsi="宋体" w:eastAsia="宋体" w:cs="宋体"/>
          <w:kern w:val="0"/>
          <w:sz w:val="30"/>
          <w:szCs w:val="30"/>
          <w:highlight w:val="none"/>
        </w:rPr>
        <w:t>份、电子文件一份。正本和副本的封面上应标记“正本”或“副本”字样；当正本和副本有差异时，以正本为准。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2001E54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30"/>
          <w:szCs w:val="30"/>
          <w:highlight w:val="none"/>
        </w:rPr>
        <w:sectPr>
          <w:footerReference r:id="rId3" w:type="default"/>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1C22A5AE">
      <w:pPr>
        <w:pStyle w:val="4"/>
        <w:bidi w:val="0"/>
        <w:rPr>
          <w:rFonts w:hint="eastAsia" w:ascii="宋体" w:hAnsi="宋体" w:eastAsia="宋体" w:cs="宋体"/>
          <w:sz w:val="24"/>
          <w:szCs w:val="24"/>
          <w:highlight w:val="none"/>
        </w:rPr>
      </w:pPr>
      <w:r>
        <w:rPr>
          <w:rFonts w:hint="eastAsia" w:ascii="宋体" w:hAnsi="宋体" w:eastAsia="宋体" w:cs="宋体"/>
          <w:sz w:val="24"/>
          <w:szCs w:val="24"/>
          <w:highlight w:val="none"/>
        </w:rPr>
        <w:t>附件1：</w:t>
      </w:r>
      <w:bookmarkEnd w:id="18"/>
    </w:p>
    <w:p w14:paraId="67F55863">
      <w:pPr>
        <w:bidi w:val="0"/>
        <w:rPr>
          <w:rFonts w:hint="eastAsia"/>
          <w:highlight w:val="none"/>
        </w:rPr>
      </w:pPr>
    </w:p>
    <w:tbl>
      <w:tblPr>
        <w:tblStyle w:val="20"/>
        <w:tblpPr w:leftFromText="180" w:rightFromText="180" w:vertAnchor="text" w:horzAnchor="page" w:tblpX="1660" w:tblpY="318"/>
        <w:tblOverlap w:val="never"/>
        <w:tblW w:w="93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1354"/>
        <w:gridCol w:w="2435"/>
        <w:gridCol w:w="1748"/>
        <w:gridCol w:w="1217"/>
        <w:gridCol w:w="1706"/>
      </w:tblGrid>
      <w:tr w14:paraId="52403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34" w:hRule="atLeast"/>
        </w:trPr>
        <w:tc>
          <w:tcPr>
            <w:tcW w:w="934" w:type="dxa"/>
            <w:tcBorders>
              <w:top w:val="single" w:color="000000" w:sz="4" w:space="0"/>
              <w:left w:val="single" w:color="000000" w:sz="4" w:space="0"/>
              <w:bottom w:val="nil"/>
              <w:right w:val="single" w:color="000000" w:sz="4" w:space="0"/>
            </w:tcBorders>
            <w:shd w:val="clear" w:color="auto" w:fill="auto"/>
            <w:vAlign w:val="center"/>
          </w:tcPr>
          <w:p w14:paraId="0242E7E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分包</w:t>
            </w:r>
          </w:p>
        </w:tc>
        <w:tc>
          <w:tcPr>
            <w:tcW w:w="1354" w:type="dxa"/>
            <w:tcBorders>
              <w:top w:val="single" w:color="000000" w:sz="4" w:space="0"/>
              <w:left w:val="single" w:color="000000" w:sz="4" w:space="0"/>
              <w:bottom w:val="nil"/>
              <w:right w:val="single" w:color="000000" w:sz="4" w:space="0"/>
            </w:tcBorders>
            <w:shd w:val="clear" w:color="auto" w:fill="auto"/>
            <w:vAlign w:val="center"/>
          </w:tcPr>
          <w:p w14:paraId="0ADE692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险种</w:t>
            </w:r>
          </w:p>
        </w:tc>
        <w:tc>
          <w:tcPr>
            <w:tcW w:w="2435" w:type="dxa"/>
            <w:tcBorders>
              <w:top w:val="single" w:color="000000" w:sz="4" w:space="0"/>
              <w:left w:val="single" w:color="000000" w:sz="4" w:space="0"/>
              <w:bottom w:val="nil"/>
              <w:right w:val="single" w:color="000000" w:sz="4" w:space="0"/>
            </w:tcBorders>
            <w:shd w:val="clear" w:color="auto" w:fill="auto"/>
            <w:vAlign w:val="center"/>
          </w:tcPr>
          <w:p w14:paraId="1E05B6C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保费金额</w:t>
            </w:r>
          </w:p>
          <w:p w14:paraId="6433057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（元）</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43CB">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小计</w:t>
            </w:r>
          </w:p>
          <w:p w14:paraId="1183597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（元）</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DB6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占比</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28A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bCs/>
                <w:i w:val="0"/>
                <w:iCs w:val="0"/>
                <w:snapToGrid w:val="0"/>
                <w:color w:val="auto"/>
                <w:spacing w:val="0"/>
                <w:kern w:val="0"/>
                <w:sz w:val="28"/>
                <w:szCs w:val="28"/>
                <w:highlight w:val="none"/>
                <w:u w:val="none"/>
                <w:lang w:val="en-US" w:eastAsia="zh-CN" w:bidi="ar"/>
              </w:rPr>
            </w:pPr>
            <w:r>
              <w:rPr>
                <w:rFonts w:hint="default" w:ascii="宋体" w:hAnsi="宋体" w:eastAsia="宋体" w:cs="宋体"/>
                <w:b/>
                <w:bCs/>
                <w:i w:val="0"/>
                <w:iCs w:val="0"/>
                <w:snapToGrid w:val="0"/>
                <w:color w:val="auto"/>
                <w:spacing w:val="0"/>
                <w:kern w:val="0"/>
                <w:sz w:val="28"/>
                <w:szCs w:val="28"/>
                <w:highlight w:val="none"/>
                <w:u w:val="none"/>
                <w:lang w:val="en-US" w:eastAsia="zh-CN" w:bidi="ar"/>
              </w:rPr>
              <w:t>行政区划</w:t>
            </w:r>
          </w:p>
        </w:tc>
      </w:tr>
      <w:tr w14:paraId="60C8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34" w:hRule="atLeast"/>
        </w:trPr>
        <w:tc>
          <w:tcPr>
            <w:tcW w:w="934" w:type="dxa"/>
            <w:vMerge w:val="restart"/>
            <w:tcBorders>
              <w:top w:val="single" w:color="000000" w:sz="4" w:space="0"/>
              <w:left w:val="single" w:color="000000" w:sz="4" w:space="0"/>
              <w:right w:val="single" w:color="000000" w:sz="4" w:space="0"/>
            </w:tcBorders>
            <w:shd w:val="clear" w:color="auto" w:fill="auto"/>
            <w:vAlign w:val="center"/>
          </w:tcPr>
          <w:p w14:paraId="125CB42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包1</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B53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水稻</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B9B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108000.00</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C0F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108000.00</w:t>
            </w:r>
          </w:p>
        </w:tc>
        <w:tc>
          <w:tcPr>
            <w:tcW w:w="1217" w:type="dxa"/>
            <w:vMerge w:val="restart"/>
            <w:tcBorders>
              <w:top w:val="single" w:color="000000" w:sz="4" w:space="0"/>
              <w:left w:val="single" w:color="000000" w:sz="4" w:space="0"/>
              <w:right w:val="single" w:color="000000" w:sz="4" w:space="0"/>
            </w:tcBorders>
            <w:shd w:val="clear" w:color="auto" w:fill="auto"/>
            <w:vAlign w:val="center"/>
          </w:tcPr>
          <w:p w14:paraId="7689B7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default"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cs="宋体"/>
                <w:b w:val="0"/>
                <w:bCs w:val="0"/>
                <w:i w:val="0"/>
                <w:iCs w:val="0"/>
                <w:snapToGrid w:val="0"/>
                <w:color w:val="auto"/>
                <w:spacing w:val="0"/>
                <w:kern w:val="0"/>
                <w:sz w:val="28"/>
                <w:szCs w:val="28"/>
                <w:highlight w:val="none"/>
                <w:u w:val="none"/>
                <w:lang w:val="en-US" w:eastAsia="zh-CN" w:bidi="ar"/>
              </w:rPr>
              <w:t>100%</w:t>
            </w:r>
          </w:p>
        </w:tc>
        <w:tc>
          <w:tcPr>
            <w:tcW w:w="1706" w:type="dxa"/>
            <w:vMerge w:val="restart"/>
            <w:tcBorders>
              <w:top w:val="single" w:color="000000" w:sz="4" w:space="0"/>
              <w:left w:val="single" w:color="000000" w:sz="4" w:space="0"/>
              <w:right w:val="single" w:color="000000" w:sz="4" w:space="0"/>
            </w:tcBorders>
            <w:shd w:val="clear" w:color="auto" w:fill="auto"/>
            <w:vAlign w:val="center"/>
          </w:tcPr>
          <w:p w14:paraId="32F20D5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cs="宋体"/>
                <w:b w:val="0"/>
                <w:bCs w:val="0"/>
                <w:i w:val="0"/>
                <w:iCs w:val="0"/>
                <w:snapToGrid w:val="0"/>
                <w:color w:val="auto"/>
                <w:spacing w:val="0"/>
                <w:kern w:val="0"/>
                <w:sz w:val="28"/>
                <w:szCs w:val="28"/>
                <w:highlight w:val="none"/>
                <w:u w:val="none"/>
                <w:lang w:val="en-US" w:eastAsia="zh-CN" w:bidi="ar"/>
              </w:rPr>
              <w:t>洪江区</w:t>
            </w:r>
          </w:p>
        </w:tc>
      </w:tr>
      <w:tr w14:paraId="2384C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34" w:hRule="atLeast"/>
        </w:trPr>
        <w:tc>
          <w:tcPr>
            <w:tcW w:w="934" w:type="dxa"/>
            <w:vMerge w:val="continue"/>
            <w:tcBorders>
              <w:left w:val="single" w:color="000000" w:sz="4" w:space="0"/>
              <w:right w:val="single" w:color="000000" w:sz="4" w:space="0"/>
            </w:tcBorders>
            <w:shd w:val="clear" w:color="auto" w:fill="auto"/>
            <w:vAlign w:val="center"/>
          </w:tcPr>
          <w:p w14:paraId="0F31A83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583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公益林</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B0D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64390.80</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0FA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64390.80</w:t>
            </w:r>
          </w:p>
        </w:tc>
        <w:tc>
          <w:tcPr>
            <w:tcW w:w="1217" w:type="dxa"/>
            <w:vMerge w:val="continue"/>
            <w:tcBorders>
              <w:left w:val="single" w:color="000000" w:sz="4" w:space="0"/>
              <w:right w:val="single" w:color="000000" w:sz="4" w:space="0"/>
            </w:tcBorders>
            <w:shd w:val="clear" w:color="auto" w:fill="auto"/>
            <w:vAlign w:val="center"/>
          </w:tcPr>
          <w:p w14:paraId="0573BFA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p>
        </w:tc>
        <w:tc>
          <w:tcPr>
            <w:tcW w:w="1706" w:type="dxa"/>
            <w:vMerge w:val="continue"/>
            <w:tcBorders>
              <w:left w:val="single" w:color="000000" w:sz="4" w:space="0"/>
              <w:right w:val="single" w:color="000000" w:sz="4" w:space="0"/>
            </w:tcBorders>
            <w:shd w:val="clear" w:color="auto" w:fill="auto"/>
            <w:vAlign w:val="center"/>
          </w:tcPr>
          <w:p w14:paraId="74E9644B">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p>
        </w:tc>
      </w:tr>
      <w:tr w14:paraId="343F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34" w:hRule="atLeast"/>
        </w:trPr>
        <w:tc>
          <w:tcPr>
            <w:tcW w:w="934" w:type="dxa"/>
            <w:vMerge w:val="continue"/>
            <w:tcBorders>
              <w:left w:val="single" w:color="000000" w:sz="4" w:space="0"/>
              <w:bottom w:val="single" w:color="000000" w:sz="4" w:space="0"/>
              <w:right w:val="single" w:color="000000" w:sz="4" w:space="0"/>
            </w:tcBorders>
            <w:shd w:val="clear" w:color="auto" w:fill="auto"/>
            <w:vAlign w:val="center"/>
          </w:tcPr>
          <w:p w14:paraId="41F049B7">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30A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育肥猪</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CD9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200000.00</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A90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t>200000.00</w:t>
            </w:r>
          </w:p>
        </w:tc>
        <w:tc>
          <w:tcPr>
            <w:tcW w:w="1217" w:type="dxa"/>
            <w:vMerge w:val="continue"/>
            <w:tcBorders>
              <w:left w:val="single" w:color="000000" w:sz="4" w:space="0"/>
              <w:bottom w:val="single" w:color="000000" w:sz="4" w:space="0"/>
              <w:right w:val="single" w:color="000000" w:sz="4" w:space="0"/>
            </w:tcBorders>
            <w:shd w:val="clear" w:color="auto" w:fill="auto"/>
            <w:vAlign w:val="center"/>
          </w:tcPr>
          <w:p w14:paraId="1E10331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p>
        </w:tc>
        <w:tc>
          <w:tcPr>
            <w:tcW w:w="1706" w:type="dxa"/>
            <w:vMerge w:val="continue"/>
            <w:tcBorders>
              <w:left w:val="single" w:color="000000" w:sz="4" w:space="0"/>
              <w:bottom w:val="single" w:color="000000" w:sz="4" w:space="0"/>
              <w:right w:val="single" w:color="000000" w:sz="4" w:space="0"/>
            </w:tcBorders>
            <w:shd w:val="clear" w:color="auto" w:fill="auto"/>
            <w:vAlign w:val="center"/>
          </w:tcPr>
          <w:p w14:paraId="3D7EBDE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0" w:firstLineChars="0"/>
              <w:jc w:val="center"/>
              <w:textAlignment w:val="center"/>
              <w:rPr>
                <w:rFonts w:hint="eastAsia" w:ascii="宋体" w:hAnsi="宋体" w:eastAsia="宋体" w:cs="宋体"/>
                <w:b w:val="0"/>
                <w:bCs w:val="0"/>
                <w:i w:val="0"/>
                <w:iCs w:val="0"/>
                <w:snapToGrid w:val="0"/>
                <w:color w:val="auto"/>
                <w:spacing w:val="0"/>
                <w:kern w:val="0"/>
                <w:sz w:val="28"/>
                <w:szCs w:val="28"/>
                <w:highlight w:val="none"/>
                <w:u w:val="none"/>
                <w:lang w:val="en-US" w:eastAsia="zh-CN" w:bidi="ar"/>
              </w:rPr>
            </w:pPr>
          </w:p>
        </w:tc>
      </w:tr>
    </w:tbl>
    <w:p w14:paraId="30EB3AC1">
      <w:pPr>
        <w:pStyle w:val="16"/>
        <w:ind w:left="0" w:leftChars="0" w:firstLine="0" w:firstLineChars="0"/>
        <w:rPr>
          <w:rFonts w:hint="eastAsia" w:ascii="宋体" w:hAnsi="宋体" w:eastAsia="宋体" w:cs="宋体"/>
          <w:highlight w:val="none"/>
        </w:rPr>
        <w:sectPr>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7"/>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Borders>
            <w:top w:val="none" w:sz="0" w:space="0"/>
            <w:left w:val="none" w:sz="0" w:space="0"/>
            <w:bottom w:val="none" w:sz="0" w:space="0"/>
            <w:right w:val="none" w:sz="0" w:space="0"/>
          </w:pgBorders>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57C99A85">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416B8683">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2" w:hRule="atLeast"/>
        </w:trPr>
        <w:tc>
          <w:tcPr>
            <w:tcW w:w="722" w:type="dxa"/>
            <w:vAlign w:val="center"/>
          </w:tcPr>
          <w:p w14:paraId="7C9D225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35493630">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7"/>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7"/>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7"/>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7"/>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7"/>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7"/>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7"/>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bookmarkStart w:id="32" w:name="_Toc876"/>
    </w:p>
    <w:p w14:paraId="42F791BA">
      <w:pPr>
        <w:pStyle w:val="4"/>
        <w:bidi w:val="0"/>
        <w:spacing w:line="240" w:lineRule="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2"/>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5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6"/>
        <w:gridCol w:w="788"/>
        <w:gridCol w:w="1238"/>
        <w:gridCol w:w="956"/>
        <w:gridCol w:w="6174"/>
        <w:gridCol w:w="5175"/>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rPr>
            </w:pPr>
            <w:r>
              <w:rPr>
                <w:rFonts w:hint="eastAsia" w:ascii="仿宋" w:hAnsi="仿宋" w:eastAsia="仿宋" w:cs="仿宋"/>
                <w:b/>
                <w:bCs/>
                <w:i w:val="0"/>
                <w:iCs w:val="0"/>
                <w:snapToGrid w:val="0"/>
                <w:color w:val="auto"/>
                <w:kern w:val="0"/>
                <w:sz w:val="24"/>
                <w:szCs w:val="24"/>
                <w:highlight w:val="none"/>
                <w:u w:val="none"/>
                <w:lang w:val="en-US" w:eastAsia="zh-CN" w:bidi="ar"/>
              </w:rPr>
              <w:t>序号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一级指标</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0B1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二级指标</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5D94">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分值（分）</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评分标准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评分说明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3"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1</w:t>
            </w: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C9237">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县级设置</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20分</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农业保险绩效评价</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7分</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近三年年度农业保险绩效评价。以参加遴选的承保机构的三年平均分进行排名，第一名7分，第二名5分，第三名3分，依次递减，无排名不计分。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参加遴选的县级机构近三年（2022-2024年）年度农业保险绩效得分，需提供财政认定的相关文件并加盖参加遴选的承保机构公章。</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28BB1">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乡村振兴</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3分</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参加遴选的承保机构2023年-2025年，在遴选区域开展农村乡村振兴类工作的。连续三年开展农村乡村振兴工作的计满分、开展两年的计2分、开展一年的计1分、未开展的不计分。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参加遴选的承保机构提供证明文件资料。</w:t>
            </w:r>
          </w:p>
        </w:tc>
      </w:tr>
      <w:tr w14:paraId="6FA4D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FF6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DC32">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3AE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响应文件制作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FE6">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3分</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2FD">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全面响应遴选文件要求，编制完整、非活动页装订，且有详细目录，连续页码、目录与有关材料装订顺序对应清晰，查阅方便得3分；编排杂乱无章，资料残缺不全，叙述模糊不清，前后不一致等，每处扣0.5分，扣完为止。</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3260">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以参加遴选的承保机构提供的文件资料为准。</w:t>
            </w:r>
          </w:p>
        </w:tc>
      </w:tr>
      <w:tr w14:paraId="749A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1E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4</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E6353">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AD1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农业保险宣传</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CE3">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4分</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B96">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2023年至2025年组织宣传农业保险承保、理赔等工作，每年召集农业保险主管部门、乡村等负责农业保险的专人开展农业保险工作会议计3分，每年保险公司牵头下到乡村宣传农险保险承保、理赔方案的计1分。缺一项扣1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73F">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由参与遴选机构提供相关资料，包括但不限于会议照片、宣传照片、宣传资料等</w:t>
            </w:r>
          </w:p>
        </w:tc>
      </w:tr>
      <w:tr w14:paraId="0DFC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66A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5</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51B21">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72C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服务方案</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F3D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3分</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C30C">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服务方案优计3分，良计2分，合格计1分，不合格不计分。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F64">
            <w:pPr>
              <w:keepNext w:val="0"/>
              <w:keepLines w:val="0"/>
              <w:pageBreakBefore w:val="0"/>
              <w:widowControl w:val="0"/>
              <w:suppressLineNumbers w:val="0"/>
              <w:kinsoku/>
              <w:wordWrap w:val="0"/>
              <w:overflowPunct/>
              <w:topLinePunct w:val="0"/>
              <w:autoSpaceDE w:val="0"/>
              <w:autoSpaceDN w:val="0"/>
              <w:bidi w:val="0"/>
              <w:adjustRightInd w:val="0"/>
              <w:snapToGrid w:val="0"/>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参与遴选公司提供相应的承保、理赔等方面的服务文件。</w:t>
            </w:r>
          </w:p>
        </w:tc>
      </w:tr>
    </w:tbl>
    <w:p w14:paraId="4019E781">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p>
    <w:p w14:paraId="489F61DF">
      <w:pPr>
        <w:pStyle w:val="16"/>
        <w:rPr>
          <w:rFonts w:hint="eastAsia" w:ascii="宋体" w:hAnsi="宋体" w:eastAsia="宋体" w:cs="宋体"/>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Borders>
            <w:top w:val="none" w:sz="0" w:space="0"/>
            <w:left w:val="none" w:sz="0" w:space="0"/>
            <w:bottom w:val="none" w:sz="0" w:space="0"/>
            <w:right w:val="none" w:sz="0" w:space="0"/>
          </w:pgBorders>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3"/>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3"/>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3"/>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07D198ED">
      <w:pPr>
        <w:pStyle w:val="16"/>
        <w:spacing w:line="600" w:lineRule="exact"/>
        <w:ind w:left="0" w:leftChars="0" w:firstLine="600" w:firstLineChars="200"/>
        <w:outlineLvl w:val="2"/>
        <w:rPr>
          <w:rFonts w:hint="eastAsia" w:ascii="宋体" w:hAnsi="宋体" w:eastAsia="宋体" w:cs="宋体"/>
          <w:sz w:val="30"/>
          <w:szCs w:val="30"/>
          <w:highlight w:val="none"/>
        </w:rPr>
      </w:pPr>
    </w:p>
    <w:sectPr>
      <w:pgSz w:w="11906" w:h="16838"/>
      <w:pgMar w:top="1701" w:right="1587" w:bottom="1701"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C2DEE"/>
    <w:rsid w:val="00CE340E"/>
    <w:rsid w:val="00D4326F"/>
    <w:rsid w:val="00D84AE7"/>
    <w:rsid w:val="00DF3432"/>
    <w:rsid w:val="00E745FA"/>
    <w:rsid w:val="00E74714"/>
    <w:rsid w:val="00E90264"/>
    <w:rsid w:val="00EC702E"/>
    <w:rsid w:val="00EE2539"/>
    <w:rsid w:val="00EF2482"/>
    <w:rsid w:val="00FD2E43"/>
    <w:rsid w:val="00FD79B2"/>
    <w:rsid w:val="02181973"/>
    <w:rsid w:val="02287A39"/>
    <w:rsid w:val="031800B1"/>
    <w:rsid w:val="048225C7"/>
    <w:rsid w:val="05FA7C0E"/>
    <w:rsid w:val="064E40B2"/>
    <w:rsid w:val="07FF3AA7"/>
    <w:rsid w:val="081C07E2"/>
    <w:rsid w:val="08906E16"/>
    <w:rsid w:val="089C2780"/>
    <w:rsid w:val="08A56755"/>
    <w:rsid w:val="09640779"/>
    <w:rsid w:val="0ADB1EFC"/>
    <w:rsid w:val="0B963088"/>
    <w:rsid w:val="0C646532"/>
    <w:rsid w:val="0DA55445"/>
    <w:rsid w:val="0DA6333C"/>
    <w:rsid w:val="0E023422"/>
    <w:rsid w:val="0E5A627C"/>
    <w:rsid w:val="0EB379F3"/>
    <w:rsid w:val="0EFF3C89"/>
    <w:rsid w:val="0F560CF6"/>
    <w:rsid w:val="100F6948"/>
    <w:rsid w:val="10163376"/>
    <w:rsid w:val="11AB1672"/>
    <w:rsid w:val="126637EB"/>
    <w:rsid w:val="1331714B"/>
    <w:rsid w:val="1538458B"/>
    <w:rsid w:val="158943B1"/>
    <w:rsid w:val="15CD4F7D"/>
    <w:rsid w:val="165B6A56"/>
    <w:rsid w:val="174F70BF"/>
    <w:rsid w:val="1787767E"/>
    <w:rsid w:val="17A17079"/>
    <w:rsid w:val="17A2797E"/>
    <w:rsid w:val="18DA758B"/>
    <w:rsid w:val="194D231D"/>
    <w:rsid w:val="1A651CED"/>
    <w:rsid w:val="1B3A4D29"/>
    <w:rsid w:val="1B79398C"/>
    <w:rsid w:val="1B914D66"/>
    <w:rsid w:val="1D842CFE"/>
    <w:rsid w:val="1E142693"/>
    <w:rsid w:val="1E2D5D39"/>
    <w:rsid w:val="1E372A92"/>
    <w:rsid w:val="1E7C5AB1"/>
    <w:rsid w:val="1F595DC8"/>
    <w:rsid w:val="20C63D0E"/>
    <w:rsid w:val="21FC002D"/>
    <w:rsid w:val="22E93214"/>
    <w:rsid w:val="23F67449"/>
    <w:rsid w:val="256A70B8"/>
    <w:rsid w:val="25ED0935"/>
    <w:rsid w:val="26403BC8"/>
    <w:rsid w:val="26461F07"/>
    <w:rsid w:val="26552377"/>
    <w:rsid w:val="27542FE7"/>
    <w:rsid w:val="288566F6"/>
    <w:rsid w:val="28D42480"/>
    <w:rsid w:val="29987850"/>
    <w:rsid w:val="2A2967B0"/>
    <w:rsid w:val="2C713AB4"/>
    <w:rsid w:val="2CBC19E4"/>
    <w:rsid w:val="2CF02D86"/>
    <w:rsid w:val="2E8C3C33"/>
    <w:rsid w:val="2EB05A7F"/>
    <w:rsid w:val="2EC902FF"/>
    <w:rsid w:val="2EF4531E"/>
    <w:rsid w:val="307A4FFC"/>
    <w:rsid w:val="31C76A1A"/>
    <w:rsid w:val="31E40C7D"/>
    <w:rsid w:val="32771731"/>
    <w:rsid w:val="33F158EE"/>
    <w:rsid w:val="34122B9B"/>
    <w:rsid w:val="341978A8"/>
    <w:rsid w:val="3479760B"/>
    <w:rsid w:val="35893A8D"/>
    <w:rsid w:val="359D741F"/>
    <w:rsid w:val="383A0B0E"/>
    <w:rsid w:val="384B4B7F"/>
    <w:rsid w:val="38EB2F2F"/>
    <w:rsid w:val="3A233BEC"/>
    <w:rsid w:val="3A3277AF"/>
    <w:rsid w:val="3A53002F"/>
    <w:rsid w:val="3E8B6203"/>
    <w:rsid w:val="3EE720FA"/>
    <w:rsid w:val="3F34410E"/>
    <w:rsid w:val="41453A1C"/>
    <w:rsid w:val="41CA5978"/>
    <w:rsid w:val="42353BD0"/>
    <w:rsid w:val="424C731E"/>
    <w:rsid w:val="42A10AC8"/>
    <w:rsid w:val="42C31450"/>
    <w:rsid w:val="437737FF"/>
    <w:rsid w:val="438600CE"/>
    <w:rsid w:val="451801AE"/>
    <w:rsid w:val="45554B03"/>
    <w:rsid w:val="45A54AE0"/>
    <w:rsid w:val="45E85E4D"/>
    <w:rsid w:val="45FD5611"/>
    <w:rsid w:val="471825FE"/>
    <w:rsid w:val="47882A6A"/>
    <w:rsid w:val="47AB3FD8"/>
    <w:rsid w:val="47DB51F2"/>
    <w:rsid w:val="48162FF4"/>
    <w:rsid w:val="4A146E07"/>
    <w:rsid w:val="4A1C5B14"/>
    <w:rsid w:val="4AD04226"/>
    <w:rsid w:val="4CB01046"/>
    <w:rsid w:val="4D1E5130"/>
    <w:rsid w:val="4D610614"/>
    <w:rsid w:val="4D763148"/>
    <w:rsid w:val="4E2F4656"/>
    <w:rsid w:val="4FB709CD"/>
    <w:rsid w:val="4FE97231"/>
    <w:rsid w:val="509E6BFA"/>
    <w:rsid w:val="50B4575D"/>
    <w:rsid w:val="50B975D8"/>
    <w:rsid w:val="50C05BC4"/>
    <w:rsid w:val="51965A03"/>
    <w:rsid w:val="5245080D"/>
    <w:rsid w:val="539878FA"/>
    <w:rsid w:val="53C81C8A"/>
    <w:rsid w:val="541C6E0A"/>
    <w:rsid w:val="542E4C6D"/>
    <w:rsid w:val="55351E5B"/>
    <w:rsid w:val="55F25F84"/>
    <w:rsid w:val="56464A92"/>
    <w:rsid w:val="56D82E44"/>
    <w:rsid w:val="57715BCB"/>
    <w:rsid w:val="57D93ACA"/>
    <w:rsid w:val="582653EF"/>
    <w:rsid w:val="58697DF8"/>
    <w:rsid w:val="5A2B5DD6"/>
    <w:rsid w:val="5A9C7111"/>
    <w:rsid w:val="5B771524"/>
    <w:rsid w:val="5E7C50A1"/>
    <w:rsid w:val="5F375171"/>
    <w:rsid w:val="5FA34DEE"/>
    <w:rsid w:val="6036278C"/>
    <w:rsid w:val="60472D9A"/>
    <w:rsid w:val="606E539C"/>
    <w:rsid w:val="60FB2D39"/>
    <w:rsid w:val="61191ECF"/>
    <w:rsid w:val="62944C99"/>
    <w:rsid w:val="635F2F97"/>
    <w:rsid w:val="63D51407"/>
    <w:rsid w:val="640062FE"/>
    <w:rsid w:val="64C16C53"/>
    <w:rsid w:val="658D324C"/>
    <w:rsid w:val="65A03C86"/>
    <w:rsid w:val="65B771FC"/>
    <w:rsid w:val="65CD3425"/>
    <w:rsid w:val="672D39CE"/>
    <w:rsid w:val="67A96C2F"/>
    <w:rsid w:val="67CB13DC"/>
    <w:rsid w:val="6868749D"/>
    <w:rsid w:val="689D6CC8"/>
    <w:rsid w:val="68D44FCC"/>
    <w:rsid w:val="68E32517"/>
    <w:rsid w:val="6A9557B2"/>
    <w:rsid w:val="6B513BDC"/>
    <w:rsid w:val="6D3F0494"/>
    <w:rsid w:val="6DC22321"/>
    <w:rsid w:val="6E3628AD"/>
    <w:rsid w:val="6F5E2385"/>
    <w:rsid w:val="70623CB1"/>
    <w:rsid w:val="70C428E7"/>
    <w:rsid w:val="710B26DD"/>
    <w:rsid w:val="715E7A1C"/>
    <w:rsid w:val="72A33E3A"/>
    <w:rsid w:val="7391146F"/>
    <w:rsid w:val="73FE676A"/>
    <w:rsid w:val="74723B0C"/>
    <w:rsid w:val="7499091E"/>
    <w:rsid w:val="74B47D89"/>
    <w:rsid w:val="75695AB4"/>
    <w:rsid w:val="75AC53E0"/>
    <w:rsid w:val="76322E49"/>
    <w:rsid w:val="76E8291F"/>
    <w:rsid w:val="770C2360"/>
    <w:rsid w:val="77D870BC"/>
    <w:rsid w:val="785B3D17"/>
    <w:rsid w:val="7B4D6C3B"/>
    <w:rsid w:val="7C5E48F4"/>
    <w:rsid w:val="7C9421F7"/>
    <w:rsid w:val="7CAA6A43"/>
    <w:rsid w:val="7CFF70CA"/>
    <w:rsid w:val="7D1E0454"/>
    <w:rsid w:val="7E492C79"/>
    <w:rsid w:val="7EBE2D4D"/>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9"/>
    <w:pPr>
      <w:keepNext/>
      <w:keepLines/>
      <w:spacing w:line="576" w:lineRule="auto"/>
      <w:outlineLvl w:val="0"/>
    </w:pPr>
    <w:rPr>
      <w:b/>
      <w:bCs/>
      <w:kern w:val="44"/>
      <w:sz w:val="44"/>
      <w:szCs w:val="44"/>
    </w:rPr>
  </w:style>
  <w:style w:type="paragraph" w:styleId="3">
    <w:name w:val="heading 2"/>
    <w:basedOn w:val="1"/>
    <w:next w:val="1"/>
    <w:link w:val="29"/>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character" w:styleId="22">
    <w:name w:val="page number"/>
    <w:basedOn w:val="21"/>
    <w:qFormat/>
    <w:uiPriority w:val="0"/>
  </w:style>
  <w:style w:type="character" w:styleId="23">
    <w:name w:val="FollowedHyperlink"/>
    <w:basedOn w:val="21"/>
    <w:qFormat/>
    <w:uiPriority w:val="0"/>
    <w:rPr>
      <w:color w:val="800080"/>
      <w:u w:val="single"/>
    </w:rPr>
  </w:style>
  <w:style w:type="character" w:styleId="24">
    <w:name w:val="Hyperlink"/>
    <w:basedOn w:val="21"/>
    <w:qFormat/>
    <w:uiPriority w:val="0"/>
    <w:rPr>
      <w:color w:val="0000FF"/>
      <w:u w:val="single"/>
    </w:rPr>
  </w:style>
  <w:style w:type="paragraph" w:customStyle="1" w:styleId="25">
    <w:name w:val="列出段落1"/>
    <w:basedOn w:val="1"/>
    <w:qFormat/>
    <w:uiPriority w:val="0"/>
    <w:pPr>
      <w:ind w:firstLine="420" w:firstLineChars="200"/>
    </w:pPr>
    <w:rPr>
      <w:szCs w:val="20"/>
    </w:rPr>
  </w:style>
  <w:style w:type="character" w:customStyle="1" w:styleId="26">
    <w:name w:val="正文文本 (8) + 6.5 pt"/>
    <w:basedOn w:val="27"/>
    <w:qFormat/>
    <w:uiPriority w:val="0"/>
    <w:rPr>
      <w:i/>
      <w:iCs/>
      <w:color w:val="000000"/>
      <w:w w:val="100"/>
      <w:position w:val="0"/>
      <w:sz w:val="13"/>
      <w:szCs w:val="13"/>
      <w:lang w:val="zh-TW" w:eastAsia="zh-TW" w:bidi="zh-TW"/>
    </w:rPr>
  </w:style>
  <w:style w:type="character" w:customStyle="1" w:styleId="27">
    <w:name w:val="正文文本 (8)_"/>
    <w:basedOn w:val="21"/>
    <w:link w:val="28"/>
    <w:qFormat/>
    <w:uiPriority w:val="0"/>
    <w:rPr>
      <w:rFonts w:ascii="MingLiU" w:hAnsi="MingLiU" w:eastAsia="MingLiU" w:cs="MingLiU"/>
      <w:spacing w:val="10"/>
      <w:kern w:val="0"/>
      <w:sz w:val="14"/>
      <w:szCs w:val="14"/>
    </w:rPr>
  </w:style>
  <w:style w:type="paragraph" w:customStyle="1" w:styleId="28">
    <w:name w:val="正文文本 (8)"/>
    <w:basedOn w:val="1"/>
    <w:link w:val="27"/>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9">
    <w:name w:val="标题 2 Char"/>
    <w:link w:val="3"/>
    <w:qFormat/>
    <w:uiPriority w:val="0"/>
    <w:rPr>
      <w:rFonts w:ascii="Arial" w:hAnsi="Arial" w:eastAsia="黑体"/>
      <w:b/>
      <w:sz w:val="32"/>
    </w:rPr>
  </w:style>
  <w:style w:type="character" w:customStyle="1" w:styleId="30">
    <w:name w:val="标题 1 Char"/>
    <w:basedOn w:val="21"/>
    <w:link w:val="2"/>
    <w:qFormat/>
    <w:locked/>
    <w:uiPriority w:val="99"/>
    <w:rPr>
      <w:b/>
      <w:bCs/>
      <w:kern w:val="44"/>
      <w:sz w:val="44"/>
      <w:szCs w:val="44"/>
    </w:rPr>
  </w:style>
  <w:style w:type="paragraph" w:customStyle="1" w:styleId="31">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2">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 w:type="paragraph" w:customStyle="1" w:styleId="36">
    <w:name w:val="WPSOffice手动目录 3"/>
    <w:qFormat/>
    <w:uiPriority w:val="0"/>
    <w:pPr>
      <w:ind w:leftChars="400"/>
    </w:pPr>
    <w:rPr>
      <w:rFonts w:ascii="Times New Roman" w:hAnsi="Times New Roman" w:eastAsia="宋体" w:cs="Times New Roman"/>
      <w:sz w:val="20"/>
      <w:szCs w:val="20"/>
    </w:rPr>
  </w:style>
  <w:style w:type="paragraph" w:customStyle="1" w:styleId="37">
    <w:name w:val="Table Paragraph"/>
    <w:basedOn w:val="1"/>
    <w:qFormat/>
    <w:uiPriority w:val="1"/>
    <w:rPr>
      <w:rFonts w:ascii="宋体" w:hAnsi="宋体" w:eastAsia="宋体" w:cs="宋体"/>
    </w:rPr>
  </w:style>
  <w:style w:type="character" w:customStyle="1" w:styleId="38">
    <w:name w:val="font11"/>
    <w:basedOn w:val="21"/>
    <w:qFormat/>
    <w:uiPriority w:val="0"/>
    <w:rPr>
      <w:rFonts w:hint="eastAsia" w:ascii="宋体" w:hAnsi="宋体" w:eastAsia="宋体" w:cs="宋体"/>
      <w:color w:val="000000"/>
      <w:sz w:val="28"/>
      <w:szCs w:val="28"/>
      <w:u w:val="none"/>
    </w:rPr>
  </w:style>
  <w:style w:type="character" w:customStyle="1" w:styleId="39">
    <w:name w:val="font31"/>
    <w:basedOn w:val="21"/>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13683</Words>
  <Characters>14460</Characters>
  <Lines>115</Lines>
  <Paragraphs>32</Paragraphs>
  <TotalTime>0</TotalTime>
  <ScaleCrop>false</ScaleCrop>
  <LinksUpToDate>false</LinksUpToDate>
  <CharactersWithSpaces>14628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2026-01-30T01:43:00Z</cp:lastPrinted>
  <dcterms:modified xsi:type="dcterms:W3CDTF">2026-01-30T06:47:03Z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eyJoZGlkIjoiZGY0MGU5MmY2YTkxOTc5MGU4ZGQ5ODIyNDBmZmQ1YWQiLCJ1c2VySWQiOiI1NDQ5NzcyOTkifQ==</vt:lpwstr>
  </property>
</Properties>
</file>