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D63A0">
      <w:pPr>
        <w:topLinePunct/>
        <w:autoSpaceDE w:val="0"/>
        <w:spacing w:line="600" w:lineRule="exact"/>
        <w:jc w:val="center"/>
        <w:textAlignment w:val="baseline"/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  <w:t>2022年市本级单位“三公”经费</w:t>
      </w: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  <w:lang w:eastAsia="zh-CN"/>
        </w:rPr>
        <w:t>决</w:t>
      </w: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  <w:t>算汇总</w:t>
      </w:r>
    </w:p>
    <w:p w14:paraId="7DED1A2F">
      <w:pPr>
        <w:topLinePunct/>
        <w:autoSpaceDE w:val="0"/>
        <w:spacing w:line="600" w:lineRule="exact"/>
        <w:jc w:val="center"/>
        <w:textAlignment w:val="baseline"/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  <w:t>情况说明</w:t>
      </w:r>
    </w:p>
    <w:bookmarkEnd w:id="0"/>
    <w:p w14:paraId="7EA94F17">
      <w:pPr>
        <w:topLinePunct/>
        <w:autoSpaceDE w:val="0"/>
        <w:spacing w:line="600" w:lineRule="exact"/>
        <w:ind w:firstLine="643" w:firstLineChars="200"/>
        <w:textAlignment w:val="baseline"/>
        <w:rPr>
          <w:rFonts w:hint="eastAsia" w:ascii="仿宋_GB2312" w:hAnsi="Times New Roman" w:eastAsia="仿宋_GB2312"/>
          <w:b/>
          <w:sz w:val="32"/>
          <w:szCs w:val="32"/>
        </w:rPr>
      </w:pPr>
    </w:p>
    <w:p w14:paraId="4B3C036E">
      <w:pPr>
        <w:topLinePunct/>
        <w:autoSpaceDE w:val="0"/>
        <w:spacing w:line="600" w:lineRule="exact"/>
        <w:ind w:firstLine="643" w:firstLineChars="200"/>
        <w:textAlignment w:val="baseline"/>
        <w:rPr>
          <w:rFonts w:ascii="仿宋_GB2312" w:hAnsi="Times New Roman" w:eastAsia="仿宋_GB2312"/>
          <w:b/>
          <w:spacing w:val="-6"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32"/>
        </w:rPr>
        <w:t>“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三公”经费支出情况：</w:t>
      </w:r>
      <w:r>
        <w:rPr>
          <w:rFonts w:ascii="Times New Roman" w:hAnsi="Times New Roman" w:eastAsia="仿宋_GB2312"/>
          <w:spacing w:val="-6"/>
          <w:sz w:val="32"/>
          <w:szCs w:val="32"/>
        </w:rPr>
        <w:t>2022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年，行政事业单位“三公”经费支出预算数为</w:t>
      </w:r>
      <w:r>
        <w:rPr>
          <w:rFonts w:ascii="Times New Roman" w:hAnsi="Times New Roman" w:eastAsia="仿宋_GB2312"/>
          <w:spacing w:val="-6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.</w:t>
      </w:r>
      <w:r>
        <w:rPr>
          <w:rFonts w:ascii="Times New Roman" w:hAnsi="Times New Roman" w:eastAsia="仿宋_GB2312"/>
          <w:spacing w:val="-6"/>
          <w:sz w:val="32"/>
          <w:szCs w:val="32"/>
        </w:rPr>
        <w:t>58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亿元，实际支出</w:t>
      </w:r>
      <w:r>
        <w:rPr>
          <w:rFonts w:ascii="Times New Roman" w:hAnsi="Times New Roman" w:eastAsia="仿宋_GB2312"/>
          <w:spacing w:val="-6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.</w:t>
      </w:r>
      <w:r>
        <w:rPr>
          <w:rFonts w:ascii="Times New Roman" w:hAnsi="Times New Roman" w:eastAsia="仿宋_GB2312"/>
          <w:spacing w:val="-6"/>
          <w:sz w:val="32"/>
          <w:szCs w:val="32"/>
        </w:rPr>
        <w:t>35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亿元，为年初预算数的</w:t>
      </w:r>
      <w:r>
        <w:rPr>
          <w:rFonts w:ascii="Times New Roman" w:hAnsi="Times New Roman" w:eastAsia="仿宋_GB2312"/>
          <w:spacing w:val="-6"/>
          <w:sz w:val="32"/>
          <w:szCs w:val="32"/>
        </w:rPr>
        <w:t>60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.</w:t>
      </w:r>
      <w:r>
        <w:rPr>
          <w:rFonts w:ascii="Times New Roman" w:hAnsi="Times New Roman" w:eastAsia="仿宋_GB2312"/>
          <w:spacing w:val="-6"/>
          <w:sz w:val="32"/>
          <w:szCs w:val="32"/>
        </w:rPr>
        <w:t>34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%，较上年增长</w:t>
      </w:r>
      <w:r>
        <w:rPr>
          <w:rFonts w:ascii="Times New Roman" w:hAnsi="Times New Roman" w:eastAsia="仿宋_GB2312"/>
          <w:spacing w:val="-6"/>
          <w:sz w:val="32"/>
          <w:szCs w:val="32"/>
        </w:rPr>
        <w:t>17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%。其中公务接待支出</w:t>
      </w:r>
      <w:r>
        <w:rPr>
          <w:rFonts w:ascii="Times New Roman" w:hAnsi="Times New Roman" w:eastAsia="仿宋_GB2312"/>
          <w:spacing w:val="-6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.</w:t>
      </w:r>
      <w:r>
        <w:rPr>
          <w:rFonts w:ascii="Times New Roman" w:hAnsi="Times New Roman" w:eastAsia="仿宋_GB2312"/>
          <w:spacing w:val="-6"/>
          <w:sz w:val="32"/>
          <w:szCs w:val="32"/>
        </w:rPr>
        <w:t>05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亿元，下降</w:t>
      </w:r>
      <w:r>
        <w:rPr>
          <w:rFonts w:ascii="Times New Roman" w:hAnsi="Times New Roman" w:eastAsia="仿宋_GB2312"/>
          <w:spacing w:val="-6"/>
          <w:sz w:val="32"/>
          <w:szCs w:val="32"/>
        </w:rPr>
        <w:t>19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.</w:t>
      </w:r>
      <w:r>
        <w:rPr>
          <w:rFonts w:ascii="Times New Roman" w:hAnsi="Times New Roman" w:eastAsia="仿宋_GB2312"/>
          <w:spacing w:val="-6"/>
          <w:sz w:val="32"/>
          <w:szCs w:val="32"/>
        </w:rPr>
        <w:t>97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%；因公出国（境）费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  <w:lang w:eastAsia="zh-CN"/>
        </w:rPr>
        <w:t>支出</w:t>
      </w:r>
      <w:r>
        <w:rPr>
          <w:rFonts w:hint="eastAsia" w:ascii="Times New Roman" w:hAnsi="Times New Roman" w:eastAsia="仿宋_GB2312"/>
          <w:spacing w:val="-6"/>
          <w:sz w:val="32"/>
          <w:szCs w:val="32"/>
          <w:lang w:val="en-US" w:eastAsia="zh-CN"/>
        </w:rPr>
        <w:t>0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  <w:lang w:val="en-US" w:eastAsia="zh-CN"/>
        </w:rPr>
        <w:t>亿元，减少</w:t>
      </w:r>
      <w:r>
        <w:rPr>
          <w:rFonts w:hint="eastAsia" w:ascii="Times New Roman" w:hAnsi="Times New Roman" w:eastAsia="仿宋_GB2312"/>
          <w:spacing w:val="-6"/>
          <w:sz w:val="32"/>
          <w:szCs w:val="32"/>
          <w:lang w:val="en-US" w:eastAsia="zh-CN"/>
        </w:rPr>
        <w:t>1.34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  <w:lang w:val="en-US" w:eastAsia="zh-CN"/>
        </w:rPr>
        <w:t>万元；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公车购置及运行支出</w:t>
      </w:r>
      <w:r>
        <w:rPr>
          <w:rFonts w:ascii="Times New Roman" w:hAnsi="Times New Roman" w:eastAsia="仿宋_GB2312"/>
          <w:spacing w:val="-6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.</w:t>
      </w:r>
      <w:r>
        <w:rPr>
          <w:rFonts w:ascii="Times New Roman" w:hAnsi="Times New Roman" w:eastAsia="仿宋_GB2312"/>
          <w:spacing w:val="-6"/>
          <w:sz w:val="32"/>
          <w:szCs w:val="32"/>
        </w:rPr>
        <w:t>3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亿元，增长</w:t>
      </w:r>
      <w:r>
        <w:rPr>
          <w:rFonts w:ascii="Times New Roman" w:hAnsi="Times New Roman" w:eastAsia="仿宋_GB2312"/>
          <w:spacing w:val="-6"/>
          <w:sz w:val="32"/>
          <w:szCs w:val="32"/>
        </w:rPr>
        <w:t>27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%。其中：公务用车购置费支出</w:t>
      </w:r>
      <w:r>
        <w:rPr>
          <w:rFonts w:ascii="Times New Roman" w:hAnsi="Times New Roman" w:eastAsia="仿宋_GB2312"/>
          <w:spacing w:val="-6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.</w:t>
      </w:r>
      <w:r>
        <w:rPr>
          <w:rFonts w:ascii="Times New Roman" w:hAnsi="Times New Roman" w:eastAsia="仿宋_GB2312"/>
          <w:spacing w:val="-6"/>
          <w:sz w:val="32"/>
          <w:szCs w:val="32"/>
        </w:rPr>
        <w:t>07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亿元，增加</w:t>
      </w:r>
      <w:r>
        <w:rPr>
          <w:rFonts w:ascii="Times New Roman" w:hAnsi="Times New Roman" w:eastAsia="仿宋_GB2312"/>
          <w:spacing w:val="-6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.</w:t>
      </w:r>
      <w:r>
        <w:rPr>
          <w:rFonts w:ascii="Times New Roman" w:hAnsi="Times New Roman" w:eastAsia="仿宋_GB2312"/>
          <w:spacing w:val="-6"/>
          <w:sz w:val="32"/>
          <w:szCs w:val="32"/>
        </w:rPr>
        <w:t>05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亿元，主要原因是警务公用车辆到期报废，批量更换；公务用车维护费支出</w:t>
      </w:r>
      <w:r>
        <w:rPr>
          <w:rFonts w:ascii="Times New Roman" w:hAnsi="Times New Roman" w:eastAsia="仿宋_GB2312"/>
          <w:spacing w:val="-6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.</w:t>
      </w:r>
      <w:r>
        <w:rPr>
          <w:rFonts w:ascii="Times New Roman" w:hAnsi="Times New Roman" w:eastAsia="仿宋_GB2312"/>
          <w:spacing w:val="-6"/>
          <w:sz w:val="32"/>
          <w:szCs w:val="32"/>
        </w:rPr>
        <w:t>23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亿元，增加</w:t>
      </w:r>
      <w:r>
        <w:rPr>
          <w:rFonts w:ascii="Times New Roman" w:hAnsi="Times New Roman" w:eastAsia="仿宋_GB2312"/>
          <w:spacing w:val="-6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.</w:t>
      </w:r>
      <w:r>
        <w:rPr>
          <w:rFonts w:ascii="Times New Roman" w:hAnsi="Times New Roman" w:eastAsia="仿宋_GB2312"/>
          <w:spacing w:val="-6"/>
          <w:sz w:val="32"/>
          <w:szCs w:val="32"/>
        </w:rPr>
        <w:t>02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亿元，主要原因是现有车辆使用年限过长，运行维护成本不断提高。</w:t>
      </w:r>
    </w:p>
    <w:p w14:paraId="33290E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2OTVkYmZkNGVhNzkyNDYxNzRlYjI4MmVhMDc3M2YifQ=="/>
  </w:docVars>
  <w:rsids>
    <w:rsidRoot w:val="03C11A75"/>
    <w:rsid w:val="03C11A75"/>
    <w:rsid w:val="53C3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index 5"/>
    <w:basedOn w:val="1"/>
    <w:next w:val="1"/>
    <w:semiHidden/>
    <w:qFormat/>
    <w:uiPriority w:val="0"/>
    <w:pPr>
      <w:ind w:left="1680"/>
    </w:p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246</Characters>
  <Lines>0</Lines>
  <Paragraphs>0</Paragraphs>
  <TotalTime>3</TotalTime>
  <ScaleCrop>false</ScaleCrop>
  <LinksUpToDate>false</LinksUpToDate>
  <CharactersWithSpaces>246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2023-10-09T10:33:00Z</dcterms:created>
  <dc:creator>李阿蒙</dc:creator>
  <cp:lastModifiedBy>饼哥</cp:lastModifiedBy>
  <dcterms:modified xsi:type="dcterms:W3CDTF">2024-11-01T00:31:34Z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CC6A4FFE05D44AD0B6FBAB4A9F677D08_13</vt:lpwstr>
  </property>
</Properties>
</file>