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b/>
          <w:bCs/>
          <w:sz w:val="48"/>
          <w:szCs w:val="48"/>
        </w:rPr>
      </w:pPr>
      <w:r>
        <w:rPr>
          <w:rFonts w:ascii="仿宋" w:hAnsi="仿宋" w:eastAsia="仿宋"/>
          <w:b/>
          <w:bCs/>
          <w:sz w:val="48"/>
          <w:szCs w:val="48"/>
        </w:rPr>
        <w:t>2021年度</w:t>
      </w:r>
      <w:r>
        <w:rPr>
          <w:rFonts w:hint="eastAsia" w:ascii="仿宋" w:hAnsi="仿宋" w:eastAsia="仿宋"/>
          <w:b/>
          <w:bCs/>
          <w:sz w:val="48"/>
          <w:szCs w:val="48"/>
        </w:rPr>
        <w:t>怀化市库区移民事务中心部门决算</w:t>
      </w:r>
    </w:p>
    <w:p>
      <w:pPr>
        <w:spacing w:line="600" w:lineRule="exact"/>
        <w:rPr>
          <w:rFonts w:ascii="仿宋" w:hAnsi="仿宋" w:eastAsia="仿宋"/>
          <w:sz w:val="32"/>
          <w:szCs w:val="32"/>
        </w:rPr>
      </w:pPr>
    </w:p>
    <w:p>
      <w:pPr>
        <w:spacing w:line="600" w:lineRule="exact"/>
        <w:jc w:val="center"/>
        <w:rPr>
          <w:rFonts w:ascii="黑体" w:hAnsi="黑体" w:eastAsia="黑体"/>
          <w:sz w:val="32"/>
          <w:szCs w:val="32"/>
        </w:rPr>
      </w:pPr>
      <w:r>
        <w:rPr>
          <w:rFonts w:hint="eastAsia" w:ascii="黑体" w:hAnsi="黑体" w:eastAsia="黑体"/>
          <w:sz w:val="32"/>
          <w:szCs w:val="32"/>
        </w:rPr>
        <w:t>目 录</w:t>
      </w:r>
    </w:p>
    <w:p>
      <w:pPr>
        <w:spacing w:line="600" w:lineRule="exact"/>
        <w:ind w:firstLine="643" w:firstLineChars="200"/>
        <w:rPr>
          <w:rFonts w:ascii="黑体" w:hAnsi="黑体" w:eastAsia="黑体"/>
          <w:b/>
          <w:bCs/>
          <w:sz w:val="32"/>
          <w:szCs w:val="32"/>
        </w:rPr>
      </w:pPr>
      <w:r>
        <w:rPr>
          <w:rFonts w:hint="eastAsia" w:ascii="黑体" w:hAnsi="黑体" w:eastAsia="黑体"/>
          <w:b/>
          <w:bCs/>
          <w:sz w:val="32"/>
          <w:szCs w:val="32"/>
        </w:rPr>
        <w:t>第一部分怀化市库区移民事务中心概况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一、部门职责</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二、机构设置</w:t>
      </w:r>
    </w:p>
    <w:p>
      <w:pPr>
        <w:spacing w:line="600" w:lineRule="exact"/>
        <w:ind w:firstLine="643" w:firstLineChars="200"/>
        <w:rPr>
          <w:rFonts w:ascii="黑体" w:hAnsi="黑体" w:eastAsia="黑体"/>
          <w:b/>
          <w:bCs/>
          <w:sz w:val="32"/>
          <w:szCs w:val="32"/>
        </w:rPr>
      </w:pPr>
      <w:r>
        <w:rPr>
          <w:rFonts w:hint="eastAsia" w:ascii="黑体" w:hAnsi="黑体" w:eastAsia="黑体"/>
          <w:b/>
          <w:bCs/>
          <w:sz w:val="32"/>
          <w:szCs w:val="32"/>
        </w:rPr>
        <w:t>第二部分</w:t>
      </w:r>
      <w:r>
        <w:rPr>
          <w:rFonts w:ascii="黑体" w:hAnsi="黑体" w:eastAsia="黑体"/>
          <w:b/>
          <w:bCs/>
          <w:sz w:val="32"/>
          <w:szCs w:val="32"/>
        </w:rPr>
        <w:t>2021年度部门决算表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一、收入支出决算总表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二、收入决算表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三、支出决算表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四、财政拨款收入支出决算总表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五、一般公共预算财政拨款支出决算表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六、一般公共预算财政拨款基本支出决算明细表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七、一般公共预算财政拨款“三公”经费支出决算表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八、政府性基金预算财政拨款收入支出决算表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九、国有资本经营预算财政拨款支出决算表</w:t>
      </w:r>
    </w:p>
    <w:p>
      <w:pPr>
        <w:spacing w:line="600" w:lineRule="exact"/>
        <w:ind w:firstLine="643" w:firstLineChars="200"/>
        <w:rPr>
          <w:rFonts w:ascii="黑体" w:hAnsi="黑体" w:eastAsia="黑体"/>
          <w:b/>
          <w:bCs/>
          <w:sz w:val="32"/>
          <w:szCs w:val="32"/>
        </w:rPr>
      </w:pPr>
      <w:r>
        <w:rPr>
          <w:rFonts w:hint="eastAsia" w:ascii="黑体" w:hAnsi="黑体" w:eastAsia="黑体"/>
          <w:b/>
          <w:bCs/>
          <w:sz w:val="32"/>
          <w:szCs w:val="32"/>
        </w:rPr>
        <w:t>第三部分</w:t>
      </w:r>
      <w:r>
        <w:rPr>
          <w:rFonts w:ascii="黑体" w:hAnsi="黑体" w:eastAsia="黑体"/>
          <w:b/>
          <w:bCs/>
          <w:sz w:val="32"/>
          <w:szCs w:val="32"/>
        </w:rPr>
        <w:t>2021年度部门决算情况说明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一、收入支出决算总体情况说明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二、收入决算情况说明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四、财政拨款收入支出决算总体情况说明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五、一般公共预算财政拨款支出决算情况说明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六、一般公共预算财政拨款基本支出决算情况说明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七、一般公共预算财政拨款“三公”经费支出决算情况说明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八、政府性基金预算收入支出决算情况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九、国有资本经营预算财政拨款支出决算情况说明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十、机关运行经费支出说明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十一、一般性支出情况说明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十二、政府采购支出说明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十三、国有资产占用情况说明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十四、</w:t>
      </w:r>
      <w:r>
        <w:rPr>
          <w:rFonts w:ascii="仿宋" w:hAnsi="仿宋" w:eastAsia="仿宋"/>
          <w:sz w:val="32"/>
          <w:szCs w:val="32"/>
        </w:rPr>
        <w:t>2021年度预算绩效情况说明</w:t>
      </w:r>
    </w:p>
    <w:p>
      <w:pPr>
        <w:spacing w:line="600" w:lineRule="exact"/>
        <w:ind w:firstLine="643" w:firstLineChars="200"/>
        <w:rPr>
          <w:rFonts w:ascii="黑体" w:hAnsi="黑体" w:eastAsia="黑体"/>
          <w:b/>
          <w:bCs/>
          <w:sz w:val="32"/>
          <w:szCs w:val="32"/>
        </w:rPr>
      </w:pPr>
      <w:r>
        <w:rPr>
          <w:rFonts w:hint="eastAsia" w:ascii="黑体" w:hAnsi="黑体" w:eastAsia="黑体"/>
          <w:b/>
          <w:bCs/>
          <w:sz w:val="32"/>
          <w:szCs w:val="32"/>
        </w:rPr>
        <w:t>第四部分名词解释</w:t>
      </w:r>
    </w:p>
    <w:p>
      <w:pPr>
        <w:spacing w:line="600" w:lineRule="exact"/>
        <w:ind w:firstLine="643" w:firstLineChars="200"/>
        <w:rPr>
          <w:rFonts w:ascii="黑体" w:hAnsi="黑体" w:eastAsia="黑体"/>
          <w:b/>
          <w:bCs/>
          <w:sz w:val="32"/>
          <w:szCs w:val="32"/>
        </w:rPr>
      </w:pPr>
      <w:r>
        <w:rPr>
          <w:rFonts w:hint="eastAsia" w:ascii="黑体" w:hAnsi="黑体" w:eastAsia="黑体"/>
          <w:b/>
          <w:bCs/>
          <w:sz w:val="32"/>
          <w:szCs w:val="32"/>
        </w:rPr>
        <w:t>第五部分附件</w:t>
      </w:r>
    </w:p>
    <w:p>
      <w:pPr>
        <w:spacing w:line="600" w:lineRule="exact"/>
        <w:rPr>
          <w:rFonts w:ascii="仿宋" w:hAnsi="仿宋" w:eastAsia="仿宋"/>
          <w:sz w:val="32"/>
          <w:szCs w:val="32"/>
        </w:rPr>
      </w:pPr>
    </w:p>
    <w:p>
      <w:pPr>
        <w:spacing w:line="600" w:lineRule="exact"/>
        <w:ind w:firstLine="880" w:firstLineChars="200"/>
        <w:jc w:val="center"/>
        <w:rPr>
          <w:rFonts w:ascii="黑体" w:hAnsi="黑体" w:eastAsia="黑体"/>
          <w:sz w:val="44"/>
          <w:szCs w:val="44"/>
        </w:rPr>
      </w:pPr>
      <w:r>
        <w:rPr>
          <w:rFonts w:hint="eastAsia" w:ascii="黑体" w:hAnsi="黑体" w:eastAsia="黑体"/>
          <w:sz w:val="44"/>
          <w:szCs w:val="44"/>
        </w:rPr>
        <w:t>第一部分</w:t>
      </w:r>
      <w:r>
        <w:rPr>
          <w:rFonts w:ascii="黑体" w:hAnsi="黑体" w:eastAsia="黑体"/>
          <w:sz w:val="44"/>
          <w:szCs w:val="44"/>
        </w:rPr>
        <w:t xml:space="preserve"> </w:t>
      </w:r>
      <w:r>
        <w:rPr>
          <w:rFonts w:hint="eastAsia" w:ascii="黑体" w:hAnsi="黑体" w:eastAsia="黑体"/>
          <w:sz w:val="44"/>
          <w:szCs w:val="44"/>
        </w:rPr>
        <w:t>怀化市库区移民事务中心概况</w:t>
      </w:r>
    </w:p>
    <w:p>
      <w:pPr>
        <w:spacing w:line="600" w:lineRule="exact"/>
        <w:rPr>
          <w:rFonts w:ascii="仿宋" w:hAnsi="仿宋" w:eastAsia="仿宋"/>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一、部门职责</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（一）为大中型水库工程建设征地实物调查细则、移民安置规划大纲、移民安置规划、移民后期扶持规划审查提供技术支持</w:t>
      </w:r>
      <w:r>
        <w:rPr>
          <w:rFonts w:ascii="仿宋" w:hAnsi="仿宋" w:eastAsia="仿宋"/>
          <w:sz w:val="32"/>
          <w:szCs w:val="32"/>
        </w:rPr>
        <w:t>;承担大中型水库移民安置阶段验收及竣工验收的事务性工作。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（二）承担移民系统信息化管理和综合统计工作。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（三）承担大中型水库移民安置和后期扶持的事务性工作。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（四）协助有关部门拟订市本级水库移民资金年度预算方案和安排方案；承担移民资金内部审计和绩效评价的事务性工作</w:t>
      </w:r>
      <w:r>
        <w:rPr>
          <w:rFonts w:ascii="仿宋" w:hAnsi="仿宋" w:eastAsia="仿宋"/>
          <w:sz w:val="32"/>
          <w:szCs w:val="32"/>
        </w:rPr>
        <w:t>;承担水库移民后期扶持政策实施情况监测评估、稽察的事务性工作;为水库移民资金管理提供服务保障。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（五）协助开展水库移民工作法规、规章的研究和起草工作</w:t>
      </w:r>
      <w:r>
        <w:rPr>
          <w:rFonts w:ascii="仿宋" w:hAnsi="仿宋" w:eastAsia="仿宋"/>
          <w:sz w:val="32"/>
          <w:szCs w:val="32"/>
        </w:rPr>
        <w:t>;承担大中型水库移民信访维权、行政复议、行政诉讼的事务性工作。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（六）协助推动水库移民对口帮扶工作</w:t>
      </w:r>
      <w:r>
        <w:rPr>
          <w:rFonts w:ascii="仿宋" w:hAnsi="仿宋" w:eastAsia="仿宋"/>
          <w:sz w:val="32"/>
          <w:szCs w:val="32"/>
        </w:rPr>
        <w:t>;承担水库移民计划生育、综合治理、扶贫攻坚、安全生产的事务性工作。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（七）协助协调三峡移民工作。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（八）承担大中型水库移民培训的事务性工作。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（九）承担市水利局交办的其他工作。</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二、机构设置及决算单位构成</w:t>
      </w:r>
    </w:p>
    <w:p>
      <w:pPr>
        <w:spacing w:line="600" w:lineRule="exact"/>
        <w:ind w:firstLine="643" w:firstLineChars="200"/>
        <w:rPr>
          <w:rFonts w:ascii="仿宋" w:hAnsi="仿宋" w:eastAsia="仿宋"/>
          <w:sz w:val="32"/>
          <w:szCs w:val="32"/>
        </w:rPr>
      </w:pPr>
      <w:r>
        <w:rPr>
          <w:rFonts w:hint="eastAsia" w:ascii="仿宋" w:hAnsi="仿宋" w:eastAsia="仿宋"/>
          <w:b/>
          <w:bCs/>
          <w:sz w:val="32"/>
          <w:szCs w:val="32"/>
        </w:rPr>
        <w:t>（一）内设机构设置。</w:t>
      </w:r>
      <w:r>
        <w:rPr>
          <w:rFonts w:hint="eastAsia" w:ascii="仿宋" w:hAnsi="仿宋" w:eastAsia="仿宋"/>
          <w:sz w:val="32"/>
          <w:szCs w:val="32"/>
        </w:rPr>
        <w:t>怀化市库区移民事务中心为一级部门预算单位，内设机构包括：办公室（人事部）、搬迁安置部、后期扶持部、资金财务部、信访维权部。</w:t>
      </w:r>
    </w:p>
    <w:p>
      <w:pPr>
        <w:spacing w:line="600" w:lineRule="exact"/>
        <w:ind w:firstLine="643" w:firstLineChars="200"/>
        <w:rPr>
          <w:rFonts w:ascii="仿宋" w:hAnsi="仿宋" w:eastAsia="仿宋"/>
          <w:sz w:val="32"/>
          <w:szCs w:val="32"/>
        </w:rPr>
      </w:pPr>
      <w:r>
        <w:rPr>
          <w:rFonts w:hint="eastAsia" w:ascii="仿宋" w:hAnsi="仿宋" w:eastAsia="仿宋"/>
          <w:b/>
          <w:bCs/>
          <w:sz w:val="32"/>
          <w:szCs w:val="32"/>
        </w:rPr>
        <w:t>（二）决算单位构成。</w:t>
      </w:r>
      <w:r>
        <w:rPr>
          <w:rFonts w:hint="eastAsia" w:ascii="仿宋" w:hAnsi="仿宋" w:eastAsia="仿宋"/>
          <w:sz w:val="32"/>
          <w:szCs w:val="32"/>
        </w:rPr>
        <w:t>怀化市库区移民事务中心</w:t>
      </w:r>
      <w:r>
        <w:rPr>
          <w:rFonts w:ascii="仿宋" w:hAnsi="仿宋" w:eastAsia="仿宋"/>
          <w:sz w:val="32"/>
          <w:szCs w:val="32"/>
        </w:rPr>
        <w:t>2021年部门决算汇总公开单位构成包括：怀化市库区移民事务中心本级。</w:t>
      </w:r>
    </w:p>
    <w:p>
      <w:pPr>
        <w:spacing w:line="600" w:lineRule="exact"/>
        <w:ind w:firstLine="640" w:firstLineChars="200"/>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黑体" w:hAnsi="黑体" w:eastAsia="黑体"/>
          <w:sz w:val="44"/>
          <w:szCs w:val="44"/>
        </w:rPr>
      </w:pPr>
      <w:r>
        <w:rPr>
          <w:rFonts w:hint="eastAsia" w:ascii="黑体" w:hAnsi="黑体" w:eastAsia="黑体"/>
          <w:sz w:val="44"/>
          <w:szCs w:val="44"/>
        </w:rPr>
        <w:t>第二部分 部门决算表</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仿宋" w:hAnsi="仿宋" w:eastAsia="仿宋"/>
          <w:sz w:val="32"/>
          <w:szCs w:val="32"/>
        </w:rPr>
      </w:pPr>
      <w:r>
        <w:rPr>
          <w:rFonts w:hint="eastAsia" w:ascii="仿宋" w:hAnsi="仿宋" w:eastAsia="仿宋"/>
          <w:sz w:val="32"/>
          <w:szCs w:val="32"/>
        </w:rPr>
        <w:t>（见附件）</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黑体" w:hAnsi="黑体" w:eastAsia="黑体"/>
          <w:sz w:val="44"/>
          <w:szCs w:val="44"/>
        </w:rPr>
      </w:pPr>
      <w:r>
        <w:rPr>
          <w:rFonts w:hint="eastAsia" w:ascii="黑体" w:hAnsi="黑体" w:eastAsia="黑体"/>
          <w:sz w:val="44"/>
          <w:szCs w:val="44"/>
        </w:rPr>
        <w:t xml:space="preserve">第三部分 </w:t>
      </w:r>
      <w:r>
        <w:rPr>
          <w:rFonts w:ascii="黑体" w:hAnsi="黑体" w:eastAsia="黑体"/>
          <w:sz w:val="44"/>
          <w:szCs w:val="44"/>
        </w:rPr>
        <w:t>2021年度部门决算情况说明</w:t>
      </w:r>
    </w:p>
    <w:p>
      <w:pPr>
        <w:spacing w:line="600" w:lineRule="exact"/>
        <w:ind w:firstLine="640" w:firstLineChars="200"/>
        <w:rPr>
          <w:rFonts w:ascii="仿宋" w:hAnsi="仿宋" w:eastAsia="仿宋"/>
          <w:sz w:val="32"/>
          <w:szCs w:val="32"/>
        </w:rPr>
      </w:pPr>
      <w:r>
        <w:rPr>
          <w:rFonts w:ascii="仿宋" w:hAnsi="仿宋" w:eastAsia="仿宋"/>
          <w:sz w:val="32"/>
          <w:szCs w:val="32"/>
        </w:rPr>
        <w:t> </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一、收入支出决算总体情况说明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2021年度收、支总计</w:t>
      </w:r>
      <w:r>
        <w:rPr>
          <w:rFonts w:hint="eastAsia" w:ascii="仿宋" w:hAnsi="仿宋" w:eastAsia="仿宋"/>
          <w:sz w:val="32"/>
          <w:szCs w:val="32"/>
        </w:rPr>
        <w:t>各</w:t>
      </w:r>
      <w:r>
        <w:rPr>
          <w:rFonts w:ascii="仿宋" w:hAnsi="仿宋" w:eastAsia="仿宋"/>
          <w:sz w:val="32"/>
          <w:szCs w:val="32"/>
        </w:rPr>
        <w:t>541.99万元（含年初结转和结余）。与上年相比，减少223.31万元，减少29.18%，主要是因为本年度实行收付实现制，无年末结转和结余资金，省拨资金收入减少。</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二、收入决算情况说明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2021年度收入合计355.76万元，其中：财政拨款收入355.76万元，占100%；上级补助收入0万元，占0%；事业收入0万元，占0%；经营收入0万元，占0%；附属单位上缴收入0万元，占0%；其他收入0万元，占0%。</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三、支出决算情况说明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2021年度支出合计541.99万元，其中：基本支出280.84万元，占51.82%；项目支出261.14万元，占48.18%；上缴上级支出0万元，占0%；经营支出0万元，占0%；对附属单位补助支出0万元，占0%。</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四、财政拨款收入支出决算总体情况说明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2021年度财政拨款收、支总计</w:t>
      </w:r>
      <w:r>
        <w:rPr>
          <w:rFonts w:hint="eastAsia" w:ascii="仿宋" w:hAnsi="仿宋" w:eastAsia="仿宋"/>
          <w:sz w:val="32"/>
          <w:szCs w:val="32"/>
        </w:rPr>
        <w:t>各</w:t>
      </w:r>
      <w:r>
        <w:rPr>
          <w:rFonts w:ascii="仿宋" w:hAnsi="仿宋" w:eastAsia="仿宋"/>
          <w:sz w:val="32"/>
          <w:szCs w:val="32"/>
        </w:rPr>
        <w:t>541.99万元（含年初结转和结余），与上年相比，减少223.31万元,减少29.18%，主要是因为本年度实行收付实现制，无年末结转和结余资金，省拨资金收入减少。</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五、一般公共预算财政拨款支出决算情况说明</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（一）财政拨款支出决算总体情况</w:t>
      </w:r>
    </w:p>
    <w:p>
      <w:pPr>
        <w:spacing w:line="600" w:lineRule="exact"/>
        <w:ind w:firstLine="640" w:firstLineChars="200"/>
        <w:rPr>
          <w:rFonts w:ascii="仿宋" w:hAnsi="仿宋" w:eastAsia="仿宋"/>
          <w:sz w:val="32"/>
          <w:szCs w:val="32"/>
        </w:rPr>
      </w:pPr>
      <w:r>
        <w:rPr>
          <w:rFonts w:ascii="仿宋" w:hAnsi="仿宋" w:eastAsia="仿宋"/>
          <w:sz w:val="32"/>
          <w:szCs w:val="32"/>
        </w:rPr>
        <w:t>2021年度一般公共预算财政拨款支出499.24万元，占本年支出合计的92.11%，与上年相比，财政拨款支出增加140.71万元，增长39.25%，主要是因为省拨大中型水库移民后期扶持资金的功能科目差异，本年为一般公共预算财政拨款支出科目，上年为政府性基金支出科目，故本年一般公共预算财政拨款支出大幅增加。</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（二）财政拨款支出决算结构情况</w:t>
      </w:r>
    </w:p>
    <w:p>
      <w:pPr>
        <w:spacing w:line="600" w:lineRule="exact"/>
        <w:ind w:firstLine="640" w:firstLineChars="200"/>
        <w:rPr>
          <w:rFonts w:ascii="仿宋" w:hAnsi="仿宋" w:eastAsia="仿宋"/>
          <w:sz w:val="32"/>
          <w:szCs w:val="32"/>
        </w:rPr>
      </w:pPr>
      <w:r>
        <w:rPr>
          <w:rFonts w:ascii="仿宋" w:hAnsi="仿宋" w:eastAsia="仿宋"/>
          <w:sz w:val="32"/>
          <w:szCs w:val="32"/>
        </w:rPr>
        <w:t>2021年度一般公共预算财政拨款支出499.24万元，主要用于以下方面：一般公共服务（类）支出271.03万元，占54.29%；社会保障和就业（类）支出50.32万元，占10.08%;卫生健康（类）支出10.41万元，占2.08%；农林水（类）支出167.48万元，占33.55%。</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（三）财政拨款支出决算具体情况</w:t>
      </w:r>
    </w:p>
    <w:p>
      <w:pPr>
        <w:spacing w:line="600" w:lineRule="exact"/>
        <w:ind w:firstLine="640" w:firstLineChars="200"/>
        <w:rPr>
          <w:rFonts w:ascii="仿宋" w:hAnsi="仿宋" w:eastAsia="仿宋"/>
          <w:sz w:val="32"/>
          <w:szCs w:val="32"/>
        </w:rPr>
      </w:pPr>
      <w:r>
        <w:rPr>
          <w:rFonts w:ascii="仿宋" w:hAnsi="仿宋" w:eastAsia="仿宋"/>
          <w:sz w:val="32"/>
          <w:szCs w:val="32"/>
        </w:rPr>
        <w:t>2021年度财政拨款支出年初预算数为382.92万元，支出决算数为499.24万元，完成年初预算的130.38%，其中：</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1、一般公共服务支出（类）政府办公厅（室）及相关机构事务（款）行政运行（项）。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165万元，支出决算为209.54万元，完成年初预算的126.99%，决算数大于年初预算数的主要原因是：追加预算发放在职人员2020年绩效考核奖；提前退休人员工资开支。</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2、一般公共服务支出（类）政府办公厅（室）及相关机构事务（款）一般行政管理事务（项）。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36万元，支出决算为36万元，完成年初预算的100%</w:t>
      </w:r>
      <w:r>
        <w:rPr>
          <w:rFonts w:hint="eastAsia" w:ascii="仿宋" w:hAnsi="仿宋" w:eastAsia="仿宋"/>
          <w:sz w:val="32"/>
          <w:szCs w:val="32"/>
        </w:rPr>
        <w:t>，</w:t>
      </w:r>
      <w:r>
        <w:rPr>
          <w:rFonts w:hint="eastAsia" w:ascii="仿宋" w:hAnsi="仿宋" w:eastAsia="仿宋" w:cs="仿宋"/>
          <w:sz w:val="32"/>
          <w:szCs w:val="32"/>
        </w:rPr>
        <w:t>决算数与年初预算数持平，主要原因按预算执行</w:t>
      </w:r>
      <w:r>
        <w:rPr>
          <w:rFonts w:ascii="仿宋" w:hAnsi="仿宋" w:eastAsia="仿宋"/>
          <w:sz w:val="32"/>
          <w:szCs w:val="32"/>
        </w:rPr>
        <w:t>。</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3、一般公共服务支出（类）政府办公厅（室）及相关机构事务（款）信访事务（项）。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0万元，支出决算为25万元，决算数大于年初预算数的主要原因是：本年度追加后扶维稳信访工作经费。</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4、一般公共服务支出（类）其他一般公共服务支出（款）其他一般公共服务支出（项）。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0万元，支出决算为0.5万元，决算数大于年初预算数的主要原因是：本年度收到国有资产出租收入非税返还 。</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5、社会保障和就业支出（类）行政事业单位养老支出（款）事业单位离退休（项）。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15.92万元，支出决算为2.73万元，完成年初预算的17.15%，决算数小于年初预算数的主要原因是：年初预算含提前退休人员工资，执行中在“行政运行”功能下开支。</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6、社会保障和就业支出（类）行政事业单位养老支出（款）机关事业单位基本养老保险缴费支出（项）。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0万元，支出决算为20.89万元，决算数大于年初预算数的主要原因是：基本养老保险缴费未纳入年初预算项目，执行中追加预算。</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7、社会保障和就业支出（类）行政事业单位养老支出（款）其他行政事业单位养老支出（项）。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0万元，支出决算为26.7万元，决算数大于年初预算数的主要原因是：发放离退休人员2020年春节一次性生活补助未纳入年初预算项目，执行中追加预算。</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8、社会保障和就业支出（类）大中型水库移民后期扶持基金支出（款）基础设施建设和经济发展（项）。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14万元，支出决算为0万元，完成年初预算的0%，决算数小于年初预算数的主要原因是：本年度省拨移民培训费预算资金下达通过“大中型水库移民后期扶持专项支出</w:t>
      </w:r>
      <w:r>
        <w:rPr>
          <w:rFonts w:hint="eastAsia" w:ascii="仿宋" w:hAnsi="仿宋" w:eastAsia="仿宋"/>
          <w:sz w:val="32"/>
          <w:szCs w:val="32"/>
        </w:rPr>
        <w:t>”</w:t>
      </w:r>
      <w:r>
        <w:rPr>
          <w:rFonts w:ascii="仿宋" w:hAnsi="仿宋" w:eastAsia="仿宋"/>
          <w:sz w:val="32"/>
          <w:szCs w:val="32"/>
        </w:rPr>
        <w:t>科目。</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9、社会保障和就业支出（类）大中型水库移民后期扶持基金支出（款）其他大中型水库移民后期扶持基金支出（项）。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143万元，支出决算为0万元，完成年初预算的0%，决算数小于年初预算数的主要原因是：本年度省拨大中型水库移民后扶政策实施监督检查专项补助经费预算未执行。</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10、卫生健康支出（类）行政事业单位医疗（款）事业单位医疗（项）。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0万元，支出决算为10.4万元，决算数大于年初预算数的主要原因是：本年度基本医疗保险缴费未纳入年初预算项目，执行中追加预算。</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11、卫生健康支出（类）行政事业单位医疗（款）其他行政事业单位医疗支出（项）。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0万元，支出决算为0.01万元，决算数大于年初预算数的主要原因是：本年度基本医疗保险缴费执行中追加预算。</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12、农林水支出（类）水利（款）大中型水库移民后期扶持专项支出（项）。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0万元，支出决算为154.83万元，决算数大于年初预算数的主要原因是：本年度支出省拨移民培训费及2020年大中型水库移民后扶政策实施监督检查专项补助经费。</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13、农林水支出（类）水利（款）其他水利支出（项）。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9万元，支出决算为12.65万元，决算数大于年初预算数的主要原因是：省拨移民补助工作经费增加及重新支付上年度未支付成功的移民后扶资金。</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六、一般公共预算财政拨款基本支出决算情况说明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财政拨款基本支出280.76万元，其中：人员经费253.34万元，占基本支出的90.23%,主要包括基本工资、津贴补贴、奖金、伙食补助费、机关事业单位基本养老保险缴费、职工基本医疗保险缴费、其他社会保障缴费、生活补助、奖励金、其他对个人和家庭的补助；公用经费27.43万元，占基本支出的0.97%，主要包括办公费、差旅费、维修（护）费、租赁费、会议费、劳务费、工会经费、福利费、公务用车运行维护费、其他交通费用、其他商品和服务支出。</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七、一般公共预算财政拨款“三公”经费支出决算情况说明</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（一）“三公”经费财政拨款支出决算总体情况说明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2021年度“三公”经费财政拨款支出预算控制数为27.22万元，支出决算为11.18万元，完成预算的41.07%，其中：</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1、因公出国（境）费支出预算控制数为0万元，支出决算为0万元，</w:t>
      </w:r>
      <w:r>
        <w:rPr>
          <w:rFonts w:hint="eastAsia" w:ascii="仿宋" w:hAnsi="仿宋" w:eastAsia="仿宋" w:cs="仿宋"/>
          <w:color w:val="000000"/>
          <w:sz w:val="32"/>
          <w:szCs w:val="32"/>
        </w:rPr>
        <w:t>决算数与年初预算数持平，主要原因按预算执行，与上年数持平，主要原因本年度未安排因公出国（境）</w:t>
      </w:r>
      <w:r>
        <w:rPr>
          <w:rFonts w:hint="eastAsia" w:ascii="仿宋" w:hAnsi="仿宋" w:eastAsia="仿宋"/>
          <w:color w:val="000000"/>
          <w:sz w:val="32"/>
          <w:szCs w:val="32"/>
        </w:rPr>
        <w:t>。</w:t>
      </w:r>
    </w:p>
    <w:p>
      <w:pPr>
        <w:spacing w:line="60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、公务接待费支出预算控制数为</w:t>
      </w:r>
      <w:r>
        <w:rPr>
          <w:rFonts w:ascii="仿宋" w:hAnsi="仿宋" w:eastAsia="仿宋"/>
          <w:sz w:val="32"/>
          <w:szCs w:val="32"/>
        </w:rPr>
        <w:t>17.14万元，支出决算为1.28万元，完成预算的7.47%，决算数小于预算数的主要原因是贯彻落实中央关于厉行节约的要求，严控三公经费；与上年相比减少0.64万元，减少33.33%,减少的主要原因是严格控制公务接待数量、规模和接待标准。</w:t>
      </w:r>
    </w:p>
    <w:p>
      <w:pPr>
        <w:spacing w:line="600" w:lineRule="exact"/>
        <w:ind w:firstLine="640" w:firstLineChars="200"/>
        <w:rPr>
          <w:rFonts w:ascii="仿宋" w:hAnsi="仿宋" w:eastAsia="仿宋"/>
          <w:sz w:val="32"/>
          <w:szCs w:val="32"/>
        </w:rPr>
      </w:pPr>
      <w:r>
        <w:rPr>
          <w:rFonts w:hint="eastAsia" w:ascii="仿宋" w:hAnsi="仿宋" w:eastAsia="仿宋"/>
          <w:color w:val="000000"/>
          <w:sz w:val="32"/>
          <w:szCs w:val="32"/>
        </w:rPr>
        <w:t>3、公务用车购置费为0万元，支出决算为0万元，</w:t>
      </w:r>
      <w:r>
        <w:rPr>
          <w:rFonts w:hint="eastAsia" w:ascii="仿宋" w:hAnsi="仿宋" w:eastAsia="仿宋" w:cs="仿宋"/>
          <w:color w:val="000000"/>
          <w:sz w:val="32"/>
          <w:szCs w:val="32"/>
        </w:rPr>
        <w:t>决算数与年初预算数持平主要原因按预算执行，与上年数持平，主要原因是厉行节约，减少开支</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、公务用车运行维护费支出预算控制数为</w:t>
      </w:r>
      <w:r>
        <w:rPr>
          <w:rFonts w:ascii="仿宋" w:hAnsi="仿宋" w:eastAsia="仿宋"/>
          <w:sz w:val="32"/>
          <w:szCs w:val="32"/>
        </w:rPr>
        <w:t>10.08万元，支出决算为9.89万元，完成预算的98.12%，决算数小于预算数的主要原因是贯彻落实中央关于厉行节约的要求，严控三公经费；与上年相比增加4.49万元，增长83.15%,增长的主要原因是本年一般公共预算支出公车运行维护费相比上年增加，政府性基金支出公车运行维护费相比上年减少，公车运行维护费合计与上年相比略有增加主要燃油费增加。</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（二）“三公”经费财政拨款支出决算具体情况说明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2021年度“三公”经费财政拨款支出决算中，公务接待费支出决算1.28万元，占11.36%,因公出国（境）费支出决算0万元，占0%,公务用车购置费及运行维护费支出决算9.89万元，占88.54%。其中：</w:t>
      </w:r>
    </w:p>
    <w:p>
      <w:pPr>
        <w:spacing w:line="600" w:lineRule="exact"/>
        <w:ind w:firstLine="640" w:firstLineChars="200"/>
        <w:rPr>
          <w:rFonts w:ascii="仿宋" w:hAnsi="仿宋" w:eastAsia="仿宋"/>
          <w:sz w:val="32"/>
          <w:szCs w:val="32"/>
        </w:rPr>
      </w:pPr>
      <w:r>
        <w:rPr>
          <w:rFonts w:ascii="仿宋" w:hAnsi="仿宋" w:eastAsia="仿宋"/>
          <w:sz w:val="32"/>
          <w:szCs w:val="32"/>
        </w:rPr>
        <w:t>1、因公出国（境）费支出决算为0万元，全年安排因公出国（境）团组0个，累计0人次。</w:t>
      </w:r>
    </w:p>
    <w:p>
      <w:pPr>
        <w:spacing w:line="600" w:lineRule="exact"/>
        <w:ind w:firstLine="640" w:firstLineChars="200"/>
        <w:rPr>
          <w:rFonts w:ascii="仿宋" w:hAnsi="仿宋" w:eastAsia="仿宋"/>
          <w:sz w:val="32"/>
          <w:szCs w:val="32"/>
        </w:rPr>
      </w:pPr>
      <w:r>
        <w:rPr>
          <w:rFonts w:ascii="仿宋" w:hAnsi="仿宋" w:eastAsia="仿宋"/>
          <w:sz w:val="32"/>
          <w:szCs w:val="32"/>
        </w:rPr>
        <w:t>2、公务接待费支出决算为1.28万元，全年共接待来访团组20个、来宾151人次，主要是省及各县市区移民事务中心来怀公务活动发生的接待支出。</w:t>
      </w:r>
    </w:p>
    <w:p>
      <w:pPr>
        <w:spacing w:line="600" w:lineRule="exact"/>
        <w:ind w:firstLine="640" w:firstLineChars="200"/>
        <w:rPr>
          <w:rFonts w:ascii="仿宋" w:hAnsi="仿宋" w:eastAsia="仿宋"/>
          <w:sz w:val="32"/>
          <w:szCs w:val="32"/>
        </w:rPr>
      </w:pPr>
      <w:r>
        <w:rPr>
          <w:rFonts w:ascii="仿宋" w:hAnsi="仿宋" w:eastAsia="仿宋"/>
          <w:sz w:val="32"/>
          <w:szCs w:val="32"/>
        </w:rPr>
        <w:t>3、公务用车购置费及运行维护费支出决算为9.89万元，其中：公务用车购置费0万元，更新公务用车0辆。公务用车运行维护费9.89万元，主要是车辆燃油费、保险费、维修费、过路过桥费支出，截止2021年12月31日，我单位开支财政拨款的公务用车保有量为2辆。</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八、政府性基金预算收入支出决算情况</w:t>
      </w:r>
    </w:p>
    <w:p>
      <w:pPr>
        <w:spacing w:line="600" w:lineRule="exact"/>
        <w:ind w:firstLine="640" w:firstLineChars="200"/>
        <w:rPr>
          <w:rFonts w:ascii="仿宋" w:hAnsi="仿宋" w:eastAsia="仿宋"/>
          <w:sz w:val="32"/>
          <w:szCs w:val="32"/>
        </w:rPr>
      </w:pPr>
      <w:r>
        <w:rPr>
          <w:rFonts w:ascii="仿宋" w:hAnsi="仿宋" w:eastAsia="仿宋"/>
          <w:sz w:val="32"/>
          <w:szCs w:val="32"/>
        </w:rPr>
        <w:t>2021年度政府性基金预算财政拨款收入0万元；年初结转和结余42.75万元；支出42.75万元，其中基本支出42.67万元，项目支出0.08万元；年末结转和结余0万元。具体情况如下：</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1、社会保障和就业支出（类）小型水库移民扶助基金安排的支出（款）基础设施建设和经济发展（项）。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0万元，支出决算为42.75万元，决算数大于年初预算数的主要原因是本年度支出小型水库扶助金为上年结转资金。</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九、国有资本经营预算财政拨款支出决算情况说明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本单位无国有资本经营预算财政拨款支出。</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十、机关运行经费支出说明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本部门</w:t>
      </w:r>
      <w:r>
        <w:rPr>
          <w:rFonts w:ascii="仿宋" w:hAnsi="仿宋" w:eastAsia="仿宋"/>
          <w:sz w:val="32"/>
          <w:szCs w:val="32"/>
        </w:rPr>
        <w:t>2021年度机关运行经费支出0万元，与上年相比无增减变动，因我单位现为公益一类事业单位，不属于行政单位和参照公务员法管理事业单位，故无机关运行经费支出。</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十一、一般性支出情况说明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本部门开支会议费0.61万元，用于召开部门工作会议，人数80人，内容为内部公认情况测评会议、省移民中心调研托口电站移民安置工作座谈会议、省移民中心关于托口水电站工程竣工建设征地移民安置验收工作调度会议；2021年本部门开支培训费14万元，用于开展库区移民培训，人数50人，内容为新型职业农民培训；2021年本部门未举办节庆、晚会、论坛、赛事等活动。</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十二、政府采购支出说明</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本部门</w:t>
      </w:r>
      <w:r>
        <w:rPr>
          <w:rFonts w:ascii="仿宋" w:hAnsi="仿宋" w:eastAsia="仿宋"/>
          <w:sz w:val="32"/>
          <w:szCs w:val="32"/>
        </w:rPr>
        <w:t>2021年度政府采购支出总额 133.01万元，其中：政府采购货物支出0万元、政府采购工程支出0万元、政府采购服务支出133.01万元。授予中小企业合同金额133.01万元，占政府采购支出总额的100%，其中：授予小微企业合同金额133.01万元，占授予中小企业合同金额的100%</w:t>
      </w:r>
      <w:r>
        <w:rPr>
          <w:rFonts w:hint="eastAsia" w:ascii="仿宋" w:hAnsi="仿宋" w:eastAsia="仿宋"/>
          <w:sz w:val="32"/>
          <w:szCs w:val="32"/>
          <w:lang w:eastAsia="zh-CN"/>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十三、国有资产占用情况说明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截至</w:t>
      </w:r>
      <w:r>
        <w:rPr>
          <w:rFonts w:ascii="仿宋" w:hAnsi="仿宋" w:eastAsia="仿宋"/>
          <w:sz w:val="32"/>
          <w:szCs w:val="32"/>
        </w:rPr>
        <w:t>2021年12月31日，本单位共有车</w:t>
      </w:r>
      <w:bookmarkStart w:id="0" w:name="_GoBack"/>
      <w:bookmarkEnd w:id="0"/>
      <w:r>
        <w:rPr>
          <w:rFonts w:ascii="仿宋" w:hAnsi="仿宋" w:eastAsia="仿宋"/>
          <w:sz w:val="32"/>
          <w:szCs w:val="32"/>
        </w:rPr>
        <w:t>辆2辆，其中，主要领导干部用车0辆，机要通信用车1辆、应急保障用车1辆、执法执勤用车0辆、特种专业技术用车0辆、其他用车0辆；单位价值50万元以上通用设备0台（套）；单位价值100万元以上专用设备0台（套）。</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十四、</w:t>
      </w:r>
      <w:r>
        <w:rPr>
          <w:rFonts w:ascii="黑体" w:hAnsi="黑体" w:eastAsia="黑体"/>
          <w:sz w:val="32"/>
          <w:szCs w:val="32"/>
        </w:rPr>
        <w:t>2021年度预算绩效情况说明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根据预算绩效管理和市财政局关于开展</w:t>
      </w:r>
      <w:r>
        <w:rPr>
          <w:rFonts w:ascii="仿宋" w:hAnsi="仿宋" w:eastAsia="仿宋"/>
          <w:sz w:val="32"/>
          <w:szCs w:val="32"/>
        </w:rPr>
        <w:t>2021年度绩效自评工作的要求，我中心认真开展了部门整体绩效自评,及时报送了2021年度部门整体支出绩效评价相关资料，并在市财政局门户网站上进行了公开，部门整体支出绩效评价报告见附件。</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本单位无重点项目，因此无重点项目绩效报告。</w:t>
      </w:r>
    </w:p>
    <w:p>
      <w:pPr>
        <w:spacing w:line="600" w:lineRule="exact"/>
        <w:ind w:firstLine="640" w:firstLineChars="200"/>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黑体" w:hAnsi="黑体" w:eastAsia="黑体"/>
          <w:sz w:val="44"/>
          <w:szCs w:val="44"/>
        </w:rPr>
      </w:pPr>
      <w:r>
        <w:rPr>
          <w:rFonts w:hint="eastAsia" w:ascii="黑体" w:hAnsi="黑体" w:eastAsia="黑体"/>
          <w:sz w:val="44"/>
          <w:szCs w:val="44"/>
        </w:rPr>
        <w:t>第四部分 名词解释</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spacing w:line="600" w:lineRule="exact"/>
        <w:ind w:firstLine="640" w:firstLineChars="200"/>
        <w:rPr>
          <w:rFonts w:ascii="仿宋" w:hAnsi="仿宋" w:eastAsia="仿宋"/>
          <w:sz w:val="32"/>
          <w:szCs w:val="32"/>
        </w:rPr>
      </w:pPr>
      <w:r>
        <w:rPr>
          <w:rFonts w:ascii="仿宋" w:hAnsi="仿宋" w:eastAsia="仿宋"/>
          <w:sz w:val="32"/>
          <w:szCs w:val="32"/>
        </w:rPr>
        <w:t xml:space="preserve">三、年初结转和结余：指以前年度尚未完成、结转到本年按有关规定继续使用的资金。 </w:t>
      </w:r>
    </w:p>
    <w:p>
      <w:pPr>
        <w:spacing w:line="600" w:lineRule="exact"/>
        <w:ind w:firstLine="640" w:firstLineChars="200"/>
        <w:rPr>
          <w:rFonts w:ascii="仿宋" w:hAnsi="仿宋" w:eastAsia="仿宋"/>
          <w:sz w:val="32"/>
          <w:szCs w:val="32"/>
        </w:rPr>
      </w:pPr>
      <w:r>
        <w:rPr>
          <w:rFonts w:ascii="仿宋" w:hAnsi="仿宋" w:eastAsia="仿宋"/>
          <w:sz w:val="32"/>
          <w:szCs w:val="32"/>
        </w:rPr>
        <w:t>四、年末结转和结余:指单位按有关规定结转到下年或以后年度继续使用的资金。</w:t>
      </w:r>
    </w:p>
    <w:p>
      <w:pPr>
        <w:spacing w:line="600" w:lineRule="exact"/>
        <w:rPr>
          <w:rFonts w:ascii="仿宋" w:hAnsi="仿宋" w:eastAsia="仿宋"/>
          <w:sz w:val="32"/>
          <w:szCs w:val="32"/>
        </w:rPr>
      </w:pPr>
    </w:p>
    <w:p>
      <w:pPr>
        <w:spacing w:line="600" w:lineRule="exact"/>
        <w:ind w:firstLine="880" w:firstLineChars="200"/>
        <w:jc w:val="center"/>
        <w:rPr>
          <w:rFonts w:ascii="黑体" w:hAnsi="黑体" w:eastAsia="黑体"/>
          <w:sz w:val="44"/>
          <w:szCs w:val="44"/>
        </w:rPr>
      </w:pPr>
      <w:r>
        <w:rPr>
          <w:rFonts w:hint="eastAsia" w:ascii="黑体" w:hAnsi="黑体" w:eastAsia="黑体"/>
          <w:sz w:val="44"/>
          <w:szCs w:val="44"/>
        </w:rPr>
        <w:t>第五部分 附件</w:t>
      </w:r>
    </w:p>
    <w:p>
      <w:pPr>
        <w:spacing w:line="600" w:lineRule="exact"/>
        <w:ind w:firstLine="640" w:firstLineChars="200"/>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4MjM4OGRjMjA1YmIwNDg3YWY0MmMwNWU4YTAwYjIifQ=="/>
  </w:docVars>
  <w:rsids>
    <w:rsidRoot w:val="00C6193E"/>
    <w:rsid w:val="000270E3"/>
    <w:rsid w:val="000D023A"/>
    <w:rsid w:val="00250E29"/>
    <w:rsid w:val="00334CE4"/>
    <w:rsid w:val="003A59AC"/>
    <w:rsid w:val="00451B13"/>
    <w:rsid w:val="00C6193E"/>
    <w:rsid w:val="070D6B0A"/>
    <w:rsid w:val="27F76738"/>
    <w:rsid w:val="6E435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914</Words>
  <Characters>5216</Characters>
  <Lines>43</Lines>
  <Paragraphs>12</Paragraphs>
  <TotalTime>37</TotalTime>
  <ScaleCrop>false</ScaleCrop>
  <LinksUpToDate>false</LinksUpToDate>
  <CharactersWithSpaces>6118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2023-09-04T14:12:00Z</dcterms:created>
  <dc:creator>汪 梦引</dc:creator>
  <cp:lastModifiedBy>非鱼</cp:lastModifiedBy>
  <dcterms:modified xsi:type="dcterms:W3CDTF">2023-10-06T02:07:14Z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13B64D87DBE340D3AD9F221A3078A560_12</vt:lpwstr>
  </property>
</Properties>
</file>