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both"/>
        <w:rPr>
          <w:rFonts w:hAnsi="黑体"/>
          <w:color w:val="auto"/>
          <w:sz w:val="36"/>
          <w:szCs w:val="36"/>
        </w:rPr>
      </w:pPr>
      <w:r>
        <w:rPr>
          <w:rFonts w:hint="eastAsia" w:hAnsi="黑体"/>
          <w:color w:val="auto"/>
          <w:sz w:val="36"/>
          <w:szCs w:val="36"/>
        </w:rPr>
        <w:t>附件1</w:t>
      </w:r>
    </w:p>
    <w:p>
      <w:pPr>
        <w:pStyle w:val="14"/>
        <w:jc w:val="center"/>
        <w:rPr>
          <w:rFonts w:ascii="Times New Roman" w:hAnsi="Times New Roman" w:cs="Times New Roman"/>
          <w:color w:val="auto"/>
          <w:sz w:val="56"/>
          <w:szCs w:val="56"/>
        </w:rPr>
      </w:pPr>
    </w:p>
    <w:p>
      <w:pPr>
        <w:pStyle w:val="14"/>
        <w:jc w:val="center"/>
        <w:rPr>
          <w:rFonts w:ascii="Times New Roman" w:hAnsi="Times New Roman" w:cs="Times New Roman"/>
          <w:color w:val="auto"/>
          <w:sz w:val="84"/>
          <w:szCs w:val="84"/>
        </w:rPr>
      </w:pPr>
    </w:p>
    <w:p>
      <w:pPr>
        <w:pStyle w:val="14"/>
        <w:jc w:val="center"/>
        <w:rPr>
          <w:rFonts w:ascii="Times New Roman" w:hAnsi="Times New Roman" w:cs="Times New Roman"/>
          <w:color w:val="auto"/>
          <w:sz w:val="84"/>
          <w:szCs w:val="84"/>
        </w:rPr>
      </w:pPr>
    </w:p>
    <w:p>
      <w:pPr>
        <w:pStyle w:val="14"/>
        <w:jc w:val="center"/>
        <w:rPr>
          <w:rFonts w:ascii="Times New Roman" w:hAnsi="Times New Roman" w:eastAsia="方正小标宋简体" w:cs="Times New Roman"/>
          <w:color w:val="auto"/>
          <w:sz w:val="72"/>
          <w:szCs w:val="72"/>
        </w:rPr>
      </w:pPr>
      <w:r>
        <w:rPr>
          <w:rFonts w:ascii="Times New Roman" w:hAnsi="Times New Roman" w:eastAsia="方正小标宋简体" w:cs="Times New Roman"/>
          <w:color w:val="auto"/>
          <w:sz w:val="72"/>
          <w:szCs w:val="72"/>
        </w:rPr>
        <w:t>2024年度</w:t>
      </w:r>
    </w:p>
    <w:p>
      <w:pPr>
        <w:pStyle w:val="14"/>
        <w:jc w:val="center"/>
        <w:rPr>
          <w:rFonts w:ascii="Times New Roman" w:hAnsi="Times New Roman" w:eastAsia="方正小标宋简体" w:cs="Times New Roman"/>
          <w:color w:val="auto"/>
          <w:sz w:val="72"/>
          <w:szCs w:val="72"/>
        </w:rPr>
      </w:pPr>
      <w:r>
        <w:rPr>
          <w:rFonts w:ascii="Times New Roman" w:hAnsi="Times New Roman" w:eastAsia="方正小标宋简体" w:cs="Times New Roman"/>
          <w:color w:val="auto"/>
          <w:sz w:val="72"/>
          <w:szCs w:val="72"/>
        </w:rPr>
        <w:t>怀化市库区移民事务中心</w:t>
      </w:r>
      <w:r>
        <w:rPr>
          <w:rFonts w:hint="default" w:ascii="Times New Roman" w:hAnsi="Times New Roman" w:eastAsia="方正小标宋简体" w:cs="Times New Roman"/>
          <w:color w:val="auto"/>
          <w:sz w:val="72"/>
          <w:szCs w:val="72"/>
        </w:rPr>
        <w:t xml:space="preserve"> </w:t>
      </w:r>
      <w:r>
        <w:rPr>
          <w:rFonts w:ascii="Times New Roman" w:hAnsi="Times New Roman" w:eastAsia="方正小标宋简体" w:cs="Times New Roman"/>
          <w:color w:val="auto"/>
          <w:sz w:val="72"/>
          <w:szCs w:val="72"/>
        </w:rPr>
        <w:t>部门决算</w:t>
      </w:r>
    </w:p>
    <w:p>
      <w:pPr>
        <w:pStyle w:val="14"/>
        <w:jc w:val="center"/>
        <w:rPr>
          <w:rFonts w:ascii="Times New Roman" w:hAnsi="Times New Roman" w:eastAsia="方正小标宋_GBK" w:cs="Times New Roman"/>
          <w:color w:val="auto"/>
          <w:sz w:val="56"/>
          <w:szCs w:val="56"/>
        </w:rPr>
      </w:pPr>
    </w:p>
    <w:p>
      <w:pPr>
        <w:pStyle w:val="14"/>
        <w:jc w:val="center"/>
        <w:rPr>
          <w:rFonts w:ascii="Times New Roman" w:hAnsi="Times New Roman" w:cs="Times New Roman"/>
          <w:color w:val="auto"/>
          <w:sz w:val="56"/>
          <w:szCs w:val="56"/>
        </w:rPr>
      </w:pPr>
    </w:p>
    <w:p>
      <w:pPr>
        <w:pStyle w:val="14"/>
        <w:rPr>
          <w:rFonts w:ascii="Times New Roman" w:hAnsi="Times New Roman" w:cs="Times New Roman"/>
          <w:color w:val="auto"/>
          <w:sz w:val="56"/>
          <w:szCs w:val="56"/>
        </w:rPr>
      </w:pPr>
    </w:p>
    <w:p>
      <w:pPr>
        <w:pStyle w:val="14"/>
        <w:jc w:val="center"/>
        <w:rPr>
          <w:rFonts w:ascii="Times New Roman" w:hAnsi="Times New Roman" w:cs="Times New Roman"/>
          <w:color w:val="auto"/>
          <w:sz w:val="32"/>
          <w:szCs w:val="32"/>
        </w:rPr>
      </w:pPr>
    </w:p>
    <w:p>
      <w:pPr>
        <w:pStyle w:val="14"/>
        <w:jc w:val="center"/>
        <w:rPr>
          <w:rFonts w:ascii="Times New Roman" w:hAnsi="Times New Roman" w:cs="Times New Roman"/>
          <w:color w:val="auto"/>
          <w:sz w:val="32"/>
          <w:szCs w:val="32"/>
        </w:rPr>
      </w:pPr>
    </w:p>
    <w:p>
      <w:pPr>
        <w:pStyle w:val="14"/>
        <w:jc w:val="center"/>
        <w:rPr>
          <w:rFonts w:ascii="Times New Roman" w:hAnsi="Times New Roman" w:cs="Times New Roman"/>
          <w:color w:val="auto"/>
          <w:sz w:val="32"/>
          <w:szCs w:val="32"/>
        </w:rPr>
      </w:pPr>
    </w:p>
    <w:p>
      <w:pPr>
        <w:pStyle w:val="14"/>
        <w:jc w:val="center"/>
        <w:rPr>
          <w:rFonts w:ascii="Times New Roman" w:hAnsi="Times New Roman" w:cs="Times New Roman"/>
          <w:color w:val="auto"/>
          <w:sz w:val="32"/>
          <w:szCs w:val="32"/>
        </w:rPr>
      </w:pPr>
    </w:p>
    <w:p>
      <w:pPr>
        <w:pStyle w:val="14"/>
        <w:spacing w:line="600" w:lineRule="exact"/>
        <w:jc w:val="both"/>
        <w:rPr>
          <w:rFonts w:ascii="Times New Roman" w:hAnsi="Times New Roman" w:cs="Times New Roman"/>
          <w:b/>
          <w:color w:val="auto"/>
          <w:sz w:val="36"/>
          <w:szCs w:val="28"/>
        </w:rPr>
      </w:pPr>
    </w:p>
    <w:p>
      <w:pPr>
        <w:pStyle w:val="14"/>
        <w:spacing w:line="600" w:lineRule="exact"/>
        <w:jc w:val="center"/>
        <w:rPr>
          <w:rFonts w:ascii="Times New Roman" w:hAnsi="Times New Roman" w:cs="Times New Roman"/>
          <w:bCs/>
          <w:color w:val="auto"/>
          <w:sz w:val="36"/>
          <w:szCs w:val="28"/>
        </w:rPr>
      </w:pPr>
      <w:r>
        <w:rPr>
          <w:rFonts w:ascii="Times New Roman" w:hAnsi="Times New Roman" w:cs="Times New Roman"/>
          <w:bCs/>
          <w:color w:val="auto"/>
          <w:sz w:val="36"/>
          <w:szCs w:val="28"/>
        </w:rPr>
        <w:t>目  录</w:t>
      </w:r>
    </w:p>
    <w:p>
      <w:pPr>
        <w:pStyle w:val="14"/>
        <w:spacing w:line="600" w:lineRule="exact"/>
        <w:jc w:val="center"/>
        <w:rPr>
          <w:rFonts w:ascii="Times New Roman" w:hAnsi="Times New Roman" w:cs="Times New Roman"/>
          <w:b/>
          <w:color w:val="auto"/>
          <w:sz w:val="36"/>
          <w:szCs w:val="28"/>
        </w:rPr>
      </w:pPr>
    </w:p>
    <w:p>
      <w:pPr>
        <w:pStyle w:val="14"/>
        <w:spacing w:after="156" w:afterLines="50" w:line="600" w:lineRule="exact"/>
        <w:rPr>
          <w:rFonts w:ascii="Times New Roman" w:hAnsi="Times New Roman" w:cs="Times New Roman"/>
          <w:bCs/>
          <w:color w:val="auto"/>
          <w:sz w:val="32"/>
          <w:szCs w:val="32"/>
        </w:rPr>
      </w:pPr>
      <w:r>
        <w:rPr>
          <w:rFonts w:ascii="Times New Roman" w:hAnsi="Times New Roman" w:cs="Times New Roman"/>
          <w:bCs/>
          <w:color w:val="auto"/>
          <w:sz w:val="32"/>
          <w:szCs w:val="32"/>
        </w:rPr>
        <w:t>第一部分 怀化市库区移民事务中心概况</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一、部门职责</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二、机构设置及决算单位构成</w:t>
      </w:r>
    </w:p>
    <w:p>
      <w:pPr>
        <w:pStyle w:val="14"/>
        <w:spacing w:before="156" w:beforeLines="50" w:after="156" w:afterLines="50" w:line="600" w:lineRule="exact"/>
        <w:rPr>
          <w:rFonts w:ascii="Times New Roman" w:hAnsi="Times New Roman" w:cs="Times New Roman"/>
          <w:bCs/>
          <w:color w:val="auto"/>
          <w:sz w:val="32"/>
          <w:szCs w:val="32"/>
        </w:rPr>
      </w:pPr>
      <w:r>
        <w:rPr>
          <w:rFonts w:ascii="Times New Roman" w:hAnsi="Times New Roman" w:cs="Times New Roman"/>
          <w:bCs/>
          <w:color w:val="auto"/>
          <w:sz w:val="32"/>
          <w:szCs w:val="32"/>
        </w:rPr>
        <w:t>第二部分 部门决算表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一、收入支出决算总表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二、收入决算表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三、支出决算表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四、财政拨款收入支出决算总表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五、一般公共预算财政拨款支出决算表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六、一般公共预算财政拨款基本支出决算明细表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七、政府性基金预算财政拨款收入支出决算表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八、国有资本经营预算财政拨款支出决算表</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九、财政拨款“三公”经费支出决算表</w:t>
      </w:r>
    </w:p>
    <w:p>
      <w:pPr>
        <w:pStyle w:val="14"/>
        <w:spacing w:before="156" w:beforeLines="50" w:after="156" w:afterLines="50" w:line="600" w:lineRule="exact"/>
        <w:rPr>
          <w:rFonts w:ascii="Times New Roman" w:hAnsi="Times New Roman" w:cs="Times New Roman"/>
          <w:bCs/>
          <w:color w:val="auto"/>
          <w:sz w:val="32"/>
          <w:szCs w:val="32"/>
        </w:rPr>
      </w:pPr>
      <w:r>
        <w:rPr>
          <w:rFonts w:ascii="Times New Roman" w:hAnsi="Times New Roman" w:cs="Times New Roman"/>
          <w:bCs/>
          <w:color w:val="auto"/>
          <w:sz w:val="32"/>
          <w:szCs w:val="32"/>
        </w:rPr>
        <w:t>第三部分 部门决算情况说明</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一、收入支出决算总体情况说明</w:t>
      </w:r>
    </w:p>
    <w:p>
      <w:pPr>
        <w:spacing w:line="600" w:lineRule="exact"/>
        <w:jc w:val="lef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八、政府性基金预算收入支出决算情况</w:t>
      </w:r>
    </w:p>
    <w:p>
      <w:pPr>
        <w:autoSpaceDE w:val="0"/>
        <w:autoSpaceDN w:val="0"/>
        <w:adjustRightInd w:val="0"/>
        <w:spacing w:line="600" w:lineRule="exact"/>
        <w:jc w:val="left"/>
        <w:rPr>
          <w:rFonts w:hint="default"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九、国有资本经营预算收入支出决算情况</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十、关于机关运行经费支出说明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kern w:val="0"/>
          <w:sz w:val="32"/>
          <w:szCs w:val="32"/>
        </w:rPr>
        <w:t>十一、一般性支出情况说明</w:t>
      </w:r>
    </w:p>
    <w:p>
      <w:pPr>
        <w:autoSpaceDE w:val="0"/>
        <w:autoSpaceDN w:val="0"/>
        <w:adjustRightInd w:val="0"/>
        <w:spacing w:line="600" w:lineRule="exact"/>
        <w:jc w:val="left"/>
        <w:rPr>
          <w:rFonts w:ascii="Times New Roman" w:hAnsi="Times New Roman" w:eastAsia="仿宋_GB2312" w:cs="Times New Roman"/>
          <w:color w:val="auto"/>
          <w:kern w:val="0"/>
          <w:sz w:val="32"/>
          <w:szCs w:val="32"/>
        </w:rPr>
      </w:pPr>
      <w:r>
        <w:rPr>
          <w:rFonts w:ascii="Times New Roman" w:hAnsi="Times New Roman" w:eastAsia="仿宋_GB2312" w:cs="Times New Roman"/>
          <w:color w:val="auto"/>
          <w:sz w:val="32"/>
          <w:szCs w:val="32"/>
        </w:rPr>
        <w:t>十二、</w:t>
      </w:r>
      <w:r>
        <w:rPr>
          <w:rFonts w:ascii="Times New Roman" w:hAnsi="Times New Roman" w:eastAsia="仿宋_GB2312" w:cs="Times New Roman"/>
          <w:color w:val="auto"/>
          <w:kern w:val="0"/>
          <w:sz w:val="32"/>
          <w:szCs w:val="32"/>
        </w:rPr>
        <w:t>关于政府采购支出说明</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十三、关于国有资产占用情况说明</w:t>
      </w:r>
    </w:p>
    <w:p>
      <w:pPr>
        <w:pStyle w:val="14"/>
        <w:spacing w:line="600" w:lineRule="exac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十四、关于2024年度预算绩效管理情况的说明</w:t>
      </w:r>
    </w:p>
    <w:p>
      <w:pPr>
        <w:pStyle w:val="14"/>
        <w:spacing w:before="156" w:beforeLines="50" w:after="156" w:afterLines="50" w:line="600" w:lineRule="exact"/>
        <w:rPr>
          <w:rFonts w:ascii="Times New Roman" w:hAnsi="Times New Roman" w:cs="Times New Roman"/>
          <w:bCs/>
          <w:color w:val="auto"/>
          <w:sz w:val="32"/>
          <w:szCs w:val="32"/>
        </w:rPr>
      </w:pPr>
      <w:r>
        <w:rPr>
          <w:rFonts w:ascii="Times New Roman" w:hAnsi="Times New Roman" w:cs="Times New Roman"/>
          <w:bCs/>
          <w:color w:val="auto"/>
          <w:sz w:val="32"/>
          <w:szCs w:val="32"/>
        </w:rPr>
        <w:t>第四部分 名词解释</w:t>
      </w:r>
    </w:p>
    <w:p>
      <w:pPr>
        <w:pStyle w:val="14"/>
        <w:spacing w:before="156" w:beforeLines="50" w:after="156" w:afterLines="50" w:line="600" w:lineRule="exact"/>
        <w:rPr>
          <w:rFonts w:ascii="Times New Roman" w:hAnsi="Times New Roman" w:cs="Times New Roman"/>
          <w:bCs/>
          <w:color w:val="auto"/>
          <w:sz w:val="32"/>
          <w:szCs w:val="32"/>
        </w:rPr>
      </w:pPr>
      <w:r>
        <w:rPr>
          <w:rFonts w:ascii="Times New Roman" w:hAnsi="Times New Roman" w:cs="Times New Roman"/>
          <w:bCs/>
          <w:color w:val="auto"/>
          <w:sz w:val="32"/>
          <w:szCs w:val="32"/>
        </w:rPr>
        <w:t>第五部分 附件</w:t>
      </w:r>
    </w:p>
    <w:p>
      <w:pPr>
        <w:pStyle w:val="14"/>
        <w:spacing w:line="600" w:lineRule="exact"/>
        <w:rPr>
          <w:rFonts w:ascii="Times New Roman" w:hAnsi="Times New Roman" w:cs="Times New Roman"/>
          <w:bCs/>
          <w:color w:val="auto"/>
          <w:sz w:val="28"/>
          <w:szCs w:val="28"/>
        </w:rPr>
      </w:pPr>
    </w:p>
    <w:p>
      <w:pPr>
        <w:jc w:val="center"/>
        <w:rPr>
          <w:rFonts w:ascii="Times New Roman" w:hAnsi="Times New Roman" w:cs="Times New Roman"/>
          <w:color w:val="auto"/>
          <w:sz w:val="72"/>
          <w:szCs w:val="72"/>
        </w:rPr>
      </w:pPr>
    </w:p>
    <w:p>
      <w:pPr>
        <w:jc w:val="center"/>
        <w:rPr>
          <w:rFonts w:ascii="Times New Roman" w:hAnsi="Times New Roman" w:cs="Times New Roman"/>
          <w:color w:val="auto"/>
          <w:sz w:val="72"/>
          <w:szCs w:val="72"/>
        </w:rPr>
      </w:pPr>
    </w:p>
    <w:p>
      <w:pPr>
        <w:jc w:val="center"/>
        <w:rPr>
          <w:rFonts w:ascii="Times New Roman" w:hAnsi="Times New Roman" w:cs="Times New Roman"/>
          <w:color w:val="auto"/>
          <w:sz w:val="72"/>
          <w:szCs w:val="72"/>
        </w:rPr>
      </w:pPr>
    </w:p>
    <w:p>
      <w:pPr>
        <w:pStyle w:val="8"/>
        <w:rPr>
          <w:rFonts w:ascii="Times New Roman" w:hAnsi="Times New Roman" w:cs="Times New Roman"/>
          <w:color w:val="auto"/>
        </w:rPr>
        <w:sectPr>
          <w:footerReference r:id="rId4"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color w:val="auto"/>
          <w:sz w:val="72"/>
          <w:szCs w:val="72"/>
        </w:rPr>
      </w:pPr>
    </w:p>
    <w:p>
      <w:pPr>
        <w:pStyle w:val="14"/>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第一部分</w:t>
      </w:r>
    </w:p>
    <w:p>
      <w:pPr>
        <w:pStyle w:val="14"/>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怀化市库区移民事务中心概况</w:t>
      </w:r>
    </w:p>
    <w:p>
      <w:pPr>
        <w:pStyle w:val="4"/>
        <w:ind w:left="0" w:leftChars="0" w:firstLine="0" w:firstLineChars="0"/>
        <w:rPr>
          <w:rFonts w:ascii="Times New Roman" w:hAnsi="Times New Roman" w:cs="Times New Roman"/>
          <w:color w:val="auto"/>
        </w:rPr>
      </w:pPr>
    </w:p>
    <w:p>
      <w:pPr>
        <w:pStyle w:val="15"/>
        <w:spacing w:line="600" w:lineRule="exact"/>
        <w:ind w:firstLine="0" w:firstLineChars="0"/>
        <w:jc w:val="left"/>
        <w:rPr>
          <w:rFonts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一、</w:t>
      </w:r>
      <w:r>
        <w:rPr>
          <w:rFonts w:ascii="Times New Roman" w:hAnsi="Times New Roman" w:eastAsia="黑体" w:cs="Times New Roman"/>
          <w:color w:val="auto"/>
          <w:sz w:val="32"/>
          <w:szCs w:val="32"/>
        </w:rPr>
        <w:t>部门职责</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（一）为大中型水库工程建设征地实物调查细则、移民安置规划大纲、移民安置规划、移民后期扶持规划审查提供技术支持;承担大中型水库移民安置阶段验收及竣工验收的事务性工作。</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（二）承担移民系统信息化管理和综合统计工作。</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（三）承担大中型水库移民安置和后期扶持的事务性工作。</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协助有关部门拟订市本级水库移民资金年度预算方案和安排方案；承担移民资金内部审计和绩效评价的事务性工作;承担水库移民后期扶持政策实施情况监测评估、稽察的事务性工作;为水库移民资金管理提供服务保障。</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（五）协助开展水库移民工作法规、规章的研究和起草工作;承担大中型水库移民信访维权、行政复议、行政诉讼的事务性工作。</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（六）协助推动水库移民对口帮扶工作;承担水库移民计划生育、综合治理、扶贫攻坚、安全生产的事务性工作。</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（七）协助协调三峡移民工作。</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（八）承担大中型水库移民培训的事务性工作。</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（九）承担市水利局交办的其他工作。</w:t>
      </w:r>
    </w:p>
    <w:p>
      <w:pPr>
        <w:widowControl/>
        <w:spacing w:line="600" w:lineRule="exact"/>
        <w:rPr>
          <w:rFonts w:ascii="Times New Roman" w:hAnsi="Times New Roman" w:eastAsia="黑体" w:cs="Times New Roman"/>
          <w:bCs/>
          <w:color w:val="auto"/>
          <w:kern w:val="0"/>
          <w:sz w:val="32"/>
          <w:szCs w:val="32"/>
        </w:rPr>
      </w:pPr>
      <w:r>
        <w:rPr>
          <w:rFonts w:ascii="Times New Roman" w:hAnsi="Times New Roman" w:eastAsia="黑体" w:cs="Times New Roman"/>
          <w:bCs/>
          <w:color w:val="auto"/>
          <w:kern w:val="0"/>
          <w:sz w:val="32"/>
          <w:szCs w:val="32"/>
        </w:rPr>
        <w:t>二、机构设置及决算单位构成</w:t>
      </w:r>
    </w:p>
    <w:p>
      <w:pPr>
        <w:widowControl/>
        <w:spacing w:line="600" w:lineRule="exact"/>
        <w:ind w:firstLine="640" w:firstLineChars="200"/>
        <w:rPr>
          <w:rFonts w:hint="eastAsia" w:ascii="Times New Roman" w:hAnsi="Times New Roman" w:eastAsia="仿宋_GB2312" w:cs="仿宋_GB2312"/>
          <w:bCs/>
          <w:color w:val="auto"/>
          <w:kern w:val="0"/>
          <w:sz w:val="32"/>
          <w:szCs w:val="32"/>
        </w:rPr>
      </w:pPr>
      <w:r>
        <w:rPr>
          <w:rFonts w:hint="eastAsia" w:ascii="Times New Roman" w:hAnsi="Times New Roman" w:eastAsia="仿宋_GB2312" w:cs="仿宋_GB2312"/>
          <w:bCs/>
          <w:color w:val="auto"/>
          <w:kern w:val="0"/>
          <w:sz w:val="32"/>
          <w:szCs w:val="32"/>
        </w:rPr>
        <w:t>（一）内设机构设置。怀化市库区移民事务中心内设机构包括：办公室（人事部）、搬迁安置部、后期扶持部、资金财务部、信访维权部。</w:t>
      </w:r>
    </w:p>
    <w:p>
      <w:pPr>
        <w:pStyle w:val="14"/>
        <w:jc w:val="left"/>
        <w:rPr>
          <w:rFonts w:hint="eastAsia" w:ascii="Times New Roman" w:hAnsi="Times New Roman" w:eastAsia="仿宋_GB2312" w:cs="仿宋_GB2312"/>
          <w:bCs/>
          <w:color w:val="auto"/>
          <w:kern w:val="0"/>
          <w:sz w:val="32"/>
          <w:szCs w:val="32"/>
          <w:lang w:val="en-US" w:eastAsia="zh-CN"/>
        </w:rPr>
      </w:pPr>
      <w:r>
        <w:rPr>
          <w:rFonts w:hint="eastAsia" w:ascii="Times New Roman" w:hAnsi="Times New Roman" w:eastAsia="仿宋_GB2312" w:cs="仿宋_GB2312"/>
          <w:bCs/>
          <w:color w:val="auto"/>
          <w:kern w:val="0"/>
          <w:sz w:val="32"/>
          <w:szCs w:val="32"/>
          <w:lang w:val="en-US" w:eastAsia="zh-CN"/>
        </w:rPr>
        <w:t xml:space="preserve">    </w:t>
      </w:r>
      <w:r>
        <w:rPr>
          <w:rFonts w:hint="eastAsia" w:ascii="Times New Roman" w:hAnsi="Times New Roman" w:eastAsia="仿宋_GB2312" w:cs="仿宋_GB2312"/>
          <w:bCs/>
          <w:color w:val="auto"/>
          <w:kern w:val="0"/>
          <w:sz w:val="32"/>
          <w:szCs w:val="32"/>
        </w:rPr>
        <w:t>（二）决算单位构成。怀化市库区移民事务中心202</w:t>
      </w:r>
      <w:r>
        <w:rPr>
          <w:rFonts w:hint="default" w:ascii="Times New Roman" w:hAnsi="Times New Roman" w:eastAsia="仿宋_GB2312" w:cs="仿宋_GB2312"/>
          <w:bCs/>
          <w:color w:val="auto"/>
          <w:kern w:val="0"/>
          <w:sz w:val="32"/>
          <w:szCs w:val="32"/>
        </w:rPr>
        <w:t>4</w:t>
      </w:r>
      <w:r>
        <w:rPr>
          <w:rFonts w:hint="eastAsia" w:ascii="Times New Roman" w:hAnsi="Times New Roman" w:eastAsia="仿宋_GB2312" w:cs="仿宋_GB2312"/>
          <w:bCs/>
          <w:color w:val="auto"/>
          <w:kern w:val="0"/>
          <w:sz w:val="32"/>
          <w:szCs w:val="32"/>
        </w:rPr>
        <w:t>年部门决算汇总公开单位构成包括：怀化市库区移民事务中心本级</w:t>
      </w:r>
      <w:r>
        <w:rPr>
          <w:rFonts w:hint="eastAsia" w:ascii="Times New Roman" w:hAnsi="Times New Roman" w:eastAsia="仿宋_GB2312" w:cs="仿宋_GB2312"/>
          <w:bCs/>
          <w:color w:val="auto"/>
          <w:kern w:val="0"/>
          <w:sz w:val="32"/>
          <w:szCs w:val="32"/>
          <w:lang w:eastAsia="zh-CN"/>
        </w:rPr>
        <w:t>。</w:t>
      </w:r>
    </w:p>
    <w:p>
      <w:pPr>
        <w:jc w:val="center"/>
        <w:rPr>
          <w:rFonts w:ascii="Times New Roman" w:hAnsi="Times New Roman" w:eastAsia="黑体" w:cs="Times New Roman"/>
          <w:color w:val="auto"/>
          <w:sz w:val="28"/>
          <w:szCs w:val="28"/>
        </w:rPr>
      </w:pPr>
    </w:p>
    <w:p>
      <w:pPr>
        <w:jc w:val="center"/>
        <w:rPr>
          <w:rFonts w:ascii="Times New Roman" w:hAnsi="Times New Roman" w:eastAsia="黑体" w:cs="Times New Roman"/>
          <w:color w:val="auto"/>
          <w:sz w:val="28"/>
          <w:szCs w:val="28"/>
        </w:rPr>
      </w:pPr>
    </w:p>
    <w:p>
      <w:pPr>
        <w:jc w:val="center"/>
        <w:rPr>
          <w:rFonts w:ascii="Times New Roman" w:hAnsi="Times New Roman" w:eastAsia="黑体" w:cs="Times New Roman"/>
          <w:color w:val="auto"/>
          <w:sz w:val="28"/>
          <w:szCs w:val="28"/>
        </w:rPr>
      </w:pPr>
    </w:p>
    <w:p>
      <w:pPr>
        <w:pStyle w:val="8"/>
        <w:rPr>
          <w:rFonts w:ascii="Times New Roman" w:hAnsi="Times New Roman" w:cs="Times New Roman"/>
          <w:color w:val="auto"/>
        </w:rPr>
        <w:sectPr>
          <w:footerReference r:id="rId5" w:type="default"/>
          <w:pgSz w:w="11906" w:h="16838"/>
          <w:pgMar w:top="1417" w:right="1588" w:bottom="1417" w:left="1588" w:header="851" w:footer="992" w:gutter="0"/>
          <w:pgNumType w:start="1"/>
          <w:cols w:space="425" w:num="1"/>
          <w:docGrid w:type="lines" w:linePitch="312" w:charSpace="0"/>
        </w:sectPr>
      </w:pPr>
    </w:p>
    <w:p>
      <w:pPr>
        <w:pStyle w:val="14"/>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第二部分    部门决算表</w:t>
      </w:r>
    </w:p>
    <w:p>
      <w:pPr>
        <w:widowControl/>
        <w:spacing w:after="156" w:afterLines="50"/>
        <w:jc w:val="center"/>
        <w:textAlignment w:val="center"/>
        <w:rPr>
          <w:rFonts w:ascii="Times New Roman" w:hAnsi="Times New Roman" w:eastAsia="黑体" w:cs="Times New Roman"/>
          <w:color w:val="auto"/>
          <w:sz w:val="36"/>
          <w:szCs w:val="36"/>
        </w:rPr>
      </w:pPr>
      <w:r>
        <w:rPr>
          <w:rFonts w:ascii="Times New Roman" w:hAnsi="Times New Roman" w:eastAsia="黑体" w:cs="Times New Roman"/>
          <w:color w:val="auto"/>
          <w:kern w:val="0"/>
          <w:sz w:val="36"/>
          <w:szCs w:val="36"/>
          <w:lang w:bidi="ar"/>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4"/>
          <w:szCs w:val="24"/>
        </w:rPr>
        <w:tab/>
      </w:r>
      <w:r>
        <w:rPr>
          <w:rFonts w:ascii="Times New Roman" w:hAnsi="Times New Roman" w:eastAsia="仿宋_GB2312" w:cs="Times New Roman"/>
          <w:color w:val="auto"/>
          <w:kern w:val="0"/>
          <w:sz w:val="20"/>
          <w:szCs w:val="20"/>
          <w:lang w:bidi="ar"/>
        </w:rPr>
        <w:t>公开01表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kern w:val="0"/>
          <w:sz w:val="20"/>
          <w:szCs w:val="20"/>
          <w:lang w:bidi="ar"/>
        </w:rPr>
        <w:t>部门：</w:t>
      </w:r>
      <w:r>
        <w:rPr>
          <w:rFonts w:hint="eastAsia" w:ascii="Times New Roman" w:hAnsi="Times New Roman" w:eastAsia="仿宋_GB2312" w:cs="Times New Roman"/>
          <w:color w:val="auto"/>
          <w:kern w:val="0"/>
          <w:sz w:val="20"/>
          <w:szCs w:val="20"/>
          <w:lang w:bidi="ar"/>
        </w:rPr>
        <w:t>怀化市库区移民事务中心</w:t>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4"/>
          <w:szCs w:val="24"/>
        </w:rPr>
        <w:tab/>
      </w:r>
      <w:r>
        <w:rPr>
          <w:rFonts w:ascii="Times New Roman" w:hAnsi="Times New Roman" w:eastAsia="仿宋_GB2312" w:cs="Times New Roman"/>
          <w:color w:val="auto"/>
          <w:kern w:val="0"/>
          <w:sz w:val="20"/>
          <w:szCs w:val="20"/>
          <w:lang w:bidi="ar"/>
        </w:rPr>
        <w:t>单位：万元</w:t>
      </w:r>
    </w:p>
    <w:tbl>
      <w:tblPr>
        <w:tblStyle w:val="10"/>
        <w:tblW w:w="13899" w:type="dxa"/>
        <w:jc w:val="center"/>
        <w:tblLayout w:type="autofit"/>
        <w:tblCellMar>
          <w:top w:w="0" w:type="dxa"/>
          <w:left w:w="108" w:type="dxa"/>
          <w:bottom w:w="0" w:type="dxa"/>
          <w:right w:w="108" w:type="dxa"/>
        </w:tblCellMar>
      </w:tblPr>
      <w:tblGrid>
        <w:gridCol w:w="5376"/>
        <w:gridCol w:w="793"/>
        <w:gridCol w:w="1205"/>
        <w:gridCol w:w="4527"/>
        <w:gridCol w:w="793"/>
        <w:gridCol w:w="1205"/>
      </w:tblGrid>
      <w:tr>
        <w:tblPrEx>
          <w:tblCellMar>
            <w:top w:w="0" w:type="dxa"/>
            <w:left w:w="108" w:type="dxa"/>
            <w:bottom w:w="0" w:type="dxa"/>
            <w:right w:w="108" w:type="dxa"/>
          </w:tblCellMar>
        </w:tblPrEx>
        <w:trPr>
          <w:trHeight w:val="311"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支出</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决算数</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auto"/>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auto"/>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2</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473.27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kern w:val="2"/>
                <w:sz w:val="22"/>
                <w:szCs w:val="22"/>
                <w:lang w:val="en-US" w:eastAsia="zh-CN" w:bidi="ar-SA"/>
              </w:rPr>
            </w:pPr>
            <w:r>
              <w:rPr>
                <w:rFonts w:ascii="Times New Roman" w:hAnsi="Times New Roman" w:eastAsia="仿宋_GB2312" w:cs="Times New Roman"/>
                <w:color w:val="auto"/>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371.04</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kern w:val="2"/>
                <w:sz w:val="22"/>
                <w:szCs w:val="22"/>
                <w:lang w:val="en-US" w:eastAsia="zh-CN" w:bidi="ar-SA"/>
              </w:rPr>
            </w:pPr>
            <w:r>
              <w:rPr>
                <w:rFonts w:ascii="Times New Roman" w:hAnsi="Times New Roman" w:eastAsia="仿宋_GB2312" w:cs="Times New Roman"/>
                <w:color w:val="auto"/>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kern w:val="2"/>
                <w:sz w:val="22"/>
                <w:szCs w:val="22"/>
                <w:lang w:val="en-US" w:eastAsia="zh-CN" w:bidi="ar-SA"/>
              </w:rPr>
            </w:pPr>
            <w:r>
              <w:rPr>
                <w:rFonts w:ascii="Times New Roman" w:hAnsi="Times New Roman" w:eastAsia="仿宋_GB2312" w:cs="Times New Roman"/>
                <w:color w:val="auto"/>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kern w:val="2"/>
                <w:sz w:val="22"/>
                <w:szCs w:val="22"/>
                <w:lang w:val="en-US" w:eastAsia="zh-CN" w:bidi="ar-SA"/>
              </w:rPr>
            </w:pPr>
            <w:r>
              <w:rPr>
                <w:rFonts w:ascii="Times New Roman" w:hAnsi="Times New Roman" w:eastAsia="仿宋_GB2312" w:cs="Times New Roman"/>
                <w:color w:val="auto"/>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kern w:val="2"/>
                <w:sz w:val="22"/>
                <w:szCs w:val="22"/>
                <w:lang w:val="en-US" w:eastAsia="zh-CN" w:bidi="ar-SA"/>
              </w:rPr>
            </w:pPr>
            <w:r>
              <w:rPr>
                <w:rFonts w:ascii="Times New Roman" w:hAnsi="Times New Roman" w:eastAsia="仿宋_GB2312" w:cs="Times New Roman"/>
                <w:color w:val="auto"/>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kern w:val="2"/>
                <w:sz w:val="22"/>
                <w:szCs w:val="22"/>
                <w:lang w:val="en-US" w:eastAsia="zh-CN" w:bidi="ar-SA"/>
              </w:rPr>
            </w:pPr>
            <w:r>
              <w:rPr>
                <w:rFonts w:ascii="Times New Roman" w:hAnsi="Times New Roman" w:eastAsia="仿宋_GB2312" w:cs="Times New Roman"/>
                <w:color w:val="auto"/>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default"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kern w:val="2"/>
                <w:sz w:val="22"/>
                <w:szCs w:val="22"/>
                <w:lang w:val="en-US" w:eastAsia="zh-CN" w:bidi="ar-SA"/>
              </w:rPr>
            </w:pPr>
            <w:r>
              <w:rPr>
                <w:rFonts w:ascii="Times New Roman" w:hAnsi="Times New Roman" w:eastAsia="仿宋_GB2312" w:cs="Times New Roman"/>
                <w:color w:val="auto"/>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60.05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Times New Roman" w:hAnsi="Times New Roman" w:eastAsia="仿宋_GB2312" w:cs="Times New Roman"/>
                <w:color w:val="auto"/>
                <w:sz w:val="22"/>
              </w:rPr>
            </w:pPr>
            <w:r>
              <w:rPr>
                <w:rFonts w:ascii="Times New Roman" w:hAnsi="Times New Roman" w:eastAsia="仿宋_GB2312" w:cs="Times New Roman"/>
                <w:color w:val="auto"/>
                <w:sz w:val="22"/>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kern w:val="2"/>
                <w:sz w:val="22"/>
                <w:szCs w:val="22"/>
                <w:lang w:val="en-US" w:eastAsia="zh-CN" w:bidi="ar-SA"/>
              </w:rPr>
            </w:pPr>
            <w:r>
              <w:rPr>
                <w:rFonts w:ascii="Times New Roman" w:hAnsi="Times New Roman" w:eastAsia="仿宋_GB2312" w:cs="Times New Roman"/>
                <w:color w:val="auto"/>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auto"/>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Times New Roman" w:hAnsi="Times New Roman" w:eastAsia="仿宋_GB2312" w:cs="Times New Roman"/>
                <w:color w:val="auto"/>
                <w:sz w:val="22"/>
              </w:rPr>
            </w:pPr>
            <w:r>
              <w:rPr>
                <w:rFonts w:ascii="Times New Roman" w:hAnsi="Times New Roman" w:eastAsia="仿宋_GB2312" w:cs="Times New Roman"/>
                <w:color w:val="auto"/>
                <w:sz w:val="22"/>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kern w:val="2"/>
                <w:sz w:val="22"/>
                <w:szCs w:val="22"/>
                <w:lang w:val="en-US" w:eastAsia="zh-CN" w:bidi="ar-SA"/>
              </w:rPr>
            </w:pPr>
            <w:r>
              <w:rPr>
                <w:rFonts w:ascii="Times New Roman" w:hAnsi="Times New Roman" w:eastAsia="仿宋_GB2312" w:cs="Times New Roman"/>
                <w:color w:val="auto"/>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auto"/>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Times New Roman" w:hAnsi="Times New Roman" w:eastAsia="仿宋_GB2312" w:cs="Times New Roman"/>
                <w:color w:val="auto"/>
                <w:sz w:val="22"/>
              </w:rPr>
            </w:pPr>
            <w:r>
              <w:rPr>
                <w:rFonts w:ascii="Times New Roman" w:hAnsi="Times New Roman" w:eastAsia="仿宋_GB2312" w:cs="Times New Roman"/>
                <w:color w:val="auto"/>
                <w:sz w:val="22"/>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auto"/>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Times New Roman" w:hAnsi="Times New Roman" w:eastAsia="仿宋_GB2312" w:cs="Times New Roman"/>
                <w:color w:val="auto"/>
                <w:sz w:val="22"/>
                <w:lang w:eastAsia="zh-CN"/>
              </w:rPr>
            </w:pPr>
            <w:r>
              <w:rPr>
                <w:rFonts w:ascii="Times New Roman" w:hAnsi="Times New Roman" w:eastAsia="仿宋_GB2312" w:cs="Times New Roman"/>
                <w:color w:val="auto"/>
                <w:sz w:val="22"/>
                <w:lang w:eastAsia="zh-CN"/>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auto"/>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Times New Roman" w:hAnsi="Times New Roman" w:eastAsia="仿宋_GB2312" w:cs="Times New Roman"/>
                <w:color w:val="auto"/>
                <w:sz w:val="22"/>
                <w:lang w:eastAsia="zh-CN"/>
              </w:rPr>
            </w:pPr>
            <w:r>
              <w:rPr>
                <w:rFonts w:ascii="Times New Roman" w:hAnsi="Times New Roman" w:eastAsia="仿宋_GB2312" w:cs="Times New Roman"/>
                <w:color w:val="auto"/>
                <w:sz w:val="22"/>
                <w:lang w:eastAsia="zh-CN"/>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112.11</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auto"/>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b/>
                <w:color w:val="auto"/>
                <w:kern w:val="2"/>
                <w:sz w:val="22"/>
                <w:szCs w:val="22"/>
                <w:lang w:val="en-US" w:eastAsia="zh-CN" w:bidi="ar-SA"/>
              </w:rPr>
            </w:pPr>
            <w:r>
              <w:rPr>
                <w:rFonts w:ascii="Times New Roman" w:hAnsi="Times New Roman" w:eastAsia="仿宋_GB2312" w:cs="Times New Roman"/>
                <w:color w:val="auto"/>
                <w:kern w:val="0"/>
                <w:sz w:val="24"/>
                <w:szCs w:val="24"/>
                <w:lang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auto"/>
                <w:kern w:val="2"/>
                <w:sz w:val="22"/>
                <w:szCs w:val="22"/>
                <w:lang w:val="en-US" w:eastAsia="zh-CN" w:bidi="ar-SA"/>
              </w:rPr>
            </w:pPr>
            <w:r>
              <w:rPr>
                <w:rFonts w:ascii="Times New Roman" w:hAnsi="Times New Roman" w:eastAsia="仿宋_GB2312" w:cs="Times New Roman"/>
                <w:b/>
                <w:color w:val="auto"/>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533.33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auto"/>
                <w:kern w:val="2"/>
                <w:sz w:val="22"/>
                <w:szCs w:val="22"/>
                <w:lang w:val="en-US" w:eastAsia="zh-CN" w:bidi="ar-SA"/>
              </w:rPr>
            </w:pPr>
            <w:r>
              <w:rPr>
                <w:rFonts w:ascii="Times New Roman" w:hAnsi="Times New Roman" w:eastAsia="仿宋_GB2312" w:cs="Times New Roman"/>
                <w:b/>
                <w:color w:val="auto"/>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533.33</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kern w:val="2"/>
                <w:sz w:val="22"/>
                <w:szCs w:val="22"/>
                <w:lang w:val="en-US" w:eastAsia="zh-CN" w:bidi="ar-SA"/>
              </w:rPr>
            </w:pPr>
            <w:r>
              <w:rPr>
                <w:rFonts w:ascii="Times New Roman" w:hAnsi="Times New Roman" w:eastAsia="仿宋_GB2312" w:cs="Times New Roman"/>
                <w:color w:val="auto"/>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kern w:val="2"/>
                <w:sz w:val="22"/>
                <w:szCs w:val="22"/>
                <w:lang w:val="en-US" w:eastAsia="zh-CN" w:bidi="ar-SA"/>
              </w:rPr>
            </w:pPr>
            <w:r>
              <w:rPr>
                <w:rFonts w:ascii="Times New Roman" w:hAnsi="Times New Roman" w:eastAsia="仿宋_GB2312" w:cs="Times New Roman"/>
                <w:color w:val="auto"/>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r>
      <w:tr>
        <w:tblPrEx>
          <w:tblCellMar>
            <w:top w:w="0" w:type="dxa"/>
            <w:left w:w="108" w:type="dxa"/>
            <w:bottom w:w="0" w:type="dxa"/>
            <w:right w:w="108" w:type="dxa"/>
          </w:tblCellMar>
        </w:tblPrEx>
        <w:trPr>
          <w:trHeight w:val="311"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kern w:val="2"/>
                <w:sz w:val="22"/>
                <w:szCs w:val="22"/>
                <w:lang w:val="en-US" w:eastAsia="zh-CN" w:bidi="ar-SA"/>
              </w:rPr>
            </w:pPr>
            <w:r>
              <w:rPr>
                <w:rFonts w:ascii="Times New Roman" w:hAnsi="Times New Roman" w:eastAsia="仿宋_GB2312" w:cs="Times New Roman"/>
                <w:color w:val="auto"/>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auto"/>
                <w:kern w:val="2"/>
                <w:sz w:val="22"/>
                <w:szCs w:val="22"/>
                <w:lang w:val="en-US" w:eastAsia="zh-CN" w:bidi="ar-SA"/>
              </w:rPr>
            </w:pPr>
            <w:r>
              <w:rPr>
                <w:rFonts w:ascii="Times New Roman" w:hAnsi="Times New Roman" w:eastAsia="仿宋_GB2312" w:cs="Times New Roman"/>
                <w:color w:val="auto"/>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0.00</w:t>
            </w:r>
          </w:p>
        </w:tc>
      </w:tr>
      <w:tr>
        <w:tblPrEx>
          <w:tblCellMar>
            <w:top w:w="0" w:type="dxa"/>
            <w:left w:w="108" w:type="dxa"/>
            <w:bottom w:w="0" w:type="dxa"/>
            <w:right w:w="108" w:type="dxa"/>
          </w:tblCellMar>
        </w:tblPrEx>
        <w:trPr>
          <w:trHeight w:val="32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auto"/>
                <w:kern w:val="2"/>
                <w:sz w:val="22"/>
                <w:szCs w:val="22"/>
                <w:lang w:val="en-US" w:eastAsia="zh-CN" w:bidi="ar-SA"/>
              </w:rPr>
            </w:pPr>
            <w:r>
              <w:rPr>
                <w:rFonts w:ascii="Times New Roman" w:hAnsi="Times New Roman" w:eastAsia="仿宋_GB2312" w:cs="Times New Roman"/>
                <w:b/>
                <w:color w:val="auto"/>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533.33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auto"/>
                <w:kern w:val="2"/>
                <w:sz w:val="22"/>
                <w:szCs w:val="22"/>
                <w:lang w:val="en-US" w:eastAsia="zh-CN" w:bidi="ar-SA"/>
              </w:rPr>
            </w:pPr>
            <w:r>
              <w:rPr>
                <w:rFonts w:ascii="Times New Roman" w:hAnsi="Times New Roman" w:eastAsia="仿宋_GB2312" w:cs="Times New Roman"/>
                <w:b/>
                <w:color w:val="auto"/>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533.33</w:t>
            </w:r>
          </w:p>
        </w:tc>
      </w:tr>
    </w:tbl>
    <w:p>
      <w:pPr>
        <w:widowControl/>
        <w:jc w:val="left"/>
        <w:textAlignment w:val="center"/>
        <w:rPr>
          <w:rFonts w:ascii="Times New Roman" w:hAnsi="Times New Roman" w:eastAsia="宋体" w:cs="Times New Roman"/>
          <w:color w:val="auto"/>
          <w:kern w:val="0"/>
          <w:sz w:val="24"/>
          <w:szCs w:val="24"/>
          <w:lang w:bidi="ar"/>
        </w:rPr>
      </w:pPr>
    </w:p>
    <w:p>
      <w:pPr>
        <w:widowControl/>
        <w:jc w:val="left"/>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注：1.本表反映部门本年度的总收支和年末结转结余情况。</w:t>
      </w:r>
      <w:r>
        <w:rPr>
          <w:rFonts w:ascii="Times New Roman" w:hAnsi="Times New Roman" w:eastAsia="仿宋_GB2312" w:cs="Times New Roman"/>
          <w:color w:val="auto"/>
          <w:kern w:val="0"/>
          <w:sz w:val="24"/>
          <w:szCs w:val="24"/>
          <w:lang w:bidi="ar"/>
        </w:rPr>
        <w:br w:type="textWrapping"/>
      </w:r>
      <w:r>
        <w:rPr>
          <w:rFonts w:ascii="Times New Roman" w:hAnsi="Times New Roman" w:eastAsia="仿宋_GB2312" w:cs="Times New Roman"/>
          <w:color w:val="auto"/>
          <w:kern w:val="0"/>
          <w:sz w:val="24"/>
          <w:szCs w:val="24"/>
          <w:lang w:bidi="ar"/>
        </w:rPr>
        <w:t xml:space="preserve">    2.本套报表金额单位转换时可能存在尾数误差。</w:t>
      </w:r>
    </w:p>
    <w:p>
      <w:pPr>
        <w:rPr>
          <w:rFonts w:ascii="Times New Roman" w:hAnsi="Times New Roman" w:eastAsia="黑体" w:cs="Times New Roman"/>
          <w:color w:val="auto"/>
          <w:kern w:val="0"/>
          <w:sz w:val="32"/>
          <w:szCs w:val="32"/>
          <w:lang w:bidi="ar"/>
        </w:rPr>
      </w:pPr>
      <w:r>
        <w:rPr>
          <w:rFonts w:ascii="Times New Roman" w:hAnsi="Times New Roman" w:eastAsia="华文中宋" w:cs="Times New Roman"/>
          <w:color w:val="auto"/>
          <w:sz w:val="32"/>
          <w:szCs w:val="32"/>
        </w:rPr>
        <w:br w:type="page"/>
      </w:r>
    </w:p>
    <w:p>
      <w:pPr>
        <w:widowControl/>
        <w:spacing w:after="156" w:afterLines="50"/>
        <w:jc w:val="center"/>
        <w:textAlignment w:val="center"/>
        <w:rPr>
          <w:rFonts w:ascii="Times New Roman" w:hAnsi="Times New Roman" w:eastAsia="黑体" w:cs="Times New Roman"/>
          <w:color w:val="auto"/>
          <w:kern w:val="0"/>
          <w:sz w:val="36"/>
          <w:szCs w:val="36"/>
          <w:lang w:bidi="ar"/>
        </w:rPr>
      </w:pPr>
      <w:r>
        <w:rPr>
          <w:rFonts w:ascii="Times New Roman" w:hAnsi="Times New Roman" w:eastAsia="黑体" w:cs="Times New Roman"/>
          <w:color w:val="auto"/>
          <w:kern w:val="0"/>
          <w:sz w:val="36"/>
          <w:szCs w:val="36"/>
          <w:lang w:bidi="ar"/>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auto"/>
          <w:sz w:val="20"/>
          <w:szCs w:val="20"/>
        </w:rPr>
      </w:pP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auto"/>
          <w:sz w:val="20"/>
          <w:szCs w:val="20"/>
        </w:rPr>
      </w:pPr>
      <w:r>
        <w:rPr>
          <w:rFonts w:ascii="Times New Roman" w:hAnsi="Times New Roman" w:eastAsia="仿宋_GB2312" w:cs="Times New Roman"/>
          <w:color w:val="auto"/>
          <w:sz w:val="20"/>
          <w:szCs w:val="20"/>
        </w:rPr>
        <w:t>部门：</w:t>
      </w:r>
      <w:r>
        <w:rPr>
          <w:rFonts w:ascii="Times New Roman" w:hAnsi="Times New Roman" w:eastAsia="仿宋_GB2312" w:cs="Times New Roman"/>
          <w:color w:val="auto"/>
          <w:sz w:val="20"/>
          <w:szCs w:val="20"/>
        </w:rPr>
        <w:tab/>
      </w:r>
      <w:r>
        <w:rPr>
          <w:rFonts w:hint="eastAsia" w:ascii="Times New Roman" w:hAnsi="Times New Roman" w:eastAsia="仿宋_GB2312" w:cs="Times New Roman"/>
          <w:color w:val="auto"/>
          <w:sz w:val="20"/>
          <w:szCs w:val="20"/>
        </w:rPr>
        <w:t>怀化市库区移民事务中心</w:t>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0"/>
          <w:szCs w:val="20"/>
        </w:rPr>
        <w:t>　</w:t>
      </w:r>
      <w:r>
        <w:rPr>
          <w:rFonts w:ascii="Times New Roman" w:hAnsi="Times New Roman" w:eastAsia="仿宋_GB2312" w:cs="Times New Roman"/>
          <w:color w:val="auto"/>
          <w:sz w:val="20"/>
          <w:szCs w:val="20"/>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rPr>
        <w:t>　</w:t>
      </w:r>
      <w:r>
        <w:rPr>
          <w:rFonts w:ascii="Times New Roman" w:hAnsi="Times New Roman" w:eastAsia="仿宋_GB2312" w:cs="Times New Roman"/>
          <w:color w:val="auto"/>
          <w:sz w:val="24"/>
          <w:szCs w:val="24"/>
        </w:rPr>
        <w:tab/>
      </w:r>
      <w:r>
        <w:rPr>
          <w:rFonts w:ascii="Times New Roman" w:hAnsi="Times New Roman" w:eastAsia="仿宋_GB2312" w:cs="Times New Roman"/>
          <w:color w:val="auto"/>
          <w:sz w:val="20"/>
          <w:szCs w:val="20"/>
        </w:rPr>
        <w:t>单位：万元</w:t>
      </w:r>
    </w:p>
    <w:tbl>
      <w:tblPr>
        <w:tblStyle w:val="10"/>
        <w:tblW w:w="14134"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7"/>
        <w:gridCol w:w="807"/>
        <w:gridCol w:w="807"/>
        <w:gridCol w:w="4014"/>
        <w:gridCol w:w="1174"/>
        <w:gridCol w:w="1174"/>
        <w:gridCol w:w="1058"/>
        <w:gridCol w:w="1058"/>
        <w:gridCol w:w="1058"/>
        <w:gridCol w:w="1058"/>
        <w:gridCol w:w="11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2421"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科目代码</w:t>
            </w:r>
          </w:p>
        </w:tc>
        <w:tc>
          <w:tcPr>
            <w:tcW w:w="4014" w:type="dxa"/>
            <w:vMerge w:val="restart"/>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科目名称</w:t>
            </w:r>
          </w:p>
        </w:tc>
        <w:tc>
          <w:tcPr>
            <w:tcW w:w="1174"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本年收入合计</w:t>
            </w:r>
          </w:p>
        </w:tc>
        <w:tc>
          <w:tcPr>
            <w:tcW w:w="1174"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财政拨款收入</w:t>
            </w:r>
          </w:p>
        </w:tc>
        <w:tc>
          <w:tcPr>
            <w:tcW w:w="1058"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上级补助收入</w:t>
            </w:r>
          </w:p>
        </w:tc>
        <w:tc>
          <w:tcPr>
            <w:tcW w:w="1058"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事业收入</w:t>
            </w:r>
          </w:p>
        </w:tc>
        <w:tc>
          <w:tcPr>
            <w:tcW w:w="1058"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经营收入</w:t>
            </w:r>
          </w:p>
        </w:tc>
        <w:tc>
          <w:tcPr>
            <w:tcW w:w="1058"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附属单位上缴收入</w:t>
            </w:r>
          </w:p>
        </w:tc>
        <w:tc>
          <w:tcPr>
            <w:tcW w:w="1119"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2421"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4014" w:type="dxa"/>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1174"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174"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05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05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05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05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119"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2421"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4014" w:type="dxa"/>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1174"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174"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05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05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05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05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119"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2421"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4014" w:type="dxa"/>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1174"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174"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05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05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05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058"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119"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vMerge w:val="restar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类</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款</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项</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栏次</w:t>
            </w:r>
          </w:p>
        </w:tc>
        <w:tc>
          <w:tcPr>
            <w:tcW w:w="1174"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1174"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w:t>
            </w:r>
          </w:p>
        </w:tc>
        <w:tc>
          <w:tcPr>
            <w:tcW w:w="1058"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w:t>
            </w:r>
          </w:p>
        </w:tc>
        <w:tc>
          <w:tcPr>
            <w:tcW w:w="1058"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w:t>
            </w:r>
          </w:p>
        </w:tc>
        <w:tc>
          <w:tcPr>
            <w:tcW w:w="1058"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1058"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6</w:t>
            </w:r>
          </w:p>
        </w:tc>
        <w:tc>
          <w:tcPr>
            <w:tcW w:w="1119"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vMerge w:val="continue"/>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533.33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473.27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60.05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316.61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316.61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316.61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112.11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112.11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112.11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112.11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2130321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大中型水库移民后期扶持专项支出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58.60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58.60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2130399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其他水利支出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53.50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53.50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bl>
    <w:p>
      <w:pPr>
        <w:spacing w:before="120"/>
        <w:rPr>
          <w:rFonts w:ascii="Times New Roman" w:hAnsi="Times New Roman" w:eastAsia="黑体" w:cs="Times New Roman"/>
          <w:color w:val="auto"/>
          <w:kern w:val="0"/>
          <w:sz w:val="32"/>
          <w:szCs w:val="32"/>
          <w:lang w:bidi="ar"/>
        </w:rPr>
      </w:pPr>
      <w:r>
        <w:rPr>
          <w:rFonts w:ascii="Times New Roman" w:hAnsi="Times New Roman" w:eastAsia="仿宋_GB2312" w:cs="Times New Roman"/>
          <w:color w:val="auto"/>
        </w:rPr>
        <w:t>注：本表反映部门本年度取得的各项收入情况。</w:t>
      </w:r>
      <w:r>
        <w:rPr>
          <w:rFonts w:ascii="Times New Roman" w:hAnsi="Times New Roman" w:eastAsia="黑体" w:cs="Times New Roman"/>
          <w:bCs/>
          <w:color w:val="auto"/>
          <w:kern w:val="0"/>
          <w:sz w:val="32"/>
          <w:szCs w:val="32"/>
        </w:rPr>
        <w:t xml:space="preserve"> </w:t>
      </w:r>
    </w:p>
    <w:p>
      <w:pPr>
        <w:widowControl/>
        <w:spacing w:after="156" w:afterLines="50"/>
        <w:jc w:val="center"/>
        <w:textAlignment w:val="center"/>
        <w:rPr>
          <w:rFonts w:ascii="Times New Roman" w:hAnsi="Times New Roman" w:eastAsia="黑体" w:cs="Times New Roman"/>
          <w:color w:val="auto"/>
          <w:kern w:val="0"/>
          <w:sz w:val="36"/>
          <w:szCs w:val="36"/>
          <w:lang w:bidi="ar"/>
        </w:rPr>
      </w:pPr>
      <w:r>
        <w:rPr>
          <w:rFonts w:ascii="Times New Roman" w:hAnsi="Times New Roman" w:eastAsia="黑体" w:cs="Times New Roman"/>
          <w:color w:val="auto"/>
          <w:kern w:val="0"/>
          <w:sz w:val="36"/>
          <w:szCs w:val="36"/>
          <w:lang w:bidi="ar"/>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auto"/>
          <w:kern w:val="0"/>
          <w:sz w:val="20"/>
          <w:szCs w:val="20"/>
        </w:rPr>
      </w:pP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auto"/>
          <w:kern w:val="0"/>
          <w:sz w:val="20"/>
          <w:szCs w:val="20"/>
        </w:rPr>
      </w:pPr>
      <w:r>
        <w:rPr>
          <w:rFonts w:ascii="Times New Roman" w:hAnsi="Times New Roman" w:eastAsia="仿宋_GB2312" w:cs="Times New Roman"/>
          <w:color w:val="auto"/>
          <w:kern w:val="0"/>
          <w:sz w:val="20"/>
          <w:szCs w:val="20"/>
        </w:rPr>
        <w:t>部门：</w:t>
      </w:r>
      <w:r>
        <w:rPr>
          <w:rFonts w:hint="eastAsia" w:ascii="Times New Roman" w:hAnsi="Times New Roman" w:eastAsia="仿宋_GB2312" w:cs="Times New Roman"/>
          <w:color w:val="auto"/>
          <w:kern w:val="0"/>
          <w:sz w:val="20"/>
          <w:szCs w:val="20"/>
        </w:rPr>
        <w:t>怀化市库区移民事务中心</w:t>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0"/>
          <w:szCs w:val="20"/>
        </w:rPr>
        <w:t>　</w:t>
      </w:r>
      <w:r>
        <w:rPr>
          <w:rFonts w:ascii="Times New Roman" w:hAnsi="Times New Roman" w:eastAsia="仿宋_GB2312" w:cs="Times New Roman"/>
          <w:color w:val="auto"/>
          <w:kern w:val="0"/>
          <w:sz w:val="20"/>
          <w:szCs w:val="20"/>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0"/>
          <w:szCs w:val="20"/>
        </w:rPr>
        <w:t>单位：万元</w:t>
      </w:r>
    </w:p>
    <w:tbl>
      <w:tblPr>
        <w:tblStyle w:val="10"/>
        <w:tblW w:w="14173"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6"/>
        <w:gridCol w:w="436"/>
        <w:gridCol w:w="436"/>
        <w:gridCol w:w="3956"/>
        <w:gridCol w:w="1516"/>
        <w:gridCol w:w="1517"/>
        <w:gridCol w:w="1517"/>
        <w:gridCol w:w="1453"/>
        <w:gridCol w:w="1453"/>
        <w:gridCol w:w="14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科目代码</w:t>
            </w:r>
          </w:p>
        </w:tc>
        <w:tc>
          <w:tcPr>
            <w:tcW w:w="3956" w:type="dxa"/>
            <w:vMerge w:val="restart"/>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科目名称</w:t>
            </w:r>
          </w:p>
        </w:tc>
        <w:tc>
          <w:tcPr>
            <w:tcW w:w="1516"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本年支出合计</w:t>
            </w:r>
          </w:p>
        </w:tc>
        <w:tc>
          <w:tcPr>
            <w:tcW w:w="1517"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基本支出</w:t>
            </w:r>
          </w:p>
        </w:tc>
        <w:tc>
          <w:tcPr>
            <w:tcW w:w="1517"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项目支出</w:t>
            </w:r>
          </w:p>
        </w:tc>
        <w:tc>
          <w:tcPr>
            <w:tcW w:w="1453"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上缴上级支出</w:t>
            </w:r>
          </w:p>
        </w:tc>
        <w:tc>
          <w:tcPr>
            <w:tcW w:w="1453"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经营支出</w:t>
            </w:r>
          </w:p>
        </w:tc>
        <w:tc>
          <w:tcPr>
            <w:tcW w:w="1453"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3956" w:type="dxa"/>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1516"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517"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517"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45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45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45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3956" w:type="dxa"/>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1516"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517"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517"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45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45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45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308"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3956" w:type="dxa"/>
            <w:vMerge w:val="continue"/>
            <w:tcBorders>
              <w:top w:val="single" w:color="000000" w:sz="4" w:space="0"/>
              <w:left w:val="nil"/>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1516"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517"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517"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45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45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453"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vMerge w:val="restar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类</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款</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项</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栏次</w:t>
            </w:r>
          </w:p>
        </w:tc>
        <w:tc>
          <w:tcPr>
            <w:tcW w:w="151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1517"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w:t>
            </w:r>
          </w:p>
        </w:tc>
        <w:tc>
          <w:tcPr>
            <w:tcW w:w="1517"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w:t>
            </w:r>
          </w:p>
        </w:tc>
        <w:tc>
          <w:tcPr>
            <w:tcW w:w="1453"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w:t>
            </w:r>
          </w:p>
        </w:tc>
        <w:tc>
          <w:tcPr>
            <w:tcW w:w="1453"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1453"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vMerge w:val="continue"/>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533.33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421.22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112.11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37.13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112.11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112.11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112.11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112.11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2130321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大中型水库移民后期扶持专项支出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58.60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58.60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2130399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其他水利支出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53.50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53.50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bl>
    <w:p>
      <w:pPr>
        <w:widowControl/>
        <w:spacing w:before="120"/>
        <w:jc w:val="left"/>
        <w:rPr>
          <w:rFonts w:ascii="Times New Roman" w:hAnsi="Times New Roman" w:eastAsia="宋体" w:cs="Times New Roman"/>
          <w:color w:val="auto"/>
          <w:kern w:val="0"/>
          <w:sz w:val="24"/>
          <w:szCs w:val="24"/>
        </w:rPr>
      </w:pPr>
      <w:r>
        <w:rPr>
          <w:rFonts w:ascii="Times New Roman" w:hAnsi="Times New Roman" w:eastAsia="仿宋_GB2312" w:cs="Times New Roman"/>
          <w:color w:val="auto"/>
          <w:kern w:val="0"/>
          <w:sz w:val="24"/>
          <w:szCs w:val="24"/>
        </w:rPr>
        <w:t>注：本表反映部门本年度各项支出情况。</w:t>
      </w:r>
      <w:bookmarkStart w:id="0" w:name="RANGE!A1:I22"/>
      <w:bookmarkEnd w:id="0"/>
      <w:bookmarkStart w:id="1" w:name="RANGE!A1:F16"/>
      <w:r>
        <w:rPr>
          <w:rFonts w:ascii="Times New Roman" w:hAnsi="Times New Roman" w:eastAsia="宋体" w:cs="Times New Roman"/>
          <w:color w:val="auto"/>
          <w:kern w:val="0"/>
          <w:sz w:val="24"/>
          <w:szCs w:val="24"/>
        </w:rPr>
        <w:tab/>
      </w:r>
      <w:r>
        <w:rPr>
          <w:rFonts w:ascii="Times New Roman" w:hAnsi="Times New Roman" w:eastAsia="宋体" w:cs="Times New Roman"/>
          <w:color w:val="auto"/>
          <w:kern w:val="0"/>
          <w:sz w:val="24"/>
          <w:szCs w:val="24"/>
        </w:rPr>
        <w:tab/>
      </w:r>
    </w:p>
    <w:p>
      <w:pPr>
        <w:widowControl/>
        <w:spacing w:after="156" w:afterLines="50"/>
        <w:jc w:val="center"/>
        <w:textAlignment w:val="center"/>
        <w:rPr>
          <w:rFonts w:ascii="Times New Roman" w:hAnsi="Times New Roman" w:eastAsia="黑体" w:cs="Times New Roman"/>
          <w:color w:val="auto"/>
          <w:kern w:val="0"/>
          <w:sz w:val="36"/>
          <w:szCs w:val="36"/>
          <w:lang w:bidi="ar"/>
        </w:rPr>
      </w:pPr>
      <w:r>
        <w:rPr>
          <w:rFonts w:ascii="Times New Roman" w:hAnsi="Times New Roman" w:eastAsia="黑体" w:cs="Times New Roman"/>
          <w:color w:val="auto"/>
          <w:kern w:val="0"/>
          <w:sz w:val="36"/>
          <w:szCs w:val="36"/>
          <w:lang w:bidi="ar"/>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both"/>
        <w:rPr>
          <w:rFonts w:ascii="Times New Roman" w:hAnsi="Times New Roman" w:eastAsia="仿宋_GB2312" w:cs="Times New Roman"/>
          <w:color w:val="auto"/>
          <w:kern w:val="0"/>
          <w:sz w:val="20"/>
          <w:szCs w:val="20"/>
        </w:rPr>
      </w:pPr>
      <w:r>
        <w:rPr>
          <w:rFonts w:ascii="Times New Roman" w:hAnsi="Times New Roman" w:eastAsia="仿宋_GB2312" w:cs="Times New Roman"/>
          <w:color w:val="auto"/>
          <w:kern w:val="0"/>
          <w:sz w:val="20"/>
          <w:szCs w:val="20"/>
        </w:rPr>
        <w:t xml:space="preserve">                                                                                                                  公开04表</w:t>
      </w:r>
    </w:p>
    <w:p>
      <w:pPr>
        <w:pStyle w:val="8"/>
        <w:rPr>
          <w:rFonts w:hint="default"/>
          <w:color w:val="auto"/>
        </w:rPr>
      </w:pPr>
      <w:r>
        <w:rPr>
          <w:rFonts w:ascii="Times New Roman" w:hAnsi="Times New Roman" w:eastAsia="仿宋_GB2312" w:cs="Times New Roman"/>
          <w:color w:val="auto"/>
          <w:kern w:val="0"/>
          <w:sz w:val="20"/>
          <w:szCs w:val="20"/>
        </w:rPr>
        <w:t>部门：</w:t>
      </w:r>
      <w:r>
        <w:rPr>
          <w:rFonts w:hint="eastAsia" w:ascii="Times New Roman" w:hAnsi="Times New Roman" w:eastAsia="仿宋_GB2312" w:cs="Times New Roman"/>
          <w:color w:val="auto"/>
          <w:kern w:val="0"/>
          <w:sz w:val="20"/>
          <w:szCs w:val="20"/>
        </w:rPr>
        <w:t>怀化市库区移民事务中心</w:t>
      </w:r>
      <w:r>
        <w:rPr>
          <w:rFonts w:hint="default"/>
          <w:color w:val="auto"/>
        </w:rPr>
        <w:t xml:space="preserve">                                                                                             </w:t>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0"/>
          <w:szCs w:val="20"/>
        </w:rPr>
        <w:t>单位：万元</w:t>
      </w:r>
    </w:p>
    <w:tbl>
      <w:tblPr>
        <w:tblStyle w:val="10"/>
        <w:tblW w:w="14173"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49"/>
        <w:gridCol w:w="470"/>
        <w:gridCol w:w="884"/>
        <w:gridCol w:w="2683"/>
        <w:gridCol w:w="499"/>
        <w:gridCol w:w="942"/>
        <w:gridCol w:w="1615"/>
        <w:gridCol w:w="1736"/>
        <w:gridCol w:w="17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553"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收     入</w:t>
            </w:r>
          </w:p>
        </w:tc>
        <w:tc>
          <w:tcPr>
            <w:tcW w:w="8608" w:type="dxa"/>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3296"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项目</w:t>
            </w:r>
          </w:p>
        </w:tc>
        <w:tc>
          <w:tcPr>
            <w:tcW w:w="43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行次</w:t>
            </w:r>
          </w:p>
        </w:tc>
        <w:tc>
          <w:tcPr>
            <w:tcW w:w="82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金额</w:t>
            </w:r>
          </w:p>
        </w:tc>
        <w:tc>
          <w:tcPr>
            <w:tcW w:w="249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项目</w:t>
            </w:r>
          </w:p>
        </w:tc>
        <w:tc>
          <w:tcPr>
            <w:tcW w:w="463"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行次</w:t>
            </w:r>
          </w:p>
        </w:tc>
        <w:tc>
          <w:tcPr>
            <w:tcW w:w="875" w:type="dxa"/>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合计</w:t>
            </w:r>
          </w:p>
        </w:tc>
        <w:tc>
          <w:tcPr>
            <w:tcW w:w="150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一般公共预算财政拨款</w:t>
            </w:r>
          </w:p>
        </w:tc>
        <w:tc>
          <w:tcPr>
            <w:tcW w:w="1612"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政府性基金预算财政拨款</w:t>
            </w:r>
          </w:p>
        </w:tc>
        <w:tc>
          <w:tcPr>
            <w:tcW w:w="166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3296"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43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82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249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463"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875" w:type="dxa"/>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150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612"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166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栏次</w:t>
            </w:r>
          </w:p>
        </w:tc>
        <w:tc>
          <w:tcPr>
            <w:tcW w:w="436" w:type="dxa"/>
            <w:tcBorders>
              <w:top w:val="nil"/>
              <w:left w:val="nil"/>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82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栏次</w:t>
            </w:r>
          </w:p>
        </w:tc>
        <w:tc>
          <w:tcPr>
            <w:tcW w:w="463" w:type="dxa"/>
            <w:tcBorders>
              <w:top w:val="nil"/>
              <w:left w:val="nil"/>
              <w:bottom w:val="single" w:color="000000" w:sz="4" w:space="0"/>
              <w:right w:val="single" w:color="000000" w:sz="4" w:space="0"/>
            </w:tcBorders>
            <w:shd w:val="clear" w:color="FFFFFF" w:fill="C0C0C0"/>
            <w:noWrap/>
            <w:vAlign w:val="center"/>
          </w:tcPr>
          <w:p>
            <w:pPr>
              <w:jc w:val="center"/>
              <w:rPr>
                <w:rFonts w:hint="eastAsia" w:ascii="仿宋_GB2312" w:hAnsi="仿宋_GB2312" w:eastAsia="仿宋_GB2312" w:cs="仿宋_GB2312"/>
                <w:i w:val="0"/>
                <w:color w:val="auto"/>
                <w:sz w:val="21"/>
                <w:szCs w:val="21"/>
                <w:u w:val="none"/>
              </w:rPr>
            </w:pPr>
          </w:p>
        </w:tc>
        <w:tc>
          <w:tcPr>
            <w:tcW w:w="875"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w:t>
            </w:r>
          </w:p>
        </w:tc>
        <w:tc>
          <w:tcPr>
            <w:tcW w:w="150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w:t>
            </w:r>
          </w:p>
        </w:tc>
        <w:tc>
          <w:tcPr>
            <w:tcW w:w="1612"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w:t>
            </w:r>
          </w:p>
        </w:tc>
        <w:tc>
          <w:tcPr>
            <w:tcW w:w="166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一、一般公共预算财政拨款</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w:t>
            </w:r>
          </w:p>
        </w:tc>
        <w:tc>
          <w:tcPr>
            <w:tcW w:w="8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473.27</w:t>
            </w: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一、一般公共服务支出</w:t>
            </w: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20</w:t>
            </w:r>
          </w:p>
        </w:tc>
        <w:tc>
          <w:tcPr>
            <w:tcW w:w="8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316.61</w:t>
            </w:r>
          </w:p>
        </w:tc>
        <w:tc>
          <w:tcPr>
            <w:tcW w:w="15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316.61</w:t>
            </w:r>
          </w:p>
        </w:tc>
        <w:tc>
          <w:tcPr>
            <w:tcW w:w="16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二、政府性基金预算财政拨款</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w:t>
            </w:r>
          </w:p>
        </w:tc>
        <w:tc>
          <w:tcPr>
            <w:tcW w:w="8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二、外交支出</w:t>
            </w: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21</w:t>
            </w:r>
          </w:p>
        </w:tc>
        <w:tc>
          <w:tcPr>
            <w:tcW w:w="8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三、国有资本经营预算财政拨款</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w:t>
            </w:r>
          </w:p>
        </w:tc>
        <w:tc>
          <w:tcPr>
            <w:tcW w:w="8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三、国防支出</w:t>
            </w: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22</w:t>
            </w:r>
          </w:p>
        </w:tc>
        <w:tc>
          <w:tcPr>
            <w:tcW w:w="8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w:t>
            </w:r>
          </w:p>
        </w:tc>
        <w:tc>
          <w:tcPr>
            <w:tcW w:w="821"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四、公共安全支出</w:t>
            </w: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23</w:t>
            </w:r>
          </w:p>
        </w:tc>
        <w:tc>
          <w:tcPr>
            <w:tcW w:w="8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w:t>
            </w:r>
          </w:p>
        </w:tc>
        <w:tc>
          <w:tcPr>
            <w:tcW w:w="821"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五、教育支出</w:t>
            </w: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24</w:t>
            </w:r>
          </w:p>
        </w:tc>
        <w:tc>
          <w:tcPr>
            <w:tcW w:w="8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6</w:t>
            </w:r>
          </w:p>
        </w:tc>
        <w:tc>
          <w:tcPr>
            <w:tcW w:w="821"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六、科学技术支出</w:t>
            </w: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25</w:t>
            </w:r>
          </w:p>
        </w:tc>
        <w:tc>
          <w:tcPr>
            <w:tcW w:w="8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7</w:t>
            </w:r>
          </w:p>
        </w:tc>
        <w:tc>
          <w:tcPr>
            <w:tcW w:w="821"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七、文化旅游体育与传媒支出</w:t>
            </w: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26</w:t>
            </w:r>
          </w:p>
        </w:tc>
        <w:tc>
          <w:tcPr>
            <w:tcW w:w="8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8</w:t>
            </w:r>
          </w:p>
        </w:tc>
        <w:tc>
          <w:tcPr>
            <w:tcW w:w="821"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八、社会保障和就业支出</w:t>
            </w: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27</w:t>
            </w:r>
          </w:p>
        </w:tc>
        <w:tc>
          <w:tcPr>
            <w:tcW w:w="8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31.51</w:t>
            </w:r>
          </w:p>
        </w:tc>
        <w:tc>
          <w:tcPr>
            <w:tcW w:w="15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31.51</w:t>
            </w:r>
          </w:p>
        </w:tc>
        <w:tc>
          <w:tcPr>
            <w:tcW w:w="16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9</w:t>
            </w:r>
          </w:p>
        </w:tc>
        <w:tc>
          <w:tcPr>
            <w:tcW w:w="821"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九、卫生健康支出</w:t>
            </w: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28</w:t>
            </w:r>
          </w:p>
        </w:tc>
        <w:tc>
          <w:tcPr>
            <w:tcW w:w="8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15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16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10</w:t>
            </w:r>
          </w:p>
        </w:tc>
        <w:tc>
          <w:tcPr>
            <w:tcW w:w="821"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十、节能环保支出</w:t>
            </w: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29</w:t>
            </w:r>
          </w:p>
        </w:tc>
        <w:tc>
          <w:tcPr>
            <w:tcW w:w="8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w:t>
            </w:r>
          </w:p>
        </w:tc>
        <w:tc>
          <w:tcPr>
            <w:tcW w:w="821"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十一、城乡社区支出</w:t>
            </w: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30</w:t>
            </w:r>
          </w:p>
        </w:tc>
        <w:tc>
          <w:tcPr>
            <w:tcW w:w="8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12</w:t>
            </w:r>
          </w:p>
        </w:tc>
        <w:tc>
          <w:tcPr>
            <w:tcW w:w="821"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十二、农林水支出</w:t>
            </w: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31</w:t>
            </w:r>
          </w:p>
        </w:tc>
        <w:tc>
          <w:tcPr>
            <w:tcW w:w="8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112.11</w:t>
            </w:r>
          </w:p>
        </w:tc>
        <w:tc>
          <w:tcPr>
            <w:tcW w:w="15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112.11</w:t>
            </w:r>
          </w:p>
        </w:tc>
        <w:tc>
          <w:tcPr>
            <w:tcW w:w="16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w:t>
            </w:r>
          </w:p>
        </w:tc>
        <w:tc>
          <w:tcPr>
            <w:tcW w:w="821"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color w:val="auto"/>
                <w:kern w:val="0"/>
                <w:sz w:val="21"/>
                <w:szCs w:val="21"/>
                <w:lang w:bidi="ar"/>
              </w:rPr>
              <w:t>……</w:t>
            </w: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32</w:t>
            </w:r>
          </w:p>
        </w:tc>
        <w:tc>
          <w:tcPr>
            <w:tcW w:w="8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本年收入合计</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14</w:t>
            </w:r>
          </w:p>
        </w:tc>
        <w:tc>
          <w:tcPr>
            <w:tcW w:w="8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473.27</w:t>
            </w: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本年支出合计</w:t>
            </w: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33</w:t>
            </w:r>
          </w:p>
        </w:tc>
        <w:tc>
          <w:tcPr>
            <w:tcW w:w="8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473.27</w:t>
            </w:r>
          </w:p>
        </w:tc>
        <w:tc>
          <w:tcPr>
            <w:tcW w:w="15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473.27</w:t>
            </w:r>
          </w:p>
        </w:tc>
        <w:tc>
          <w:tcPr>
            <w:tcW w:w="16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年初结转和结余</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15</w:t>
            </w:r>
          </w:p>
        </w:tc>
        <w:tc>
          <w:tcPr>
            <w:tcW w:w="8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年末结转和结余</w:t>
            </w: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34</w:t>
            </w:r>
          </w:p>
        </w:tc>
        <w:tc>
          <w:tcPr>
            <w:tcW w:w="8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5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一般公共预算财政拨款</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16</w:t>
            </w:r>
          </w:p>
        </w:tc>
        <w:tc>
          <w:tcPr>
            <w:tcW w:w="8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2491" w:type="dxa"/>
            <w:tcBorders>
              <w:top w:val="nil"/>
              <w:left w:val="nil"/>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35</w:t>
            </w:r>
          </w:p>
        </w:tc>
        <w:tc>
          <w:tcPr>
            <w:tcW w:w="875"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1500"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1612"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1667"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政府性基金预算财政拨款</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17</w:t>
            </w:r>
          </w:p>
        </w:tc>
        <w:tc>
          <w:tcPr>
            <w:tcW w:w="8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2491" w:type="dxa"/>
            <w:tcBorders>
              <w:top w:val="nil"/>
              <w:left w:val="nil"/>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36</w:t>
            </w:r>
          </w:p>
        </w:tc>
        <w:tc>
          <w:tcPr>
            <w:tcW w:w="875"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1500"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1612"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1667"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国有资本经营预算财政拨款</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18</w:t>
            </w:r>
          </w:p>
        </w:tc>
        <w:tc>
          <w:tcPr>
            <w:tcW w:w="8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2491" w:type="dxa"/>
            <w:tcBorders>
              <w:top w:val="nil"/>
              <w:left w:val="nil"/>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37</w:t>
            </w:r>
          </w:p>
        </w:tc>
        <w:tc>
          <w:tcPr>
            <w:tcW w:w="875"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1500"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1612"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1667" w:type="dxa"/>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329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总计</w:t>
            </w:r>
          </w:p>
        </w:tc>
        <w:tc>
          <w:tcPr>
            <w:tcW w:w="43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19</w:t>
            </w:r>
          </w:p>
        </w:tc>
        <w:tc>
          <w:tcPr>
            <w:tcW w:w="8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473.27</w:t>
            </w:r>
          </w:p>
        </w:tc>
        <w:tc>
          <w:tcPr>
            <w:tcW w:w="249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总计</w:t>
            </w:r>
          </w:p>
        </w:tc>
        <w:tc>
          <w:tcPr>
            <w:tcW w:w="4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eastAsia="zh-CN" w:bidi="ar"/>
              </w:rPr>
              <w:t>38</w:t>
            </w:r>
          </w:p>
        </w:tc>
        <w:tc>
          <w:tcPr>
            <w:tcW w:w="8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473.27</w:t>
            </w:r>
          </w:p>
        </w:tc>
        <w:tc>
          <w:tcPr>
            <w:tcW w:w="150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473.27</w:t>
            </w:r>
          </w:p>
        </w:tc>
        <w:tc>
          <w:tcPr>
            <w:tcW w:w="16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166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bl>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auto"/>
          <w:kern w:val="0"/>
          <w:sz w:val="20"/>
          <w:szCs w:val="20"/>
        </w:rPr>
      </w:pPr>
      <w:r>
        <w:rPr>
          <w:rFonts w:ascii="Times New Roman" w:hAnsi="Times New Roman" w:eastAsia="仿宋_GB2312" w:cs="Times New Roman"/>
          <w:color w:val="auto"/>
          <w:kern w:val="0"/>
          <w:sz w:val="20"/>
          <w:szCs w:val="20"/>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r>
        <w:rPr>
          <w:rFonts w:ascii="Times New Roman" w:hAnsi="Times New Roman" w:eastAsia="仿宋_GB2312" w:cs="Times New Roman"/>
          <w:color w:val="auto"/>
          <w:kern w:val="0"/>
          <w:sz w:val="24"/>
          <w:szCs w:val="24"/>
        </w:rPr>
        <w:t>　</w:t>
      </w:r>
      <w:r>
        <w:rPr>
          <w:rFonts w:ascii="Times New Roman" w:hAnsi="Times New Roman" w:eastAsia="仿宋_GB2312" w:cs="Times New Roman"/>
          <w:color w:val="auto"/>
          <w:kern w:val="0"/>
          <w:sz w:val="24"/>
          <w:szCs w:val="24"/>
        </w:rPr>
        <w:tab/>
      </w:r>
    </w:p>
    <w:p>
      <w:pPr>
        <w:widowControl/>
        <w:jc w:val="left"/>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rPr>
        <w:t>注：</w:t>
      </w:r>
      <w:r>
        <w:rPr>
          <w:rFonts w:ascii="Times New Roman" w:hAnsi="Times New Roman" w:eastAsia="仿宋_GB2312" w:cs="Times New Roman"/>
          <w:color w:val="auto"/>
          <w:spacing w:val="-6"/>
          <w:kern w:val="0"/>
          <w:sz w:val="24"/>
          <w:szCs w:val="24"/>
        </w:rPr>
        <w:t>本表反映部门本年度一般公共预算财政拨款、政府性基金预算财政拨款和国有资本经营预算财政拨款的总收支和年末结转结余情况。</w:t>
      </w:r>
    </w:p>
    <w:p>
      <w:pPr>
        <w:widowControl/>
        <w:jc w:val="center"/>
        <w:rPr>
          <w:rFonts w:ascii="Times New Roman" w:hAnsi="Times New Roman" w:eastAsia="方正小标宋_GBK" w:cs="Times New Roman"/>
          <w:color w:val="auto"/>
          <w:kern w:val="0"/>
          <w:sz w:val="36"/>
          <w:szCs w:val="36"/>
        </w:rPr>
      </w:pPr>
    </w:p>
    <w:p>
      <w:pPr>
        <w:widowControl/>
        <w:spacing w:after="156" w:afterLines="50"/>
        <w:jc w:val="center"/>
        <w:textAlignment w:val="center"/>
        <w:rPr>
          <w:rFonts w:ascii="Times New Roman" w:hAnsi="Times New Roman" w:eastAsia="黑体" w:cs="Times New Roman"/>
          <w:color w:val="auto"/>
          <w:kern w:val="0"/>
          <w:sz w:val="36"/>
          <w:szCs w:val="36"/>
          <w:lang w:bidi="ar"/>
        </w:rPr>
      </w:pPr>
      <w:r>
        <w:rPr>
          <w:rFonts w:ascii="Times New Roman" w:hAnsi="Times New Roman" w:eastAsia="黑体" w:cs="Times New Roman"/>
          <w:color w:val="auto"/>
          <w:kern w:val="0"/>
          <w:sz w:val="36"/>
          <w:szCs w:val="36"/>
          <w:lang w:bidi="ar"/>
        </w:rPr>
        <w:t>一般公共预算财政拨款支出决算表</w:t>
      </w:r>
      <w:bookmarkEnd w:id="1"/>
    </w:p>
    <w:p>
      <w:pPr>
        <w:widowControl/>
        <w:tabs>
          <w:tab w:val="left" w:pos="3595"/>
          <w:tab w:val="left" w:pos="4031"/>
          <w:tab w:val="left" w:pos="5109"/>
          <w:tab w:val="left" w:pos="9152"/>
          <w:tab w:val="left" w:pos="9587"/>
          <w:tab w:val="left" w:pos="11160"/>
          <w:tab w:val="left" w:pos="12554"/>
          <w:tab w:val="left" w:pos="13948"/>
        </w:tabs>
        <w:jc w:val="both"/>
        <w:rPr>
          <w:rFonts w:ascii="Times New Roman" w:hAnsi="Times New Roman" w:eastAsia="仿宋_GB2312" w:cs="Times New Roman"/>
          <w:color w:val="auto"/>
          <w:kern w:val="0"/>
          <w:sz w:val="20"/>
          <w:szCs w:val="20"/>
        </w:rPr>
      </w:pPr>
      <w:r>
        <w:rPr>
          <w:rFonts w:ascii="Times New Roman" w:hAnsi="Times New Roman" w:eastAsia="仿宋_GB2312" w:cs="Times New Roman"/>
          <w:color w:val="auto"/>
          <w:kern w:val="0"/>
          <w:szCs w:val="21"/>
        </w:rPr>
        <w:t xml:space="preserve">                                                </w:t>
      </w:r>
      <w:r>
        <w:rPr>
          <w:rFonts w:hint="default" w:ascii="Times New Roman" w:hAnsi="Times New Roman" w:eastAsia="仿宋_GB2312" w:cs="Times New Roman"/>
          <w:color w:val="auto"/>
          <w:kern w:val="0"/>
          <w:szCs w:val="21"/>
        </w:rPr>
        <w:t xml:space="preserve">                                                              </w:t>
      </w:r>
      <w:r>
        <w:rPr>
          <w:rFonts w:ascii="Times New Roman" w:hAnsi="Times New Roman" w:eastAsia="仿宋_GB2312" w:cs="Times New Roman"/>
          <w:color w:val="auto"/>
          <w:kern w:val="0"/>
          <w:sz w:val="20"/>
          <w:szCs w:val="20"/>
        </w:rPr>
        <w:t>公开05表</w:t>
      </w:r>
    </w:p>
    <w:p>
      <w:pPr>
        <w:widowControl/>
        <w:tabs>
          <w:tab w:val="left" w:pos="3595"/>
          <w:tab w:val="left" w:pos="4031"/>
          <w:tab w:val="left" w:pos="5109"/>
          <w:tab w:val="left" w:pos="9152"/>
          <w:tab w:val="left" w:pos="9587"/>
          <w:tab w:val="left" w:pos="11160"/>
          <w:tab w:val="left" w:pos="12554"/>
          <w:tab w:val="left" w:pos="13948"/>
        </w:tabs>
        <w:jc w:val="both"/>
        <w:rPr>
          <w:rFonts w:ascii="Times New Roman" w:hAnsi="Times New Roman" w:eastAsia="仿宋_GB2312" w:cs="Times New Roman"/>
          <w:color w:val="auto"/>
          <w:kern w:val="0"/>
          <w:sz w:val="20"/>
          <w:szCs w:val="20"/>
        </w:rPr>
      </w:pPr>
      <w:r>
        <w:rPr>
          <w:rFonts w:ascii="Times New Roman" w:hAnsi="Times New Roman" w:eastAsia="仿宋_GB2312" w:cs="Times New Roman"/>
          <w:color w:val="auto"/>
          <w:kern w:val="0"/>
          <w:sz w:val="20"/>
          <w:szCs w:val="20"/>
        </w:rPr>
        <w:t>部门：</w:t>
      </w:r>
      <w:r>
        <w:rPr>
          <w:rFonts w:hint="eastAsia" w:ascii="Times New Roman" w:hAnsi="Times New Roman" w:eastAsia="仿宋_GB2312" w:cs="Times New Roman"/>
          <w:color w:val="auto"/>
          <w:kern w:val="0"/>
          <w:sz w:val="20"/>
          <w:szCs w:val="20"/>
        </w:rPr>
        <w:t>怀化市库区移民事务中心</w:t>
      </w:r>
      <w:r>
        <w:rPr>
          <w:rFonts w:ascii="Times New Roman" w:hAnsi="Times New Roman" w:eastAsia="仿宋_GB2312" w:cs="Times New Roman"/>
          <w:color w:val="auto"/>
          <w:kern w:val="0"/>
          <w:sz w:val="20"/>
          <w:szCs w:val="20"/>
        </w:rPr>
        <w:t xml:space="preserve">        </w:t>
      </w:r>
      <w:r>
        <w:rPr>
          <w:rFonts w:hint="default" w:ascii="Times New Roman" w:hAnsi="Times New Roman" w:eastAsia="仿宋_GB2312" w:cs="Times New Roman"/>
          <w:color w:val="auto"/>
          <w:kern w:val="0"/>
          <w:sz w:val="20"/>
          <w:szCs w:val="20"/>
        </w:rPr>
        <w:t xml:space="preserve">                                                                       </w:t>
      </w:r>
      <w:r>
        <w:rPr>
          <w:rFonts w:ascii="Times New Roman" w:hAnsi="Times New Roman" w:eastAsia="仿宋_GB2312" w:cs="Times New Roman"/>
          <w:color w:val="auto"/>
          <w:kern w:val="0"/>
          <w:sz w:val="20"/>
          <w:szCs w:val="20"/>
        </w:rPr>
        <w:t xml:space="preserve"> </w:t>
      </w:r>
      <w:r>
        <w:rPr>
          <w:rFonts w:hint="default" w:ascii="Times New Roman" w:hAnsi="Times New Roman" w:eastAsia="仿宋_GB2312" w:cs="Times New Roman"/>
          <w:color w:val="auto"/>
          <w:kern w:val="0"/>
          <w:sz w:val="20"/>
          <w:szCs w:val="20"/>
        </w:rPr>
        <w:t xml:space="preserve">       </w:t>
      </w:r>
      <w:r>
        <w:rPr>
          <w:rFonts w:ascii="Times New Roman" w:hAnsi="Times New Roman" w:eastAsia="仿宋_GB2312" w:cs="Times New Roman"/>
          <w:color w:val="auto"/>
          <w:kern w:val="0"/>
          <w:sz w:val="20"/>
          <w:szCs w:val="20"/>
        </w:rPr>
        <w:t xml:space="preserve">单位：万元 </w:t>
      </w:r>
    </w:p>
    <w:tbl>
      <w:tblPr>
        <w:tblStyle w:val="10"/>
        <w:tblW w:w="14173"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5"/>
        <w:gridCol w:w="485"/>
        <w:gridCol w:w="485"/>
        <w:gridCol w:w="4404"/>
        <w:gridCol w:w="2664"/>
        <w:gridCol w:w="2796"/>
        <w:gridCol w:w="28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科目代码</w:t>
            </w:r>
          </w:p>
        </w:tc>
        <w:tc>
          <w:tcPr>
            <w:tcW w:w="3956"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科目名称</w:t>
            </w:r>
          </w:p>
        </w:tc>
        <w:tc>
          <w:tcPr>
            <w:tcW w:w="7468"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3956"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2393"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合计</w:t>
            </w:r>
          </w:p>
        </w:tc>
        <w:tc>
          <w:tcPr>
            <w:tcW w:w="2512"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基本支出</w:t>
            </w:r>
          </w:p>
        </w:tc>
        <w:tc>
          <w:tcPr>
            <w:tcW w:w="2563"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3956"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2393"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2512"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2563"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3956"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2393"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2512"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2563"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436"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类</w:t>
            </w:r>
          </w:p>
        </w:tc>
        <w:tc>
          <w:tcPr>
            <w:tcW w:w="43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款</w:t>
            </w:r>
          </w:p>
        </w:tc>
        <w:tc>
          <w:tcPr>
            <w:tcW w:w="43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项</w:t>
            </w:r>
          </w:p>
        </w:tc>
        <w:tc>
          <w:tcPr>
            <w:tcW w:w="395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栏次</w:t>
            </w:r>
          </w:p>
        </w:tc>
        <w:tc>
          <w:tcPr>
            <w:tcW w:w="239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7</w:t>
            </w:r>
          </w:p>
        </w:tc>
        <w:tc>
          <w:tcPr>
            <w:tcW w:w="2512"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8</w:t>
            </w:r>
          </w:p>
        </w:tc>
        <w:tc>
          <w:tcPr>
            <w:tcW w:w="2563"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436"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43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43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395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合计</w:t>
            </w:r>
          </w:p>
        </w:tc>
        <w:tc>
          <w:tcPr>
            <w:tcW w:w="23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473.27</w:t>
            </w:r>
          </w:p>
        </w:tc>
        <w:tc>
          <w:tcPr>
            <w:tcW w:w="25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361.17</w:t>
            </w:r>
          </w:p>
        </w:tc>
        <w:tc>
          <w:tcPr>
            <w:tcW w:w="25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b/>
                <w:i w:val="0"/>
                <w:color w:val="auto"/>
                <w:sz w:val="21"/>
                <w:szCs w:val="21"/>
                <w:u w:val="none"/>
              </w:rPr>
            </w:pPr>
            <w:r>
              <w:rPr>
                <w:rFonts w:hint="eastAsia" w:ascii="仿宋_GB2312" w:hAnsi="仿宋_GB2312" w:eastAsia="仿宋_GB2312" w:cs="仿宋_GB2312"/>
                <w:b/>
                <w:i w:val="0"/>
                <w:color w:val="auto"/>
                <w:kern w:val="0"/>
                <w:sz w:val="21"/>
                <w:szCs w:val="21"/>
                <w:u w:val="none"/>
                <w:lang w:val="en-US" w:eastAsia="zh-CN" w:bidi="ar"/>
              </w:rPr>
              <w:t>112.11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w:t>
            </w:r>
          </w:p>
        </w:tc>
        <w:tc>
          <w:tcPr>
            <w:tcW w:w="395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一般公共服务支出</w:t>
            </w:r>
          </w:p>
        </w:tc>
        <w:tc>
          <w:tcPr>
            <w:tcW w:w="23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316.61</w:t>
            </w:r>
          </w:p>
        </w:tc>
        <w:tc>
          <w:tcPr>
            <w:tcW w:w="25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316.61</w:t>
            </w:r>
          </w:p>
        </w:tc>
        <w:tc>
          <w:tcPr>
            <w:tcW w:w="25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20103</w:t>
            </w:r>
          </w:p>
        </w:tc>
        <w:tc>
          <w:tcPr>
            <w:tcW w:w="395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政府办公厅（室）及相关机构事务</w:t>
            </w:r>
          </w:p>
        </w:tc>
        <w:tc>
          <w:tcPr>
            <w:tcW w:w="23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316.61</w:t>
            </w:r>
          </w:p>
        </w:tc>
        <w:tc>
          <w:tcPr>
            <w:tcW w:w="25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316.61</w:t>
            </w:r>
          </w:p>
        </w:tc>
        <w:tc>
          <w:tcPr>
            <w:tcW w:w="25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2010301</w:t>
            </w:r>
          </w:p>
        </w:tc>
        <w:tc>
          <w:tcPr>
            <w:tcW w:w="395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行政运行</w:t>
            </w:r>
          </w:p>
        </w:tc>
        <w:tc>
          <w:tcPr>
            <w:tcW w:w="23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316.61</w:t>
            </w:r>
          </w:p>
        </w:tc>
        <w:tc>
          <w:tcPr>
            <w:tcW w:w="25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316.61</w:t>
            </w:r>
          </w:p>
        </w:tc>
        <w:tc>
          <w:tcPr>
            <w:tcW w:w="25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208</w:t>
            </w:r>
          </w:p>
        </w:tc>
        <w:tc>
          <w:tcPr>
            <w:tcW w:w="395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社会保障和就业支出</w:t>
            </w:r>
          </w:p>
        </w:tc>
        <w:tc>
          <w:tcPr>
            <w:tcW w:w="23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31.51</w:t>
            </w:r>
          </w:p>
        </w:tc>
        <w:tc>
          <w:tcPr>
            <w:tcW w:w="25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31.51</w:t>
            </w:r>
          </w:p>
        </w:tc>
        <w:tc>
          <w:tcPr>
            <w:tcW w:w="25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20805</w:t>
            </w:r>
          </w:p>
        </w:tc>
        <w:tc>
          <w:tcPr>
            <w:tcW w:w="395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行政事业单位养老支出</w:t>
            </w:r>
          </w:p>
        </w:tc>
        <w:tc>
          <w:tcPr>
            <w:tcW w:w="23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31.51</w:t>
            </w:r>
          </w:p>
        </w:tc>
        <w:tc>
          <w:tcPr>
            <w:tcW w:w="25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31.51</w:t>
            </w:r>
          </w:p>
        </w:tc>
        <w:tc>
          <w:tcPr>
            <w:tcW w:w="25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2080505</w:t>
            </w:r>
          </w:p>
        </w:tc>
        <w:tc>
          <w:tcPr>
            <w:tcW w:w="395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机关事业单位基本养老保险缴费支出</w:t>
            </w:r>
          </w:p>
        </w:tc>
        <w:tc>
          <w:tcPr>
            <w:tcW w:w="23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31.51</w:t>
            </w:r>
          </w:p>
        </w:tc>
        <w:tc>
          <w:tcPr>
            <w:tcW w:w="25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31.51</w:t>
            </w:r>
          </w:p>
        </w:tc>
        <w:tc>
          <w:tcPr>
            <w:tcW w:w="25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210</w:t>
            </w:r>
          </w:p>
        </w:tc>
        <w:tc>
          <w:tcPr>
            <w:tcW w:w="395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卫生健康支出</w:t>
            </w:r>
          </w:p>
        </w:tc>
        <w:tc>
          <w:tcPr>
            <w:tcW w:w="23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25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25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21011</w:t>
            </w:r>
          </w:p>
        </w:tc>
        <w:tc>
          <w:tcPr>
            <w:tcW w:w="395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行政事业单位医疗</w:t>
            </w:r>
          </w:p>
        </w:tc>
        <w:tc>
          <w:tcPr>
            <w:tcW w:w="23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25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25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2101101</w:t>
            </w:r>
          </w:p>
        </w:tc>
        <w:tc>
          <w:tcPr>
            <w:tcW w:w="395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行政单位医疗</w:t>
            </w:r>
          </w:p>
        </w:tc>
        <w:tc>
          <w:tcPr>
            <w:tcW w:w="23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25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25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213</w:t>
            </w:r>
          </w:p>
        </w:tc>
        <w:tc>
          <w:tcPr>
            <w:tcW w:w="395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农林水支出</w:t>
            </w:r>
          </w:p>
        </w:tc>
        <w:tc>
          <w:tcPr>
            <w:tcW w:w="23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112.11</w:t>
            </w:r>
          </w:p>
        </w:tc>
        <w:tc>
          <w:tcPr>
            <w:tcW w:w="25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25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21303</w:t>
            </w:r>
          </w:p>
        </w:tc>
        <w:tc>
          <w:tcPr>
            <w:tcW w:w="395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水利</w:t>
            </w:r>
          </w:p>
        </w:tc>
        <w:tc>
          <w:tcPr>
            <w:tcW w:w="23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112.11</w:t>
            </w:r>
          </w:p>
        </w:tc>
        <w:tc>
          <w:tcPr>
            <w:tcW w:w="25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25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2130321</w:t>
            </w:r>
          </w:p>
        </w:tc>
        <w:tc>
          <w:tcPr>
            <w:tcW w:w="395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大中型水库移民后期扶持专项支出</w:t>
            </w:r>
          </w:p>
        </w:tc>
        <w:tc>
          <w:tcPr>
            <w:tcW w:w="23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58.60</w:t>
            </w:r>
          </w:p>
        </w:tc>
        <w:tc>
          <w:tcPr>
            <w:tcW w:w="25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25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58.60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2130399</w:t>
            </w:r>
          </w:p>
        </w:tc>
        <w:tc>
          <w:tcPr>
            <w:tcW w:w="395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其他水利支出</w:t>
            </w:r>
          </w:p>
        </w:tc>
        <w:tc>
          <w:tcPr>
            <w:tcW w:w="23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53.50</w:t>
            </w:r>
          </w:p>
        </w:tc>
        <w:tc>
          <w:tcPr>
            <w:tcW w:w="2512"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256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53.50</w:t>
            </w:r>
          </w:p>
        </w:tc>
      </w:tr>
    </w:tbl>
    <w:p>
      <w:pPr>
        <w:widowControl/>
        <w:jc w:val="left"/>
        <w:rPr>
          <w:rFonts w:ascii="Times New Roman" w:hAnsi="Times New Roman" w:eastAsia="仿宋_GB2312" w:cs="Times New Roman"/>
          <w:bCs/>
          <w:color w:val="auto"/>
          <w:kern w:val="0"/>
          <w:szCs w:val="21"/>
        </w:rPr>
      </w:pPr>
      <w:r>
        <w:rPr>
          <w:rFonts w:ascii="Times New Roman" w:hAnsi="Times New Roman" w:eastAsia="仿宋_GB2312" w:cs="Times New Roman"/>
          <w:color w:val="auto"/>
          <w:kern w:val="0"/>
          <w:szCs w:val="21"/>
        </w:rPr>
        <w:t>注：本表反映部门本年度一般公共预算财政拨款支出情况。</w:t>
      </w:r>
    </w:p>
    <w:p>
      <w:pPr>
        <w:widowControl/>
        <w:jc w:val="left"/>
        <w:rPr>
          <w:rFonts w:ascii="Times New Roman" w:hAnsi="Times New Roman" w:eastAsia="仿宋_GB2312" w:cs="Times New Roman"/>
          <w:bCs/>
          <w:color w:val="auto"/>
          <w:kern w:val="0"/>
          <w:szCs w:val="21"/>
        </w:rPr>
      </w:pPr>
      <w:r>
        <w:rPr>
          <w:rFonts w:ascii="Times New Roman" w:hAnsi="Times New Roman" w:eastAsia="仿宋_GB2312" w:cs="Times New Roman"/>
          <w:bCs/>
          <w:color w:val="auto"/>
          <w:kern w:val="0"/>
          <w:szCs w:val="21"/>
        </w:rPr>
        <w:br w:type="page"/>
      </w:r>
    </w:p>
    <w:p>
      <w:pPr>
        <w:widowControl/>
        <w:spacing w:after="120"/>
        <w:jc w:val="center"/>
        <w:textAlignment w:val="center"/>
        <w:rPr>
          <w:rFonts w:ascii="Times New Roman" w:hAnsi="Times New Roman" w:eastAsia="黑体" w:cs="Times New Roman"/>
          <w:color w:val="auto"/>
          <w:kern w:val="0"/>
          <w:sz w:val="36"/>
          <w:szCs w:val="36"/>
          <w:lang w:bidi="ar"/>
        </w:rPr>
      </w:pPr>
      <w:bookmarkStart w:id="2" w:name="RANGE!A1:I34"/>
      <w:r>
        <w:rPr>
          <w:rFonts w:ascii="Times New Roman" w:hAnsi="Times New Roman" w:eastAsia="黑体" w:cs="Times New Roman"/>
          <w:color w:val="auto"/>
          <w:kern w:val="0"/>
          <w:sz w:val="36"/>
          <w:szCs w:val="36"/>
          <w:lang w:bidi="ar"/>
        </w:rPr>
        <w:t>一般公共预算财政拨款基本支出决算明细表</w:t>
      </w:r>
      <w:bookmarkEnd w:id="2"/>
    </w:p>
    <w:p>
      <w:pPr>
        <w:widowControl/>
        <w:wordWrap w:val="0"/>
        <w:spacing w:line="240" w:lineRule="exact"/>
        <w:jc w:val="both"/>
        <w:rPr>
          <w:rFonts w:ascii="Times New Roman" w:hAnsi="Times New Roman" w:eastAsia="仿宋_GB2312" w:cs="Times New Roman"/>
          <w:color w:val="auto"/>
          <w:kern w:val="0"/>
          <w:szCs w:val="21"/>
        </w:rPr>
      </w:pPr>
      <w:r>
        <w:rPr>
          <w:rFonts w:ascii="Times New Roman" w:hAnsi="Times New Roman" w:eastAsia="仿宋_GB2312" w:cs="Times New Roman"/>
          <w:color w:val="auto"/>
          <w:kern w:val="0"/>
          <w:szCs w:val="21"/>
        </w:rPr>
        <w:t>部门：</w:t>
      </w:r>
      <w:r>
        <w:rPr>
          <w:rFonts w:hint="eastAsia" w:ascii="Times New Roman" w:hAnsi="Times New Roman" w:eastAsia="仿宋_GB2312" w:cs="Times New Roman"/>
          <w:color w:val="auto"/>
          <w:kern w:val="0"/>
          <w:szCs w:val="21"/>
        </w:rPr>
        <w:t>怀化市库区移民事务中心</w:t>
      </w:r>
      <w:r>
        <w:rPr>
          <w:rFonts w:ascii="Times New Roman" w:hAnsi="Times New Roman" w:eastAsia="仿宋_GB2312" w:cs="Times New Roman"/>
          <w:color w:val="auto"/>
          <w:kern w:val="0"/>
          <w:szCs w:val="21"/>
        </w:rPr>
        <w:t xml:space="preserve">                                                                                        </w:t>
      </w:r>
      <w:r>
        <w:rPr>
          <w:rFonts w:hint="default" w:ascii="Times New Roman" w:hAnsi="Times New Roman" w:eastAsia="仿宋_GB2312" w:cs="Times New Roman"/>
          <w:color w:val="auto"/>
          <w:kern w:val="0"/>
          <w:szCs w:val="21"/>
        </w:rPr>
        <w:t xml:space="preserve">      </w:t>
      </w:r>
      <w:r>
        <w:rPr>
          <w:rFonts w:ascii="Times New Roman" w:hAnsi="Times New Roman" w:eastAsia="仿宋_GB2312" w:cs="Times New Roman"/>
          <w:color w:val="auto"/>
          <w:kern w:val="0"/>
          <w:szCs w:val="21"/>
        </w:rPr>
        <w:t xml:space="preserve">  公开06表</w:t>
      </w:r>
    </w:p>
    <w:p>
      <w:pPr>
        <w:widowControl/>
        <w:spacing w:line="240" w:lineRule="exact"/>
        <w:jc w:val="right"/>
        <w:rPr>
          <w:rFonts w:ascii="Times New Roman" w:hAnsi="Times New Roman" w:eastAsia="华文中宋" w:cs="Times New Roman"/>
          <w:color w:val="auto"/>
          <w:kern w:val="0"/>
          <w:szCs w:val="32"/>
        </w:rPr>
      </w:pPr>
      <w:r>
        <w:rPr>
          <w:rFonts w:ascii="Times New Roman" w:hAnsi="Times New Roman" w:eastAsia="仿宋_GB2312" w:cs="Times New Roman"/>
          <w:color w:val="auto"/>
          <w:kern w:val="0"/>
          <w:szCs w:val="21"/>
        </w:rPr>
        <w:t>单位：万元</w:t>
      </w:r>
    </w:p>
    <w:tbl>
      <w:tblPr>
        <w:tblStyle w:val="10"/>
        <w:tblW w:w="14173"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1"/>
        <w:gridCol w:w="3366"/>
        <w:gridCol w:w="846"/>
        <w:gridCol w:w="741"/>
        <w:gridCol w:w="2316"/>
        <w:gridCol w:w="741"/>
        <w:gridCol w:w="741"/>
        <w:gridCol w:w="4206"/>
        <w:gridCol w:w="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766"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科目编码</w:t>
            </w:r>
          </w:p>
        </w:tc>
        <w:tc>
          <w:tcPr>
            <w:tcW w:w="351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科目名称</w:t>
            </w:r>
          </w:p>
        </w:tc>
        <w:tc>
          <w:tcPr>
            <w:tcW w:w="82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决算数</w:t>
            </w:r>
          </w:p>
        </w:tc>
        <w:tc>
          <w:tcPr>
            <w:tcW w:w="76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科目编码</w:t>
            </w:r>
          </w:p>
        </w:tc>
        <w:tc>
          <w:tcPr>
            <w:tcW w:w="241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科目名称</w:t>
            </w:r>
          </w:p>
        </w:tc>
        <w:tc>
          <w:tcPr>
            <w:tcW w:w="71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决算数</w:t>
            </w:r>
          </w:p>
        </w:tc>
        <w:tc>
          <w:tcPr>
            <w:tcW w:w="76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科目编码</w:t>
            </w:r>
          </w:p>
        </w:tc>
        <w:tc>
          <w:tcPr>
            <w:tcW w:w="439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科目名称</w:t>
            </w:r>
          </w:p>
        </w:tc>
        <w:tc>
          <w:tcPr>
            <w:tcW w:w="71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1"/>
                <w:szCs w:val="21"/>
                <w:u w:val="none"/>
                <w:lang w:val="en-US" w:eastAsia="zh-CN" w:bidi="ar"/>
              </w:rPr>
            </w:pPr>
            <w:r>
              <w:rPr>
                <w:rFonts w:hint="eastAsia" w:ascii="仿宋_GB2312" w:hAnsi="仿宋_GB2312" w:eastAsia="仿宋_GB2312" w:cs="仿宋_GB2312"/>
                <w:i w:val="0"/>
                <w:color w:val="auto"/>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766"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351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82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76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241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71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76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439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c>
          <w:tcPr>
            <w:tcW w:w="71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仿宋_GB2312" w:hAnsi="仿宋_GB2312" w:eastAsia="仿宋_GB2312" w:cs="仿宋_GB2312"/>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工资福利支出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302.30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商品和服务支出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23.42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307</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债务利息及费用支出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30101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基本工资</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99.90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30201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办公费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30701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国内债务付息</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30102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津贴补贴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51.52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30202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印刷费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30702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国外债务付息</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30103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奖金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66.69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30203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咨询费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资本性支出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30106</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伙食补助费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7.43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30204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手续费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31001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房屋建筑物购建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30107</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绩效工资</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30205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水费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31002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办公设备购置</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30108</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机关事业单位基本养老保险缴费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31.51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30206</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电费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31003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专用设备购置</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30109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职业年金缴费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30207</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邮电费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31005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基础设施建设</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30110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职工基本医疗保险缴费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13.05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30208</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取暖费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31006</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大型修缮</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30111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公务员医疗补助缴费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0.31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30209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物业管理费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31007</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信息网络及软件购置更新</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30112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其他社会保障缴费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2.16</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30211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差旅费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31008</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物资储备</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30113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26.19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30212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因公出国（境）费用</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31009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土地补偿</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30114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医疗费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30213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维修（护）费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31010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安置补助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30199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其他工资福利支出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3.55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30214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租赁费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31011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地上附着物和青苗补偿</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对个人和家庭的补助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35.45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30215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会议费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31012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拆迁补偿</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30301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离休费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30216</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培训费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31013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公务用车购置</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30302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退休费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30217</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公务接待费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31019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其他交通工具购置</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30303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退职（役）费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30218</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专用材料费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31021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文物和陈列品购置</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30304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抚恤金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30224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被装购置费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31022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无形资产购置</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30305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生活补助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25.64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30225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专用燃料费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31099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其他资本性支出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30306</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救济费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30226</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劳务费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1.11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399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30307</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医疗费补助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0.25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30227</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委托业务费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39907</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国家赔偿费用支出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30308</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助学金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30228</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工会经费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3.06</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39908</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对民间非营利组织和群众性自治组织补贴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30309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奖励金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0.82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30229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福利费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0.56</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39909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经常性赠与</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30310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个人农业生产补贴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30231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公务用车运行维护费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39910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资本性赠与</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30311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代缴社会保险费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30239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其他交通费用</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18.38</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39999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其他支出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30399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其他对个人和家庭的补助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8.73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30240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税金及附加费用</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30299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 xml:space="preserve">  其他商品和服务支出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0.31</w:t>
            </w: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仿宋_GB2312" w:hAnsi="仿宋_GB2312" w:eastAsia="仿宋_GB2312" w:cs="仿宋_GB2312"/>
                <w:i w:val="0"/>
                <w:color w:val="auto"/>
                <w:sz w:val="21"/>
                <w:szCs w:val="21"/>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0" w:type="auto"/>
            <w:gridSpan w:val="2"/>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人员经费合计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337.75</w:t>
            </w:r>
          </w:p>
        </w:tc>
        <w:tc>
          <w:tcPr>
            <w:tcW w:w="0" w:type="auto"/>
            <w:gridSpan w:val="5"/>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公用经费合计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1"/>
                <w:szCs w:val="21"/>
                <w:u w:val="none"/>
              </w:rPr>
            </w:pPr>
            <w:r>
              <w:rPr>
                <w:rFonts w:hint="eastAsia" w:ascii="仿宋_GB2312" w:hAnsi="仿宋_GB2312" w:eastAsia="仿宋_GB2312" w:cs="仿宋_GB2312"/>
                <w:i w:val="0"/>
                <w:color w:val="auto"/>
                <w:kern w:val="0"/>
                <w:sz w:val="21"/>
                <w:szCs w:val="21"/>
                <w:u w:val="none"/>
                <w:lang w:val="en-US" w:eastAsia="zh-CN" w:bidi="ar"/>
              </w:rPr>
              <w:t>23.42</w:t>
            </w:r>
          </w:p>
        </w:tc>
      </w:tr>
    </w:tbl>
    <w:p>
      <w:pPr>
        <w:widowControl/>
        <w:jc w:val="left"/>
        <w:rPr>
          <w:rFonts w:ascii="Times New Roman" w:hAnsi="Times New Roman" w:eastAsia="仿宋_GB2312" w:cs="Times New Roman"/>
          <w:color w:val="auto"/>
          <w:kern w:val="0"/>
          <w:szCs w:val="24"/>
        </w:rPr>
      </w:pPr>
      <w:r>
        <w:rPr>
          <w:rFonts w:ascii="Times New Roman" w:hAnsi="Times New Roman" w:eastAsia="仿宋_GB2312" w:cs="Times New Roman"/>
          <w:color w:val="auto"/>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auto"/>
          <w:kern w:val="0"/>
          <w:sz w:val="32"/>
          <w:szCs w:val="32"/>
          <w:lang w:bidi="ar"/>
        </w:rPr>
      </w:pPr>
    </w:p>
    <w:p>
      <w:pPr>
        <w:widowControl/>
        <w:spacing w:after="156" w:afterLines="50"/>
        <w:jc w:val="center"/>
        <w:textAlignment w:val="center"/>
        <w:rPr>
          <w:rFonts w:ascii="Times New Roman" w:hAnsi="Times New Roman" w:eastAsia="黑体" w:cs="Times New Roman"/>
          <w:color w:val="auto"/>
          <w:kern w:val="0"/>
          <w:sz w:val="36"/>
          <w:szCs w:val="36"/>
          <w:lang w:bidi="ar"/>
        </w:rPr>
      </w:pPr>
      <w:r>
        <w:rPr>
          <w:rFonts w:ascii="Times New Roman" w:hAnsi="Times New Roman" w:eastAsia="黑体" w:cs="Times New Roman"/>
          <w:color w:val="auto"/>
          <w:kern w:val="0"/>
          <w:sz w:val="36"/>
          <w:szCs w:val="36"/>
          <w:lang w:bidi="ar"/>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kern w:val="0"/>
          <w:sz w:val="20"/>
          <w:szCs w:val="20"/>
          <w:lang w:bidi="ar"/>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kern w:val="0"/>
          <w:sz w:val="20"/>
          <w:szCs w:val="20"/>
          <w:lang w:bidi="ar"/>
        </w:rPr>
        <w:t>部门：</w:t>
      </w:r>
      <w:r>
        <w:rPr>
          <w:rFonts w:hint="eastAsia" w:ascii="Times New Roman" w:hAnsi="Times New Roman" w:eastAsia="仿宋_GB2312" w:cs="Times New Roman"/>
          <w:color w:val="auto"/>
          <w:kern w:val="0"/>
          <w:sz w:val="20"/>
          <w:szCs w:val="20"/>
          <w:lang w:bidi="ar"/>
        </w:rPr>
        <w:t>怀化市库区移民事务中心</w:t>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kern w:val="0"/>
          <w:sz w:val="20"/>
          <w:szCs w:val="20"/>
          <w:lang w:bidi="ar"/>
        </w:rPr>
        <w:t>单位：万元</w:t>
      </w:r>
    </w:p>
    <w:tbl>
      <w:tblPr>
        <w:tblStyle w:val="10"/>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 xml:space="preserve">项 </w:t>
            </w:r>
            <w:r>
              <w:rPr>
                <w:rStyle w:val="17"/>
                <w:rFonts w:hint="default" w:ascii="Times New Roman" w:hAnsi="Times New Roman" w:eastAsia="仿宋_GB2312" w:cs="Times New Roman"/>
                <w:b/>
                <w:bCs/>
                <w:color w:val="auto"/>
                <w:lang w:bidi="ar"/>
              </w:rPr>
              <w:t xml:space="preserve">   </w:t>
            </w:r>
            <w:r>
              <w:rPr>
                <w:rStyle w:val="18"/>
                <w:rFonts w:hint="default" w:ascii="Times New Roman" w:hAnsi="Times New Roman" w:eastAsia="仿宋_GB2312" w:cs="Times New Roman"/>
                <w:b/>
                <w:bCs/>
                <w:color w:val="auto"/>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年末结转和结余</w:t>
            </w:r>
          </w:p>
        </w:tc>
      </w:tr>
      <w:tr>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auto"/>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auto"/>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6</w:t>
            </w: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合计</w:t>
            </w:r>
          </w:p>
        </w:tc>
        <w:tc>
          <w:tcPr>
            <w:tcW w:w="115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r>
              <w:rPr>
                <w:rFonts w:ascii="Times New Roman" w:hAnsi="Times New Roman" w:eastAsia="仿宋_GB2312" w:cs="Times New Roman"/>
                <w:b/>
                <w:bCs/>
                <w:color w:val="auto"/>
                <w:kern w:val="0"/>
                <w:sz w:val="24"/>
                <w:szCs w:val="24"/>
                <w:lang w:bidi="ar"/>
              </w:rPr>
              <w:t>我单位没有政府性基金收入，也没有使用政府性基金安排的支出，故本表无数据。</w:t>
            </w: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r>
    </w:tbl>
    <w:p>
      <w:pPr>
        <w:widowControl/>
        <w:spacing w:before="120"/>
        <w:jc w:val="left"/>
        <w:textAlignment w:val="center"/>
        <w:rPr>
          <w:rFonts w:ascii="Times New Roman" w:hAnsi="Times New Roman" w:eastAsia="仿宋_GB2312" w:cs="Times New Roman"/>
          <w:color w:val="auto"/>
          <w:kern w:val="0"/>
          <w:sz w:val="24"/>
          <w:szCs w:val="24"/>
          <w:lang w:bidi="ar"/>
        </w:rPr>
      </w:pPr>
      <w:r>
        <w:rPr>
          <w:rFonts w:ascii="Times New Roman" w:hAnsi="Times New Roman" w:eastAsia="仿宋_GB2312" w:cs="Times New Roman"/>
          <w:color w:val="auto"/>
          <w:kern w:val="0"/>
          <w:sz w:val="24"/>
          <w:szCs w:val="24"/>
          <w:lang w:bidi="ar"/>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auto"/>
          <w:kern w:val="0"/>
          <w:sz w:val="24"/>
          <w:szCs w:val="24"/>
          <w:lang w:bidi="ar"/>
        </w:rPr>
      </w:pPr>
    </w:p>
    <w:p>
      <w:pPr>
        <w:widowControl/>
        <w:jc w:val="left"/>
        <w:textAlignment w:val="center"/>
        <w:rPr>
          <w:rFonts w:ascii="Times New Roman" w:hAnsi="Times New Roman" w:eastAsia="仿宋_GB2312" w:cs="Times New Roman"/>
          <w:color w:val="auto"/>
          <w:kern w:val="0"/>
          <w:sz w:val="24"/>
          <w:szCs w:val="24"/>
          <w:lang w:bidi="ar"/>
        </w:rPr>
      </w:pPr>
      <w:r>
        <w:rPr>
          <w:rFonts w:ascii="Times New Roman" w:hAnsi="Times New Roman" w:eastAsia="仿宋_GB2312" w:cs="Times New Roman"/>
          <w:b/>
          <w:bCs/>
          <w:color w:val="auto"/>
          <w:kern w:val="0"/>
          <w:sz w:val="24"/>
          <w:szCs w:val="24"/>
          <w:lang w:bidi="ar"/>
        </w:rPr>
        <w:t>说明：我单位没有政府性基金收入，也没有使用政府性基金安排的支出，故本表无数据。（当表格数据为空时，应有此说明）</w:t>
      </w:r>
    </w:p>
    <w:p>
      <w:pPr>
        <w:widowControl/>
        <w:jc w:val="center"/>
        <w:rPr>
          <w:rFonts w:ascii="Times New Roman" w:hAnsi="Times New Roman" w:eastAsia="方正小标宋_GBK" w:cs="Times New Roman"/>
          <w:color w:val="auto"/>
          <w:kern w:val="0"/>
          <w:sz w:val="36"/>
          <w:szCs w:val="36"/>
        </w:rPr>
      </w:pPr>
    </w:p>
    <w:p>
      <w:pPr>
        <w:widowControl/>
        <w:spacing w:line="400" w:lineRule="exact"/>
        <w:textAlignment w:val="center"/>
        <w:rPr>
          <w:rFonts w:ascii="Times New Roman" w:hAnsi="Times New Roman" w:eastAsia="黑体" w:cs="Times New Roman"/>
          <w:color w:val="auto"/>
          <w:kern w:val="0"/>
          <w:sz w:val="36"/>
          <w:szCs w:val="36"/>
          <w:lang w:bidi="ar"/>
        </w:rPr>
      </w:pPr>
    </w:p>
    <w:p>
      <w:pPr>
        <w:widowControl/>
        <w:spacing w:after="156" w:afterLines="50"/>
        <w:jc w:val="center"/>
        <w:textAlignment w:val="center"/>
        <w:rPr>
          <w:rFonts w:ascii="Times New Roman" w:hAnsi="Times New Roman" w:eastAsia="黑体" w:cs="Times New Roman"/>
          <w:color w:val="auto"/>
          <w:kern w:val="0"/>
          <w:sz w:val="36"/>
          <w:szCs w:val="36"/>
          <w:lang w:bidi="ar"/>
        </w:rPr>
      </w:pPr>
      <w:r>
        <w:rPr>
          <w:rFonts w:ascii="Times New Roman" w:hAnsi="Times New Roman" w:eastAsia="黑体" w:cs="Times New Roman"/>
          <w:color w:val="auto"/>
          <w:kern w:val="0"/>
          <w:sz w:val="36"/>
          <w:szCs w:val="36"/>
          <w:lang w:bidi="ar"/>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kern w:val="0"/>
          <w:sz w:val="20"/>
          <w:szCs w:val="20"/>
          <w:lang w:bidi="ar"/>
        </w:rPr>
        <w:t xml:space="preserve">                                                                                                            公开08表</w:t>
      </w:r>
    </w:p>
    <w:p>
      <w:pPr>
        <w:widowControl/>
        <w:tabs>
          <w:tab w:val="left" w:pos="1326"/>
          <w:tab w:val="left" w:pos="2027"/>
          <w:tab w:val="left" w:pos="4319"/>
          <w:tab w:val="left" w:pos="7634"/>
          <w:tab w:val="left" w:pos="10949"/>
        </w:tabs>
        <w:ind w:firstLine="100" w:firstLineChars="50"/>
        <w:jc w:val="both"/>
        <w:textAlignment w:val="center"/>
        <w:rPr>
          <w:rFonts w:ascii="Times New Roman" w:hAnsi="Times New Roman" w:eastAsia="仿宋_GB2312" w:cs="Times New Roman"/>
          <w:color w:val="auto"/>
          <w:sz w:val="20"/>
          <w:szCs w:val="20"/>
        </w:rPr>
      </w:pPr>
      <w:r>
        <w:rPr>
          <w:rFonts w:ascii="Times New Roman" w:hAnsi="Times New Roman" w:eastAsia="仿宋_GB2312" w:cs="Times New Roman"/>
          <w:color w:val="auto"/>
          <w:kern w:val="0"/>
          <w:sz w:val="20"/>
          <w:szCs w:val="20"/>
          <w:lang w:bidi="ar"/>
        </w:rPr>
        <w:t>部门：</w:t>
      </w:r>
      <w:r>
        <w:rPr>
          <w:rFonts w:hint="eastAsia" w:ascii="Times New Roman" w:hAnsi="Times New Roman" w:eastAsia="仿宋_GB2312" w:cs="Times New Roman"/>
          <w:color w:val="auto"/>
          <w:kern w:val="0"/>
          <w:sz w:val="20"/>
          <w:szCs w:val="20"/>
          <w:lang w:bidi="ar"/>
        </w:rPr>
        <w:t>怀化市库区移民事务中心</w:t>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sz w:val="20"/>
          <w:szCs w:val="20"/>
        </w:rPr>
        <w:tab/>
      </w:r>
      <w:r>
        <w:rPr>
          <w:rFonts w:ascii="Times New Roman" w:hAnsi="Times New Roman" w:eastAsia="仿宋_GB2312" w:cs="Times New Roman"/>
          <w:color w:val="auto"/>
          <w:kern w:val="0"/>
          <w:sz w:val="20"/>
          <w:szCs w:val="20"/>
          <w:lang w:bidi="ar"/>
        </w:rPr>
        <w:t>单位：万元</w:t>
      </w:r>
    </w:p>
    <w:tbl>
      <w:tblPr>
        <w:tblStyle w:val="10"/>
        <w:tblW w:w="4998" w:type="pct"/>
        <w:tblInd w:w="0" w:type="dxa"/>
        <w:tblLayout w:type="autofit"/>
        <w:tblCellMar>
          <w:top w:w="0" w:type="dxa"/>
          <w:left w:w="108" w:type="dxa"/>
          <w:bottom w:w="0" w:type="dxa"/>
          <w:right w:w="108" w:type="dxa"/>
        </w:tblCellMar>
      </w:tblPr>
      <w:tblGrid>
        <w:gridCol w:w="3094"/>
        <w:gridCol w:w="3096"/>
        <w:gridCol w:w="1831"/>
        <w:gridCol w:w="3096"/>
        <w:gridCol w:w="3097"/>
      </w:tblGrid>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 xml:space="preserve">项 </w:t>
            </w:r>
            <w:r>
              <w:rPr>
                <w:rFonts w:ascii="Times New Roman" w:hAnsi="Times New Roman" w:eastAsia="仿宋_GB2312" w:cs="Times New Roman"/>
                <w:b/>
                <w:bCs/>
                <w:color w:val="auto"/>
                <w:kern w:val="0"/>
                <w:sz w:val="22"/>
                <w:lang w:bidi="ar"/>
              </w:rPr>
              <w:t xml:space="preserve">   </w:t>
            </w:r>
            <w:r>
              <w:rPr>
                <w:rStyle w:val="19"/>
                <w:rFonts w:hint="default" w:ascii="Times New Roman" w:hAnsi="Times New Roman" w:eastAsia="仿宋_GB2312" w:cs="Times New Roman"/>
                <w:b/>
                <w:bCs/>
                <w:color w:val="auto"/>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本年支出</w:t>
            </w:r>
          </w:p>
        </w:tc>
      </w:tr>
      <w:tr>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4"/>
                <w:szCs w:val="24"/>
              </w:rPr>
            </w:pPr>
            <w:r>
              <w:rPr>
                <w:rFonts w:ascii="Times New Roman" w:hAnsi="Times New Roman" w:eastAsia="仿宋_GB2312" w:cs="Times New Roman"/>
                <w:b/>
                <w:bCs/>
                <w:color w:val="auto"/>
                <w:kern w:val="0"/>
                <w:sz w:val="24"/>
                <w:szCs w:val="24"/>
                <w:lang w:bidi="ar"/>
              </w:rPr>
              <w:t>项目支出</w:t>
            </w:r>
          </w:p>
        </w:tc>
      </w:tr>
      <w:tr>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3</w:t>
            </w: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合计</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r>
              <w:rPr>
                <w:rFonts w:ascii="Times New Roman" w:hAnsi="Times New Roman" w:eastAsia="楷体_GB2312" w:cs="Times New Roman"/>
                <w:b/>
                <w:bCs/>
                <w:color w:val="auto"/>
                <w:kern w:val="0"/>
                <w:sz w:val="24"/>
                <w:szCs w:val="24"/>
                <w:lang w:bidi="ar"/>
              </w:rPr>
              <w:t>我单位没有使用国有资本经营预算安排的支出，故本表无数据。</w:t>
            </w: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auto"/>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auto"/>
                <w:sz w:val="24"/>
                <w:szCs w:val="24"/>
              </w:rPr>
            </w:pPr>
          </w:p>
        </w:tc>
      </w:tr>
    </w:tbl>
    <w:p>
      <w:pPr>
        <w:widowControl/>
        <w:spacing w:before="120"/>
        <w:jc w:val="left"/>
        <w:textAlignment w:val="center"/>
        <w:rPr>
          <w:rFonts w:ascii="Times New Roman" w:hAnsi="Times New Roman" w:eastAsia="仿宋_GB2312" w:cs="Times New Roman"/>
          <w:color w:val="auto"/>
          <w:kern w:val="0"/>
          <w:sz w:val="24"/>
          <w:szCs w:val="24"/>
          <w:lang w:bidi="ar"/>
        </w:rPr>
      </w:pPr>
      <w:r>
        <w:rPr>
          <w:rFonts w:ascii="Times New Roman" w:hAnsi="Times New Roman" w:eastAsia="仿宋_GB2312" w:cs="Times New Roman"/>
          <w:color w:val="auto"/>
          <w:kern w:val="0"/>
          <w:sz w:val="24"/>
          <w:szCs w:val="24"/>
          <w:lang w:bidi="ar"/>
        </w:rPr>
        <w:t>注：本表反映部门本年度国有资本经营预算财政拨款支出情况。</w:t>
      </w:r>
    </w:p>
    <w:p>
      <w:pPr>
        <w:widowControl/>
        <w:jc w:val="left"/>
        <w:textAlignment w:val="center"/>
        <w:rPr>
          <w:rFonts w:ascii="Times New Roman" w:hAnsi="Times New Roman" w:eastAsia="宋体" w:cs="Times New Roman"/>
          <w:color w:val="auto"/>
          <w:kern w:val="0"/>
          <w:sz w:val="24"/>
          <w:szCs w:val="24"/>
          <w:lang w:bidi="ar"/>
        </w:rPr>
      </w:pPr>
    </w:p>
    <w:p>
      <w:pPr>
        <w:widowControl/>
        <w:jc w:val="left"/>
        <w:textAlignment w:val="center"/>
        <w:rPr>
          <w:rFonts w:ascii="Times New Roman" w:hAnsi="Times New Roman" w:eastAsia="楷体_GB2312" w:cs="Times New Roman"/>
          <w:color w:val="auto"/>
          <w:kern w:val="0"/>
          <w:sz w:val="24"/>
          <w:szCs w:val="24"/>
          <w:lang w:bidi="ar"/>
        </w:rPr>
      </w:pPr>
      <w:r>
        <w:rPr>
          <w:rFonts w:ascii="Times New Roman" w:hAnsi="Times New Roman" w:eastAsia="楷体_GB2312" w:cs="Times New Roman"/>
          <w:b/>
          <w:bCs/>
          <w:color w:val="auto"/>
          <w:kern w:val="0"/>
          <w:sz w:val="24"/>
          <w:szCs w:val="24"/>
          <w:lang w:bidi="ar"/>
        </w:rPr>
        <w:t>说明：我单位没有使用国有资本经营预算安排的支出，故本表无数据。（当表格数据为空时，应有此说明）</w:t>
      </w:r>
    </w:p>
    <w:p>
      <w:pPr>
        <w:widowControl/>
        <w:jc w:val="center"/>
        <w:rPr>
          <w:rFonts w:ascii="Times New Roman" w:hAnsi="Times New Roman" w:eastAsia="方正小标宋_GBK" w:cs="Times New Roman"/>
          <w:color w:val="auto"/>
          <w:kern w:val="0"/>
          <w:sz w:val="36"/>
          <w:szCs w:val="36"/>
        </w:rPr>
      </w:pPr>
    </w:p>
    <w:p>
      <w:pPr>
        <w:pStyle w:val="8"/>
        <w:spacing w:line="400" w:lineRule="exact"/>
        <w:rPr>
          <w:rFonts w:ascii="Times New Roman" w:hAnsi="Times New Roman" w:eastAsia="华文中宋" w:cs="Times New Roman"/>
          <w:color w:val="auto"/>
          <w:kern w:val="0"/>
          <w:sz w:val="32"/>
          <w:szCs w:val="32"/>
          <w:lang w:bidi="ar"/>
        </w:rPr>
      </w:pPr>
    </w:p>
    <w:p>
      <w:pPr>
        <w:widowControl/>
        <w:spacing w:after="156" w:afterLines="50"/>
        <w:jc w:val="center"/>
        <w:textAlignment w:val="center"/>
        <w:rPr>
          <w:rFonts w:ascii="Times New Roman" w:hAnsi="Times New Roman" w:eastAsia="黑体" w:cs="Times New Roman"/>
          <w:color w:val="auto"/>
          <w:kern w:val="0"/>
          <w:sz w:val="36"/>
          <w:szCs w:val="36"/>
          <w:lang w:bidi="ar"/>
        </w:rPr>
      </w:pPr>
      <w:r>
        <w:rPr>
          <w:rFonts w:ascii="Times New Roman" w:hAnsi="Times New Roman" w:eastAsia="黑体" w:cs="Times New Roman"/>
          <w:color w:val="auto"/>
          <w:kern w:val="0"/>
          <w:sz w:val="36"/>
          <w:szCs w:val="36"/>
          <w:lang w:bidi="ar"/>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auto"/>
          <w:sz w:val="20"/>
          <w:szCs w:val="20"/>
        </w:rPr>
      </w:pP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宋体"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kern w:val="0"/>
          <w:sz w:val="20"/>
          <w:szCs w:val="20"/>
          <w:lang w:bidi="ar"/>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auto"/>
          <w:sz w:val="20"/>
          <w:szCs w:val="20"/>
        </w:rPr>
      </w:pPr>
      <w:r>
        <w:rPr>
          <w:rFonts w:ascii="Times New Roman" w:hAnsi="Times New Roman" w:eastAsia="楷体_GB2312" w:cs="Times New Roman"/>
          <w:color w:val="auto"/>
          <w:kern w:val="0"/>
          <w:sz w:val="20"/>
          <w:szCs w:val="20"/>
          <w:lang w:bidi="ar"/>
        </w:rPr>
        <w:t>部门：</w:t>
      </w:r>
      <w:r>
        <w:rPr>
          <w:rFonts w:hint="eastAsia" w:ascii="Times New Roman" w:hAnsi="Times New Roman" w:eastAsia="仿宋_GB2312" w:cs="Times New Roman"/>
          <w:color w:val="auto"/>
          <w:kern w:val="0"/>
          <w:sz w:val="20"/>
          <w:szCs w:val="20"/>
          <w:lang w:bidi="ar"/>
        </w:rPr>
        <w:t>怀化市库区移民事务中心</w:t>
      </w:r>
      <w:r>
        <w:rPr>
          <w:rFonts w:ascii="Times New Roman" w:hAnsi="Times New Roman" w:eastAsia="楷体_GB2312"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sz w:val="20"/>
          <w:szCs w:val="20"/>
        </w:rPr>
        <w:tab/>
      </w:r>
      <w:r>
        <w:rPr>
          <w:rFonts w:ascii="Times New Roman" w:hAnsi="Times New Roman" w:eastAsia="楷体_GB2312" w:cs="Times New Roman"/>
          <w:color w:val="auto"/>
          <w:kern w:val="0"/>
          <w:sz w:val="20"/>
          <w:szCs w:val="20"/>
          <w:lang w:bidi="ar"/>
        </w:rPr>
        <w:t>单位：万元</w:t>
      </w:r>
    </w:p>
    <w:tbl>
      <w:tblPr>
        <w:tblStyle w:val="10"/>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lang w:bidi="ar"/>
              </w:rPr>
              <w:t>决算数</w:t>
            </w:r>
          </w:p>
        </w:tc>
      </w:tr>
      <w:tr>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lang w:bidi="ar"/>
              </w:rPr>
              <w:t>公务接待费</w:t>
            </w:r>
          </w:p>
        </w:tc>
      </w:tr>
      <w:tr>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lang w:bidi="ar"/>
              </w:rPr>
              <w:t>公务用车</w:t>
            </w:r>
            <w:r>
              <w:rPr>
                <w:rFonts w:ascii="Times New Roman" w:hAnsi="Times New Roman" w:eastAsia="仿宋_GB2312" w:cs="Times New Roman"/>
                <w:b/>
                <w:bCs/>
                <w:color w:val="auto"/>
                <w:kern w:val="0"/>
                <w:sz w:val="22"/>
                <w:lang w:bidi="ar"/>
              </w:rPr>
              <w:br w:type="textWrapping"/>
            </w:r>
            <w:r>
              <w:rPr>
                <w:rFonts w:ascii="Times New Roman" w:hAnsi="Times New Roman" w:eastAsia="仿宋_GB2312" w:cs="Times New Roman"/>
                <w:b/>
                <w:bCs/>
                <w:color w:val="auto"/>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lang w:bidi="ar"/>
              </w:rPr>
              <w:t>公务用车</w:t>
            </w:r>
            <w:r>
              <w:rPr>
                <w:rFonts w:ascii="Times New Roman" w:hAnsi="Times New Roman" w:eastAsia="仿宋_GB2312" w:cs="Times New Roman"/>
                <w:b/>
                <w:bCs/>
                <w:color w:val="auto"/>
                <w:kern w:val="0"/>
                <w:sz w:val="22"/>
                <w:lang w:bidi="ar"/>
              </w:rPr>
              <w:br w:type="textWrapping"/>
            </w:r>
            <w:r>
              <w:rPr>
                <w:rFonts w:ascii="Times New Roman" w:hAnsi="Times New Roman" w:eastAsia="仿宋_GB2312" w:cs="Times New Roman"/>
                <w:b/>
                <w:bCs/>
                <w:color w:val="auto"/>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lang w:bidi="ar"/>
              </w:rPr>
              <w:t>公务用车</w:t>
            </w:r>
            <w:r>
              <w:rPr>
                <w:rFonts w:ascii="Times New Roman" w:hAnsi="Times New Roman" w:eastAsia="仿宋_GB2312" w:cs="Times New Roman"/>
                <w:b/>
                <w:bCs/>
                <w:color w:val="auto"/>
                <w:kern w:val="0"/>
                <w:sz w:val="22"/>
                <w:lang w:bidi="ar"/>
              </w:rPr>
              <w:br w:type="textWrapping"/>
            </w:r>
            <w:r>
              <w:rPr>
                <w:rFonts w:ascii="Times New Roman" w:hAnsi="Times New Roman" w:eastAsia="仿宋_GB2312" w:cs="Times New Roman"/>
                <w:b/>
                <w:bCs/>
                <w:color w:val="auto"/>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auto"/>
                <w:sz w:val="22"/>
              </w:rPr>
            </w:pPr>
            <w:r>
              <w:rPr>
                <w:rFonts w:ascii="Times New Roman" w:hAnsi="Times New Roman" w:eastAsia="仿宋_GB2312" w:cs="Times New Roman"/>
                <w:b/>
                <w:bCs/>
                <w:color w:val="auto"/>
                <w:kern w:val="0"/>
                <w:sz w:val="22"/>
                <w:lang w:bidi="ar"/>
              </w:rPr>
              <w:t>公务用车</w:t>
            </w:r>
            <w:r>
              <w:rPr>
                <w:rFonts w:ascii="Times New Roman" w:hAnsi="Times New Roman" w:eastAsia="仿宋_GB2312" w:cs="Times New Roman"/>
                <w:b/>
                <w:bCs/>
                <w:color w:val="auto"/>
                <w:kern w:val="0"/>
                <w:sz w:val="22"/>
                <w:lang w:bidi="ar"/>
              </w:rPr>
              <w:br w:type="textWrapping"/>
            </w:r>
            <w:r>
              <w:rPr>
                <w:rFonts w:ascii="Times New Roman" w:hAnsi="Times New Roman" w:eastAsia="仿宋_GB2312" w:cs="Times New Roman"/>
                <w:b/>
                <w:bCs/>
                <w:color w:val="auto"/>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auto"/>
                <w:sz w:val="22"/>
              </w:rPr>
            </w:pPr>
          </w:p>
        </w:tc>
      </w:tr>
      <w:tr>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auto"/>
                <w:sz w:val="22"/>
              </w:rPr>
            </w:pPr>
            <w:r>
              <w:rPr>
                <w:rFonts w:ascii="Times New Roman" w:hAnsi="Times New Roman" w:eastAsia="仿宋_GB2312" w:cs="Times New Roman"/>
                <w:color w:val="auto"/>
                <w:kern w:val="0"/>
                <w:sz w:val="22"/>
                <w:lang w:bidi="ar"/>
              </w:rPr>
              <w:t>12</w:t>
            </w:r>
          </w:p>
        </w:tc>
      </w:tr>
      <w:tr>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9.50</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0.00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8.00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0.00</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8.00</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1.50</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9.50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0.00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8.00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0.00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8.00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eastAsia="仿宋_GB2312" w:cs="Times New Roman"/>
                <w:color w:val="auto"/>
                <w:kern w:val="0"/>
                <w:sz w:val="22"/>
                <w:lang w:bidi="ar"/>
              </w:rPr>
            </w:pPr>
            <w:r>
              <w:rPr>
                <w:rFonts w:hint="default" w:ascii="Times New Roman" w:hAnsi="Times New Roman" w:eastAsia="仿宋_GB2312" w:cs="Times New Roman"/>
                <w:color w:val="auto"/>
                <w:kern w:val="0"/>
                <w:sz w:val="22"/>
                <w:lang w:bidi="ar"/>
              </w:rPr>
              <w:t>1.50</w:t>
            </w:r>
          </w:p>
        </w:tc>
      </w:tr>
    </w:tbl>
    <w:p>
      <w:pPr>
        <w:widowControl/>
        <w:spacing w:before="120"/>
        <w:jc w:val="left"/>
        <w:textAlignment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color w:val="auto"/>
          <w:kern w:val="0"/>
          <w:sz w:val="24"/>
          <w:szCs w:val="24"/>
        </w:rPr>
      </w:pPr>
    </w:p>
    <w:p>
      <w:pPr>
        <w:autoSpaceDE w:val="0"/>
        <w:autoSpaceDN w:val="0"/>
        <w:adjustRightInd w:val="0"/>
        <w:ind w:left="315" w:leftChars="150"/>
        <w:jc w:val="left"/>
        <w:rPr>
          <w:rFonts w:ascii="Times New Roman" w:hAnsi="Times New Roman" w:eastAsia="宋体" w:cs="Times New Roman"/>
          <w:color w:val="auto"/>
          <w:kern w:val="0"/>
          <w:sz w:val="24"/>
          <w:szCs w:val="24"/>
        </w:rPr>
      </w:pPr>
    </w:p>
    <w:p>
      <w:pPr>
        <w:autoSpaceDE w:val="0"/>
        <w:autoSpaceDN w:val="0"/>
        <w:adjustRightInd w:val="0"/>
        <w:ind w:left="315" w:leftChars="150"/>
        <w:jc w:val="left"/>
        <w:rPr>
          <w:rFonts w:ascii="Times New Roman" w:hAnsi="Times New Roman" w:eastAsia="宋体" w:cs="Times New Roman"/>
          <w:color w:val="auto"/>
          <w:kern w:val="0"/>
          <w:sz w:val="24"/>
          <w:szCs w:val="24"/>
        </w:rPr>
      </w:pPr>
    </w:p>
    <w:p>
      <w:pPr>
        <w:autoSpaceDE w:val="0"/>
        <w:autoSpaceDN w:val="0"/>
        <w:adjustRightInd w:val="0"/>
        <w:ind w:left="315" w:leftChars="150"/>
        <w:jc w:val="left"/>
        <w:rPr>
          <w:rFonts w:ascii="Times New Roman" w:hAnsi="Times New Roman" w:eastAsia="宋体" w:cs="Times New Roman"/>
          <w:color w:val="auto"/>
          <w:kern w:val="0"/>
          <w:sz w:val="24"/>
          <w:szCs w:val="24"/>
        </w:rPr>
      </w:pPr>
    </w:p>
    <w:p>
      <w:pPr>
        <w:autoSpaceDE w:val="0"/>
        <w:autoSpaceDN w:val="0"/>
        <w:adjustRightInd w:val="0"/>
        <w:ind w:left="315" w:leftChars="150"/>
        <w:jc w:val="left"/>
        <w:rPr>
          <w:rFonts w:ascii="Times New Roman" w:hAnsi="Times New Roman" w:eastAsia="宋体" w:cs="Times New Roman"/>
          <w:color w:val="auto"/>
          <w:kern w:val="0"/>
          <w:sz w:val="24"/>
          <w:szCs w:val="24"/>
        </w:rPr>
      </w:pPr>
    </w:p>
    <w:p>
      <w:pPr>
        <w:widowControl/>
        <w:rPr>
          <w:rFonts w:ascii="Times New Roman" w:hAnsi="Times New Roman" w:cs="Times New Roman"/>
          <w:color w:val="auto"/>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color w:val="auto"/>
          <w:szCs w:val="21"/>
        </w:rPr>
        <w:br w:type="page"/>
      </w:r>
    </w:p>
    <w:p>
      <w:pPr>
        <w:pStyle w:val="14"/>
        <w:rPr>
          <w:rFonts w:ascii="Times New Roman" w:hAnsi="Times New Roman" w:cs="Times New Roman"/>
          <w:color w:val="auto"/>
          <w:sz w:val="72"/>
          <w:szCs w:val="72"/>
        </w:rPr>
      </w:pPr>
    </w:p>
    <w:p>
      <w:pPr>
        <w:pStyle w:val="14"/>
        <w:rPr>
          <w:rFonts w:ascii="Times New Roman" w:hAnsi="Times New Roman" w:cs="Times New Roman"/>
          <w:color w:val="auto"/>
          <w:sz w:val="72"/>
          <w:szCs w:val="72"/>
        </w:rPr>
      </w:pPr>
    </w:p>
    <w:p>
      <w:pPr>
        <w:pStyle w:val="14"/>
        <w:rPr>
          <w:rFonts w:ascii="Times New Roman" w:hAnsi="Times New Roman" w:cs="Times New Roman"/>
          <w:color w:val="auto"/>
          <w:sz w:val="72"/>
          <w:szCs w:val="72"/>
        </w:rPr>
      </w:pPr>
    </w:p>
    <w:p>
      <w:pPr>
        <w:pStyle w:val="14"/>
        <w:jc w:val="center"/>
        <w:rPr>
          <w:rFonts w:ascii="Times New Roman" w:hAnsi="Times New Roman" w:cs="Times New Roman"/>
          <w:color w:val="auto"/>
          <w:sz w:val="72"/>
          <w:szCs w:val="72"/>
        </w:rPr>
      </w:pPr>
    </w:p>
    <w:p>
      <w:pPr>
        <w:pStyle w:val="14"/>
        <w:jc w:val="center"/>
        <w:rPr>
          <w:rFonts w:ascii="Times New Roman" w:hAnsi="Times New Roman" w:eastAsia="方正小标宋_GBK" w:cs="Times New Roman"/>
          <w:color w:val="auto"/>
          <w:sz w:val="72"/>
          <w:szCs w:val="72"/>
        </w:rPr>
      </w:pPr>
    </w:p>
    <w:p>
      <w:pPr>
        <w:pStyle w:val="14"/>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第三部分</w:t>
      </w:r>
    </w:p>
    <w:p>
      <w:pPr>
        <w:pStyle w:val="14"/>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2024年度部门决算情况说明</w:t>
      </w:r>
    </w:p>
    <w:p>
      <w:pPr>
        <w:widowControl/>
        <w:jc w:val="left"/>
        <w:rPr>
          <w:rFonts w:ascii="Times New Roman" w:hAnsi="Times New Roman" w:cs="Times New Roman"/>
          <w:color w:val="auto"/>
          <w:sz w:val="32"/>
          <w:szCs w:val="32"/>
        </w:rPr>
      </w:pPr>
      <w:r>
        <w:rPr>
          <w:rFonts w:ascii="Times New Roman" w:hAnsi="Times New Roman" w:eastAsia="方正小标宋_GBK" w:cs="Times New Roman"/>
          <w:color w:val="auto"/>
          <w:sz w:val="70"/>
          <w:szCs w:val="70"/>
        </w:rPr>
        <w:br w:type="page"/>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一、收入支出决算总体情况说明</w:t>
      </w:r>
    </w:p>
    <w:p>
      <w:pPr>
        <w:pStyle w:val="14"/>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2024年度收、支总计</w:t>
      </w:r>
      <w:r>
        <w:rPr>
          <w:rFonts w:hint="default" w:ascii="Times New Roman" w:hAnsi="Times New Roman" w:eastAsia="仿宋_GB2312" w:cs="Times New Roman"/>
          <w:color w:val="auto"/>
          <w:sz w:val="32"/>
          <w:szCs w:val="32"/>
        </w:rPr>
        <w:t>533.33</w:t>
      </w:r>
      <w:r>
        <w:rPr>
          <w:rFonts w:ascii="Times New Roman" w:hAnsi="Times New Roman" w:eastAsia="仿宋_GB2312" w:cs="Times New Roman"/>
          <w:color w:val="auto"/>
          <w:sz w:val="32"/>
          <w:szCs w:val="32"/>
        </w:rPr>
        <w:t>万元。与上年相比，增加</w:t>
      </w:r>
      <w:r>
        <w:rPr>
          <w:rFonts w:hint="default" w:ascii="Times New Roman" w:hAnsi="Times New Roman" w:eastAsia="仿宋_GB2312" w:cs="Times New Roman"/>
          <w:color w:val="auto"/>
          <w:sz w:val="32"/>
          <w:szCs w:val="32"/>
        </w:rPr>
        <w:t>36.74</w:t>
      </w:r>
      <w:r>
        <w:rPr>
          <w:rFonts w:ascii="Times New Roman" w:hAnsi="Times New Roman" w:eastAsia="仿宋_GB2312" w:cs="Times New Roman"/>
          <w:color w:val="auto"/>
          <w:sz w:val="32"/>
          <w:szCs w:val="32"/>
        </w:rPr>
        <w:t>万元，增长</w:t>
      </w:r>
      <w:r>
        <w:rPr>
          <w:rFonts w:hint="default" w:ascii="Times New Roman" w:hAnsi="Times New Roman" w:eastAsia="仿宋_GB2312" w:cs="Times New Roman"/>
          <w:color w:val="auto"/>
          <w:sz w:val="32"/>
          <w:szCs w:val="32"/>
        </w:rPr>
        <w:t>7.4</w:t>
      </w:r>
      <w:r>
        <w:rPr>
          <w:rFonts w:ascii="Times New Roman" w:hAnsi="Times New Roman" w:eastAsia="仿宋_GB2312" w:cs="Times New Roman"/>
          <w:color w:val="auto"/>
          <w:sz w:val="32"/>
          <w:szCs w:val="32"/>
        </w:rPr>
        <w:t>%，主要是因为人员普调工资引起的财政拨款收入增加和非税收入增加。</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二、收入决算情况说明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2024年度收入合计</w:t>
      </w:r>
      <w:r>
        <w:rPr>
          <w:rFonts w:hint="default" w:ascii="Times New Roman" w:hAnsi="Times New Roman" w:eastAsia="仿宋_GB2312" w:cs="Times New Roman"/>
          <w:color w:val="auto"/>
          <w:sz w:val="32"/>
          <w:szCs w:val="32"/>
        </w:rPr>
        <w:t>533.33</w:t>
      </w:r>
      <w:r>
        <w:rPr>
          <w:rFonts w:ascii="Times New Roman" w:hAnsi="Times New Roman" w:eastAsia="仿宋_GB2312" w:cs="Times New Roman"/>
          <w:color w:val="auto"/>
          <w:sz w:val="32"/>
          <w:szCs w:val="32"/>
        </w:rPr>
        <w:t>万元，其中：财政拨款收入</w:t>
      </w:r>
      <w:r>
        <w:rPr>
          <w:rFonts w:hint="default" w:ascii="Times New Roman" w:hAnsi="Times New Roman" w:eastAsia="仿宋_GB2312" w:cs="Times New Roman"/>
          <w:color w:val="auto"/>
          <w:sz w:val="32"/>
          <w:szCs w:val="32"/>
        </w:rPr>
        <w:t>473.27</w:t>
      </w:r>
      <w:r>
        <w:rPr>
          <w:rFonts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88.74</w:t>
      </w:r>
      <w:r>
        <w:rPr>
          <w:rFonts w:ascii="Times New Roman" w:hAnsi="Times New Roman" w:eastAsia="仿宋_GB2312" w:cs="Times New Roman"/>
          <w:color w:val="auto"/>
          <w:sz w:val="32"/>
          <w:szCs w:val="32"/>
        </w:rPr>
        <w:t>%；上级补助收入</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%；事业收入</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%；经营收入</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%；附属单位上缴收入</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%；其他收入</w:t>
      </w:r>
      <w:r>
        <w:rPr>
          <w:rFonts w:hint="default" w:ascii="Times New Roman" w:hAnsi="Times New Roman" w:eastAsia="仿宋_GB2312" w:cs="Times New Roman"/>
          <w:color w:val="auto"/>
          <w:sz w:val="32"/>
          <w:szCs w:val="32"/>
        </w:rPr>
        <w:t>60.05</w:t>
      </w:r>
      <w:r>
        <w:rPr>
          <w:rFonts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11.26</w:t>
      </w:r>
      <w:r>
        <w:rPr>
          <w:rFonts w:ascii="Times New Roman" w:hAnsi="Times New Roman" w:eastAsia="仿宋_GB2312" w:cs="Times New Roman"/>
          <w:color w:val="auto"/>
          <w:sz w:val="32"/>
          <w:szCs w:val="32"/>
        </w:rPr>
        <w:t>%。</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三、支出决算情况说明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2024年度支出合计</w:t>
      </w:r>
      <w:r>
        <w:rPr>
          <w:rFonts w:hint="default" w:ascii="Times New Roman" w:hAnsi="Times New Roman" w:eastAsia="仿宋_GB2312" w:cs="Times New Roman"/>
          <w:color w:val="auto"/>
          <w:sz w:val="32"/>
          <w:szCs w:val="32"/>
        </w:rPr>
        <w:t>533.33</w:t>
      </w:r>
      <w:r>
        <w:rPr>
          <w:rFonts w:ascii="Times New Roman" w:hAnsi="Times New Roman" w:eastAsia="仿宋_GB2312" w:cs="Times New Roman"/>
          <w:color w:val="auto"/>
          <w:sz w:val="32"/>
          <w:szCs w:val="32"/>
        </w:rPr>
        <w:t>万元，其中：基本支出</w:t>
      </w:r>
      <w:r>
        <w:rPr>
          <w:rFonts w:hint="default" w:ascii="Times New Roman" w:hAnsi="Times New Roman" w:eastAsia="仿宋_GB2312" w:cs="Times New Roman"/>
          <w:color w:val="auto"/>
          <w:sz w:val="32"/>
          <w:szCs w:val="32"/>
        </w:rPr>
        <w:t>421.22</w:t>
      </w:r>
      <w:r>
        <w:rPr>
          <w:rFonts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78.98</w:t>
      </w:r>
      <w:r>
        <w:rPr>
          <w:rFonts w:ascii="Times New Roman" w:hAnsi="Times New Roman" w:eastAsia="仿宋_GB2312" w:cs="Times New Roman"/>
          <w:color w:val="auto"/>
          <w:sz w:val="32"/>
          <w:szCs w:val="32"/>
        </w:rPr>
        <w:t>%；项目支出</w:t>
      </w:r>
      <w:r>
        <w:rPr>
          <w:rFonts w:hint="default" w:ascii="Times New Roman" w:hAnsi="Times New Roman" w:eastAsia="仿宋_GB2312" w:cs="Times New Roman"/>
          <w:color w:val="auto"/>
          <w:sz w:val="32"/>
          <w:szCs w:val="32"/>
        </w:rPr>
        <w:t>112.11</w:t>
      </w:r>
      <w:r>
        <w:rPr>
          <w:rFonts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21.02</w:t>
      </w:r>
      <w:r>
        <w:rPr>
          <w:rFonts w:ascii="Times New Roman" w:hAnsi="Times New Roman" w:eastAsia="仿宋_GB2312" w:cs="Times New Roman"/>
          <w:color w:val="auto"/>
          <w:sz w:val="32"/>
          <w:szCs w:val="32"/>
        </w:rPr>
        <w:t>%；上缴上级支出</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%；经营支出</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%；对附属单位补助支出</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四、财政拨款收入支出决算总体情况说明</w:t>
      </w:r>
    </w:p>
    <w:p>
      <w:pPr>
        <w:pStyle w:val="14"/>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2024年度财政拨款收、支总计</w:t>
      </w:r>
      <w:r>
        <w:rPr>
          <w:rFonts w:hint="default" w:ascii="Times New Roman" w:hAnsi="Times New Roman" w:eastAsia="仿宋_GB2312" w:cs="Times New Roman"/>
          <w:color w:val="auto"/>
          <w:sz w:val="32"/>
          <w:szCs w:val="32"/>
        </w:rPr>
        <w:t>473.27</w:t>
      </w:r>
      <w:r>
        <w:rPr>
          <w:rFonts w:ascii="Times New Roman" w:hAnsi="Times New Roman" w:eastAsia="仿宋_GB2312" w:cs="Times New Roman"/>
          <w:color w:val="auto"/>
          <w:sz w:val="32"/>
          <w:szCs w:val="32"/>
        </w:rPr>
        <w:t>万元，与上年相比，增加</w:t>
      </w:r>
      <w:r>
        <w:rPr>
          <w:rFonts w:hint="default" w:ascii="Times New Roman" w:hAnsi="Times New Roman" w:eastAsia="仿宋_GB2312" w:cs="Times New Roman"/>
          <w:color w:val="auto"/>
          <w:sz w:val="32"/>
          <w:szCs w:val="32"/>
        </w:rPr>
        <w:t>29.5</w:t>
      </w:r>
      <w:r>
        <w:rPr>
          <w:rFonts w:ascii="Times New Roman" w:hAnsi="Times New Roman" w:eastAsia="仿宋_GB2312" w:cs="Times New Roman"/>
          <w:color w:val="auto"/>
          <w:sz w:val="32"/>
          <w:szCs w:val="32"/>
        </w:rPr>
        <w:t>万元,增长</w:t>
      </w:r>
      <w:r>
        <w:rPr>
          <w:rFonts w:hint="default" w:ascii="Times New Roman" w:hAnsi="Times New Roman" w:eastAsia="仿宋_GB2312" w:cs="Times New Roman"/>
          <w:color w:val="auto"/>
          <w:sz w:val="32"/>
          <w:szCs w:val="32"/>
        </w:rPr>
        <w:t>4.65</w:t>
      </w:r>
      <w:r>
        <w:rPr>
          <w:rFonts w:ascii="Times New Roman" w:hAnsi="Times New Roman" w:eastAsia="仿宋_GB2312" w:cs="Times New Roman"/>
          <w:color w:val="auto"/>
          <w:sz w:val="32"/>
          <w:szCs w:val="32"/>
        </w:rPr>
        <w:t>%，主要是因为</w:t>
      </w:r>
      <w:r>
        <w:rPr>
          <w:rFonts w:hint="default" w:ascii="Times New Roman" w:hAnsi="Times New Roman" w:eastAsia="仿宋_GB2312" w:cs="Times New Roman"/>
          <w:color w:val="auto"/>
          <w:sz w:val="32"/>
          <w:szCs w:val="32"/>
        </w:rPr>
        <w:t>2024年政策性普调工资，单位</w:t>
      </w:r>
      <w:r>
        <w:rPr>
          <w:rFonts w:ascii="Times New Roman" w:hAnsi="Times New Roman" w:eastAsia="仿宋_GB2312" w:cs="Times New Roman"/>
          <w:color w:val="auto"/>
          <w:sz w:val="32"/>
          <w:szCs w:val="32"/>
        </w:rPr>
        <w:t>人员工资、住房公积金、保险等都相应增加，从而导致工资福利性开支增加。</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五、一般公共预算财政拨款支出决算情况说明</w:t>
      </w:r>
    </w:p>
    <w:p>
      <w:pPr>
        <w:pStyle w:val="14"/>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（一）一般公共预算财政拨款支出决算总体情况</w:t>
      </w:r>
    </w:p>
    <w:p>
      <w:pPr>
        <w:pStyle w:val="14"/>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2024年度财政拨款支出</w:t>
      </w:r>
      <w:r>
        <w:rPr>
          <w:rFonts w:hint="default" w:ascii="Times New Roman" w:hAnsi="Times New Roman" w:eastAsia="仿宋_GB2312" w:cs="Times New Roman"/>
          <w:color w:val="auto"/>
          <w:sz w:val="32"/>
          <w:szCs w:val="32"/>
        </w:rPr>
        <w:t>473.27</w:t>
      </w:r>
      <w:r>
        <w:rPr>
          <w:rFonts w:ascii="Times New Roman" w:hAnsi="Times New Roman" w:eastAsia="仿宋_GB2312" w:cs="Times New Roman"/>
          <w:color w:val="auto"/>
          <w:sz w:val="32"/>
          <w:szCs w:val="32"/>
        </w:rPr>
        <w:t>万元，占本年支出合计的</w:t>
      </w:r>
      <w:r>
        <w:rPr>
          <w:rFonts w:hint="default" w:ascii="Times New Roman" w:hAnsi="Times New Roman" w:eastAsia="仿宋_GB2312" w:cs="Times New Roman"/>
          <w:color w:val="auto"/>
          <w:sz w:val="32"/>
          <w:szCs w:val="32"/>
        </w:rPr>
        <w:t>88.74</w:t>
      </w:r>
      <w:r>
        <w:rPr>
          <w:rFonts w:ascii="Times New Roman" w:hAnsi="Times New Roman" w:eastAsia="仿宋_GB2312" w:cs="Times New Roman"/>
          <w:color w:val="auto"/>
          <w:sz w:val="32"/>
          <w:szCs w:val="32"/>
        </w:rPr>
        <w:t>%，与上年相比，财政拨款支出增加</w:t>
      </w:r>
      <w:r>
        <w:rPr>
          <w:rFonts w:hint="default" w:ascii="Times New Roman" w:hAnsi="Times New Roman" w:eastAsia="仿宋_GB2312" w:cs="Times New Roman"/>
          <w:color w:val="auto"/>
          <w:sz w:val="32"/>
          <w:szCs w:val="32"/>
        </w:rPr>
        <w:t>29.5</w:t>
      </w:r>
      <w:r>
        <w:rPr>
          <w:rFonts w:ascii="Times New Roman" w:hAnsi="Times New Roman" w:eastAsia="仿宋_GB2312" w:cs="Times New Roman"/>
          <w:color w:val="auto"/>
          <w:sz w:val="32"/>
          <w:szCs w:val="32"/>
        </w:rPr>
        <w:t>万元，增长</w:t>
      </w:r>
      <w:r>
        <w:rPr>
          <w:rFonts w:hint="default" w:ascii="Times New Roman" w:hAnsi="Times New Roman" w:eastAsia="仿宋_GB2312" w:cs="Times New Roman"/>
          <w:color w:val="auto"/>
          <w:sz w:val="32"/>
          <w:szCs w:val="32"/>
        </w:rPr>
        <w:t>4.65</w:t>
      </w:r>
      <w:r>
        <w:rPr>
          <w:rFonts w:ascii="Times New Roman" w:hAnsi="Times New Roman" w:eastAsia="仿宋_GB2312" w:cs="Times New Roman"/>
          <w:color w:val="auto"/>
          <w:sz w:val="32"/>
          <w:szCs w:val="32"/>
        </w:rPr>
        <w:t>%，主要是因为</w:t>
      </w:r>
      <w:r>
        <w:rPr>
          <w:rFonts w:hint="default" w:ascii="Times New Roman" w:hAnsi="Times New Roman" w:eastAsia="仿宋_GB2312" w:cs="Times New Roman"/>
          <w:color w:val="auto"/>
          <w:sz w:val="32"/>
          <w:szCs w:val="32"/>
        </w:rPr>
        <w:t>2024年政策性普调工资，单位</w:t>
      </w:r>
      <w:r>
        <w:rPr>
          <w:rFonts w:ascii="Times New Roman" w:hAnsi="Times New Roman" w:eastAsia="仿宋_GB2312" w:cs="Times New Roman"/>
          <w:color w:val="auto"/>
          <w:sz w:val="32"/>
          <w:szCs w:val="32"/>
        </w:rPr>
        <w:t>人员工资、住房公积金、保险等都相应增加，从而导致工资福利性开支增加。</w:t>
      </w:r>
    </w:p>
    <w:p>
      <w:pPr>
        <w:pStyle w:val="14"/>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（二）一般公共预算财政拨款支出决算结构情况</w:t>
      </w:r>
    </w:p>
    <w:p>
      <w:pPr>
        <w:pStyle w:val="14"/>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仿宋_GB2312" w:cs="Times New Roman"/>
          <w:color w:val="auto"/>
          <w:sz w:val="32"/>
          <w:szCs w:val="32"/>
        </w:rPr>
        <w:t>2024年度财政拨款支出</w:t>
      </w:r>
      <w:r>
        <w:rPr>
          <w:rFonts w:hint="default" w:ascii="Times New Roman" w:hAnsi="Times New Roman" w:eastAsia="仿宋_GB2312" w:cs="Times New Roman"/>
          <w:color w:val="auto"/>
          <w:sz w:val="32"/>
          <w:szCs w:val="32"/>
        </w:rPr>
        <w:t>473.27</w:t>
      </w:r>
      <w:r>
        <w:rPr>
          <w:rFonts w:ascii="Times New Roman" w:hAnsi="Times New Roman" w:eastAsia="仿宋_GB2312" w:cs="Times New Roman"/>
          <w:color w:val="auto"/>
          <w:sz w:val="32"/>
          <w:szCs w:val="32"/>
        </w:rPr>
        <w:t>万元，主要用于以下方面：一般公共服务（类）支出</w:t>
      </w:r>
      <w:r>
        <w:rPr>
          <w:rFonts w:hint="default" w:ascii="Times New Roman" w:hAnsi="Times New Roman" w:eastAsia="仿宋_GB2312" w:cs="Times New Roman"/>
          <w:color w:val="auto"/>
          <w:sz w:val="32"/>
          <w:szCs w:val="32"/>
        </w:rPr>
        <w:t>316.61</w:t>
      </w:r>
      <w:r>
        <w:rPr>
          <w:rFonts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66.9</w:t>
      </w:r>
      <w:r>
        <w:rPr>
          <w:rFonts w:ascii="Times New Roman" w:hAnsi="Times New Roman" w:eastAsia="仿宋_GB2312" w:cs="Times New Roman"/>
          <w:color w:val="auto"/>
          <w:sz w:val="32"/>
          <w:szCs w:val="32"/>
        </w:rPr>
        <w:t>%；社会保障和就业（类）支出</w:t>
      </w:r>
      <w:r>
        <w:rPr>
          <w:rFonts w:hint="default" w:ascii="Times New Roman" w:hAnsi="Times New Roman" w:eastAsia="仿宋_GB2312" w:cs="Times New Roman"/>
          <w:color w:val="auto"/>
          <w:sz w:val="32"/>
          <w:szCs w:val="32"/>
        </w:rPr>
        <w:t>31.51万元，占6.65%；卫生健康（类）支出13.05万元，占2.76%；</w:t>
      </w:r>
      <w:r>
        <w:rPr>
          <w:rFonts w:ascii="Times New Roman" w:hAnsi="Times New Roman" w:eastAsia="仿宋_GB2312" w:cs="Times New Roman"/>
          <w:color w:val="auto"/>
          <w:sz w:val="32"/>
          <w:szCs w:val="32"/>
        </w:rPr>
        <w:t>农林水（类）支出</w:t>
      </w:r>
      <w:r>
        <w:rPr>
          <w:rFonts w:hint="default" w:ascii="Times New Roman" w:hAnsi="Times New Roman" w:eastAsia="仿宋_GB2312" w:cs="Times New Roman"/>
          <w:color w:val="auto"/>
          <w:sz w:val="32"/>
          <w:szCs w:val="32"/>
        </w:rPr>
        <w:t>112.11</w:t>
      </w:r>
      <w:r>
        <w:rPr>
          <w:rFonts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23.69</w:t>
      </w:r>
      <w:r>
        <w:rPr>
          <w:rFonts w:ascii="Times New Roman" w:hAnsi="Times New Roman" w:eastAsia="仿宋_GB2312" w:cs="Times New Roman"/>
          <w:color w:val="auto"/>
          <w:sz w:val="32"/>
          <w:szCs w:val="32"/>
        </w:rPr>
        <w:t>%。</w:t>
      </w:r>
      <w:r>
        <w:rPr>
          <w:rFonts w:ascii="Times New Roman" w:hAnsi="Times New Roman" w:eastAsia="楷体_GB2312" w:cs="Times New Roman"/>
          <w:b/>
          <w:color w:val="auto"/>
          <w:sz w:val="32"/>
          <w:szCs w:val="32"/>
        </w:rPr>
        <w:t>（三）一般公共预算财政拨款支出决算具体情况</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2024年度财政拨款支出年初预算数为</w:t>
      </w:r>
      <w:r>
        <w:rPr>
          <w:rFonts w:hint="default" w:ascii="Times New Roman" w:hAnsi="Times New Roman" w:eastAsia="仿宋_GB2312" w:cs="Times New Roman"/>
          <w:color w:val="auto"/>
          <w:sz w:val="32"/>
          <w:szCs w:val="32"/>
        </w:rPr>
        <w:t>389.66</w:t>
      </w:r>
      <w:r>
        <w:rPr>
          <w:rFonts w:ascii="Times New Roman" w:hAnsi="Times New Roman" w:eastAsia="仿宋_GB2312" w:cs="Times New Roman"/>
          <w:color w:val="auto"/>
          <w:sz w:val="32"/>
          <w:szCs w:val="32"/>
        </w:rPr>
        <w:t>万元，支出决算数为</w:t>
      </w:r>
      <w:r>
        <w:rPr>
          <w:rFonts w:hint="default" w:ascii="Times New Roman" w:hAnsi="Times New Roman" w:eastAsia="仿宋_GB2312" w:cs="Times New Roman"/>
          <w:color w:val="auto"/>
          <w:sz w:val="32"/>
          <w:szCs w:val="32"/>
        </w:rPr>
        <w:t>473.27</w:t>
      </w:r>
      <w:r>
        <w:rPr>
          <w:rFonts w:ascii="Times New Roman" w:hAnsi="Times New Roman" w:eastAsia="仿宋_GB2312" w:cs="Times New Roman"/>
          <w:color w:val="auto"/>
          <w:sz w:val="32"/>
          <w:szCs w:val="32"/>
        </w:rPr>
        <w:t>万元，完成年初预算的</w:t>
      </w:r>
      <w:r>
        <w:rPr>
          <w:rFonts w:hint="default" w:ascii="Times New Roman" w:hAnsi="Times New Roman" w:eastAsia="仿宋_GB2312" w:cs="Times New Roman"/>
          <w:color w:val="auto"/>
          <w:sz w:val="32"/>
          <w:szCs w:val="32"/>
        </w:rPr>
        <w:t>121.46</w:t>
      </w:r>
      <w:r>
        <w:rPr>
          <w:rFonts w:ascii="Times New Roman" w:hAnsi="Times New Roman" w:eastAsia="仿宋_GB2312" w:cs="Times New Roman"/>
          <w:color w:val="auto"/>
          <w:sz w:val="32"/>
          <w:szCs w:val="32"/>
        </w:rPr>
        <w:t>%，其中：</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1、一般公共服务（类）</w:t>
      </w:r>
      <w:r>
        <w:rPr>
          <w:rFonts w:hint="eastAsia" w:ascii="Times New Roman" w:hAnsi="Times New Roman" w:eastAsia="仿宋_GB2312"/>
          <w:color w:val="auto"/>
          <w:sz w:val="32"/>
          <w:szCs w:val="32"/>
        </w:rPr>
        <w:t>政府办公厅（室）及相关机构事务</w:t>
      </w:r>
      <w:r>
        <w:rPr>
          <w:rFonts w:ascii="Times New Roman" w:hAnsi="Times New Roman" w:eastAsia="仿宋_GB2312" w:cs="Times New Roman"/>
          <w:color w:val="auto"/>
          <w:sz w:val="32"/>
          <w:szCs w:val="32"/>
        </w:rPr>
        <w:t>（款）</w:t>
      </w:r>
      <w:r>
        <w:rPr>
          <w:rFonts w:hint="default" w:ascii="Times New Roman" w:hAnsi="Times New Roman" w:eastAsia="仿宋_GB2312"/>
          <w:color w:val="auto"/>
          <w:sz w:val="32"/>
          <w:szCs w:val="32"/>
        </w:rPr>
        <w:t>行政运行</w:t>
      </w:r>
      <w:r>
        <w:rPr>
          <w:rFonts w:ascii="Times New Roman" w:hAnsi="Times New Roman" w:eastAsia="仿宋_GB2312" w:cs="Times New Roman"/>
          <w:color w:val="auto"/>
          <w:sz w:val="32"/>
          <w:szCs w:val="32"/>
        </w:rPr>
        <w:t>（项）。</w:t>
      </w:r>
    </w:p>
    <w:p>
      <w:pPr>
        <w:pStyle w:val="14"/>
        <w:overflowPunct w:val="0"/>
        <w:autoSpaceDE/>
        <w:autoSpaceDN/>
        <w:spacing w:line="600" w:lineRule="exact"/>
        <w:ind w:firstLine="640" w:firstLineChars="200"/>
        <w:jc w:val="both"/>
        <w:rPr>
          <w:rFonts w:hint="default" w:ascii="Times New Roman" w:hAnsi="Times New Roman" w:eastAsia="楷体_GB2312" w:cs="Times New Roman"/>
          <w:b/>
          <w:bCs/>
          <w:i/>
          <w:color w:val="auto"/>
          <w:sz w:val="32"/>
          <w:szCs w:val="32"/>
        </w:rPr>
      </w:pPr>
      <w:r>
        <w:rPr>
          <w:rFonts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rPr>
        <w:t>330.31</w:t>
      </w:r>
      <w:r>
        <w:rPr>
          <w:rFonts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rPr>
        <w:t>316.61</w:t>
      </w:r>
      <w:r>
        <w:rPr>
          <w:rFonts w:ascii="Times New Roman" w:hAnsi="Times New Roman" w:eastAsia="仿宋_GB2312" w:cs="Times New Roman"/>
          <w:color w:val="auto"/>
          <w:sz w:val="32"/>
          <w:szCs w:val="32"/>
        </w:rPr>
        <w:t>万元，完成年初预算的</w:t>
      </w:r>
      <w:r>
        <w:rPr>
          <w:rFonts w:hint="default" w:ascii="Times New Roman" w:hAnsi="Times New Roman" w:eastAsia="仿宋_GB2312" w:cs="Times New Roman"/>
          <w:color w:val="auto"/>
          <w:sz w:val="32"/>
          <w:szCs w:val="32"/>
        </w:rPr>
        <w:t>95.85</w:t>
      </w:r>
      <w:r>
        <w:rPr>
          <w:rFonts w:ascii="Times New Roman" w:hAnsi="Times New Roman" w:eastAsia="仿宋_GB2312" w:cs="Times New Roman"/>
          <w:color w:val="auto"/>
          <w:sz w:val="32"/>
          <w:szCs w:val="32"/>
        </w:rPr>
        <w:t>%，决算数小于年初预算数的主要原因是：我单位</w:t>
      </w:r>
      <w:r>
        <w:rPr>
          <w:rFonts w:hint="default" w:ascii="Times New Roman" w:hAnsi="Times New Roman" w:eastAsia="仿宋_GB2312" w:cs="Times New Roman"/>
          <w:color w:val="auto"/>
          <w:sz w:val="32"/>
          <w:szCs w:val="32"/>
        </w:rPr>
        <w:t>2024年有人员调出，但年初预算为全年预算数。</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w:t>
      </w:r>
      <w:r>
        <w:rPr>
          <w:rFonts w:hint="eastAsia" w:ascii="Times New Roman" w:hAnsi="Times New Roman" w:eastAsia="仿宋_GB2312"/>
          <w:color w:val="auto"/>
          <w:sz w:val="32"/>
          <w:szCs w:val="32"/>
        </w:rPr>
        <w:t>社会保障和就业支出（类）行政事业单位养老支出（款）</w:t>
      </w:r>
      <w:r>
        <w:rPr>
          <w:rFonts w:hint="default" w:ascii="Times New Roman" w:hAnsi="Times New Roman" w:eastAsia="仿宋_GB2312"/>
          <w:color w:val="auto"/>
          <w:sz w:val="32"/>
          <w:szCs w:val="32"/>
        </w:rPr>
        <w:t>机关事业单位基本养老保险缴费支出</w:t>
      </w:r>
      <w:r>
        <w:rPr>
          <w:rFonts w:hint="eastAsia" w:ascii="Times New Roman" w:hAnsi="Times New Roman" w:eastAsia="仿宋_GB2312"/>
          <w:color w:val="auto"/>
          <w:sz w:val="32"/>
          <w:szCs w:val="32"/>
        </w:rPr>
        <w:t>（项）。</w:t>
      </w:r>
    </w:p>
    <w:p>
      <w:pPr>
        <w:pStyle w:val="14"/>
        <w:overflowPunct w:val="0"/>
        <w:autoSpaceDE/>
        <w:autoSpaceDN/>
        <w:spacing w:line="600" w:lineRule="exact"/>
        <w:ind w:firstLine="640" w:firstLineChars="200"/>
        <w:jc w:val="both"/>
        <w:rPr>
          <w:rFonts w:hint="default" w:ascii="Times New Roman" w:hAnsi="Times New Roman" w:eastAsia="楷体_GB2312" w:cs="Times New Roman"/>
          <w:b/>
          <w:bCs/>
          <w:i/>
          <w:color w:val="auto"/>
          <w:sz w:val="32"/>
          <w:szCs w:val="32"/>
        </w:rPr>
      </w:pPr>
      <w:r>
        <w:rPr>
          <w:rFonts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rPr>
        <w:t>45.66</w:t>
      </w:r>
      <w:r>
        <w:rPr>
          <w:rFonts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rPr>
        <w:t>31.51</w:t>
      </w:r>
      <w:r>
        <w:rPr>
          <w:rFonts w:ascii="Times New Roman" w:hAnsi="Times New Roman" w:eastAsia="仿宋_GB2312" w:cs="Times New Roman"/>
          <w:color w:val="auto"/>
          <w:sz w:val="32"/>
          <w:szCs w:val="32"/>
        </w:rPr>
        <w:t>万元，完成年初预算的</w:t>
      </w:r>
      <w:r>
        <w:rPr>
          <w:rFonts w:hint="default" w:ascii="Times New Roman" w:hAnsi="Times New Roman" w:eastAsia="仿宋_GB2312" w:cs="Times New Roman"/>
          <w:color w:val="auto"/>
          <w:sz w:val="32"/>
          <w:szCs w:val="32"/>
        </w:rPr>
        <w:t>69.01</w:t>
      </w:r>
      <w:r>
        <w:rPr>
          <w:rFonts w:ascii="Times New Roman" w:hAnsi="Times New Roman" w:eastAsia="仿宋_GB2312" w:cs="Times New Roman"/>
          <w:color w:val="auto"/>
          <w:sz w:val="32"/>
          <w:szCs w:val="32"/>
        </w:rPr>
        <w:t>%，决算数小于年初预算数的主要原因是：我单位</w:t>
      </w:r>
      <w:r>
        <w:rPr>
          <w:rFonts w:hint="default" w:ascii="Times New Roman" w:hAnsi="Times New Roman" w:eastAsia="仿宋_GB2312" w:cs="Times New Roman"/>
          <w:color w:val="auto"/>
          <w:sz w:val="32"/>
          <w:szCs w:val="32"/>
        </w:rPr>
        <w:t>2024年有人员调出，但年初预算为全年预算数。</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default" w:ascii="Times New Roman" w:hAnsi="Times New Roman" w:eastAsia="仿宋_GB2312" w:cs="Times New Roman"/>
          <w:color w:val="auto"/>
          <w:sz w:val="32"/>
          <w:szCs w:val="32"/>
        </w:rPr>
        <w:t>3、</w:t>
      </w:r>
      <w:r>
        <w:rPr>
          <w:rFonts w:hint="eastAsia" w:ascii="Times New Roman" w:hAnsi="Times New Roman" w:eastAsia="仿宋_GB2312"/>
          <w:color w:val="auto"/>
          <w:sz w:val="32"/>
          <w:szCs w:val="32"/>
        </w:rPr>
        <w:t>卫生健康支出（类）行政事业单位医疗（款）</w:t>
      </w:r>
      <w:r>
        <w:rPr>
          <w:rFonts w:hint="default" w:ascii="Times New Roman" w:hAnsi="Times New Roman" w:eastAsia="仿宋_GB2312"/>
          <w:color w:val="auto"/>
          <w:sz w:val="32"/>
          <w:szCs w:val="32"/>
        </w:rPr>
        <w:t>行政单位医疗</w:t>
      </w:r>
      <w:r>
        <w:rPr>
          <w:rFonts w:hint="eastAsia" w:ascii="Times New Roman" w:hAnsi="Times New Roman" w:eastAsia="仿宋_GB2312"/>
          <w:color w:val="auto"/>
          <w:sz w:val="32"/>
          <w:szCs w:val="32"/>
        </w:rPr>
        <w:t>（项）。</w:t>
      </w:r>
    </w:p>
    <w:p>
      <w:pPr>
        <w:pStyle w:val="14"/>
        <w:overflowPunct w:val="0"/>
        <w:autoSpaceDE/>
        <w:autoSpaceDN/>
        <w:spacing w:line="600" w:lineRule="exact"/>
        <w:ind w:firstLine="640" w:firstLineChars="200"/>
        <w:jc w:val="both"/>
        <w:rPr>
          <w:rFonts w:hint="default" w:ascii="Times New Roman" w:hAnsi="Times New Roman" w:eastAsia="楷体_GB2312" w:cs="Times New Roman"/>
          <w:b/>
          <w:bCs/>
          <w:i/>
          <w:color w:val="auto"/>
          <w:sz w:val="32"/>
          <w:szCs w:val="32"/>
        </w:rPr>
      </w:pPr>
      <w:r>
        <w:rPr>
          <w:rFonts w:hint="eastAsia" w:ascii="Times New Roman" w:hAnsi="Times New Roman" w:eastAsia="仿宋_GB2312"/>
          <w:color w:val="auto"/>
          <w:sz w:val="32"/>
          <w:szCs w:val="32"/>
        </w:rPr>
        <w:t>年初预算为</w:t>
      </w:r>
      <w:r>
        <w:rPr>
          <w:rFonts w:hint="default" w:ascii="Times New Roman" w:hAnsi="Times New Roman" w:eastAsia="仿宋_GB2312"/>
          <w:color w:val="auto"/>
          <w:sz w:val="32"/>
          <w:szCs w:val="32"/>
        </w:rPr>
        <w:t>13.69</w:t>
      </w:r>
      <w:r>
        <w:rPr>
          <w:rFonts w:hint="eastAsia" w:ascii="Times New Roman" w:hAnsi="Times New Roman" w:eastAsia="仿宋_GB2312"/>
          <w:color w:val="auto"/>
          <w:sz w:val="32"/>
          <w:szCs w:val="32"/>
        </w:rPr>
        <w:t>万元，支出决算为</w:t>
      </w:r>
      <w:r>
        <w:rPr>
          <w:rFonts w:hint="default" w:ascii="Times New Roman" w:hAnsi="Times New Roman" w:eastAsia="仿宋_GB2312"/>
          <w:color w:val="auto"/>
          <w:sz w:val="32"/>
          <w:szCs w:val="32"/>
        </w:rPr>
        <w:t>13.05</w:t>
      </w:r>
      <w:r>
        <w:rPr>
          <w:rFonts w:hint="eastAsia" w:ascii="Times New Roman" w:hAnsi="Times New Roman" w:eastAsia="仿宋_GB2312"/>
          <w:color w:val="auto"/>
          <w:sz w:val="32"/>
          <w:szCs w:val="32"/>
        </w:rPr>
        <w:t>万元，完成年初预算的</w:t>
      </w:r>
      <w:r>
        <w:rPr>
          <w:rFonts w:hint="default" w:ascii="Times New Roman" w:hAnsi="Times New Roman" w:eastAsia="仿宋_GB2312"/>
          <w:color w:val="auto"/>
          <w:sz w:val="32"/>
          <w:szCs w:val="32"/>
        </w:rPr>
        <w:t>95.33</w:t>
      </w:r>
      <w:r>
        <w:rPr>
          <w:rFonts w:hint="eastAsia" w:ascii="Times New Roman" w:hAnsi="Times New Roman" w:eastAsia="仿宋_GB2312"/>
          <w:color w:val="auto"/>
          <w:sz w:val="32"/>
          <w:szCs w:val="32"/>
        </w:rPr>
        <w:t>%，决算数小于年初预算数的主要原因是：</w:t>
      </w:r>
      <w:r>
        <w:rPr>
          <w:rFonts w:ascii="Times New Roman" w:hAnsi="Times New Roman" w:eastAsia="仿宋_GB2312" w:cs="Times New Roman"/>
          <w:color w:val="auto"/>
          <w:sz w:val="32"/>
          <w:szCs w:val="32"/>
        </w:rPr>
        <w:t>我单位</w:t>
      </w:r>
      <w:r>
        <w:rPr>
          <w:rFonts w:hint="default" w:ascii="Times New Roman" w:hAnsi="Times New Roman" w:eastAsia="仿宋_GB2312" w:cs="Times New Roman"/>
          <w:color w:val="auto"/>
          <w:sz w:val="32"/>
          <w:szCs w:val="32"/>
        </w:rPr>
        <w:t>2024年有人员调出，但年初预算为全年预算数。</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4、</w:t>
      </w:r>
      <w:r>
        <w:rPr>
          <w:rFonts w:hint="eastAsia" w:ascii="Times New Roman" w:hAnsi="Times New Roman" w:eastAsia="仿宋_GB2312"/>
          <w:color w:val="auto"/>
          <w:sz w:val="32"/>
          <w:szCs w:val="32"/>
        </w:rPr>
        <w:t>农林水支出（类）水利（款）</w:t>
      </w:r>
      <w:r>
        <w:rPr>
          <w:rFonts w:hint="default" w:ascii="Times New Roman" w:hAnsi="Times New Roman" w:eastAsia="仿宋_GB2312"/>
          <w:color w:val="auto"/>
          <w:sz w:val="32"/>
          <w:szCs w:val="32"/>
        </w:rPr>
        <w:t>大中型水库移民后期扶持专项支出</w:t>
      </w:r>
      <w:r>
        <w:rPr>
          <w:rFonts w:hint="eastAsia" w:ascii="Times New Roman" w:hAnsi="Times New Roman" w:eastAsia="仿宋_GB2312"/>
          <w:color w:val="auto"/>
          <w:sz w:val="32"/>
          <w:szCs w:val="32"/>
        </w:rPr>
        <w:t>（项）。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万元，支出决算为</w:t>
      </w:r>
      <w:r>
        <w:rPr>
          <w:rFonts w:hint="default" w:ascii="Times New Roman" w:hAnsi="Times New Roman" w:eastAsia="仿宋_GB2312"/>
          <w:color w:val="auto"/>
          <w:sz w:val="32"/>
          <w:szCs w:val="32"/>
        </w:rPr>
        <w:t>58.6</w:t>
      </w:r>
      <w:r>
        <w:rPr>
          <w:rFonts w:hint="eastAsia" w:ascii="Times New Roman" w:hAnsi="Times New Roman" w:eastAsia="仿宋_GB2312"/>
          <w:color w:val="auto"/>
          <w:sz w:val="32"/>
          <w:szCs w:val="32"/>
        </w:rPr>
        <w:t>万元，</w:t>
      </w:r>
      <w:r>
        <w:rPr>
          <w:rFonts w:hint="default" w:ascii="Times New Roman" w:hAnsi="Times New Roman" w:eastAsia="仿宋_GB2312"/>
          <w:color w:val="auto"/>
          <w:sz w:val="32"/>
          <w:szCs w:val="32"/>
        </w:rPr>
        <w:t>由于预算数为0，无法计算百分比</w:t>
      </w:r>
      <w:r>
        <w:rPr>
          <w:rFonts w:hint="eastAsia" w:ascii="Times New Roman" w:hAnsi="Times New Roman" w:eastAsia="仿宋_GB2312"/>
          <w:color w:val="auto"/>
          <w:sz w:val="32"/>
          <w:szCs w:val="32"/>
        </w:rPr>
        <w:t>，决算数大于年初预算数的主要原因是：</w:t>
      </w:r>
      <w:r>
        <w:rPr>
          <w:rFonts w:hint="default" w:ascii="Times New Roman" w:hAnsi="Times New Roman" w:eastAsia="仿宋_GB2312"/>
          <w:color w:val="auto"/>
          <w:sz w:val="32"/>
          <w:szCs w:val="32"/>
        </w:rPr>
        <w:t>省拨中央大中型水库后期扶持资金58.6万元。</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rPr>
        <w:t>5</w:t>
      </w:r>
      <w:r>
        <w:rPr>
          <w:rFonts w:hint="eastAsia" w:ascii="Times New Roman" w:hAnsi="Times New Roman" w:eastAsia="仿宋_GB2312"/>
          <w:color w:val="auto"/>
          <w:sz w:val="32"/>
          <w:szCs w:val="32"/>
        </w:rPr>
        <w:t>、农林水支出（类）水利（款）</w:t>
      </w:r>
      <w:r>
        <w:rPr>
          <w:rFonts w:hint="default" w:ascii="Times New Roman" w:hAnsi="Times New Roman" w:eastAsia="仿宋_GB2312"/>
          <w:color w:val="auto"/>
          <w:sz w:val="32"/>
          <w:szCs w:val="32"/>
        </w:rPr>
        <w:t>其他水利支出</w:t>
      </w:r>
      <w:r>
        <w:rPr>
          <w:rFonts w:hint="eastAsia" w:ascii="Times New Roman" w:hAnsi="Times New Roman" w:eastAsia="仿宋_GB2312"/>
          <w:color w:val="auto"/>
          <w:sz w:val="32"/>
          <w:szCs w:val="32"/>
        </w:rPr>
        <w:t>（项）。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万元，支出决算为</w:t>
      </w:r>
      <w:r>
        <w:rPr>
          <w:rFonts w:hint="default" w:ascii="Times New Roman" w:hAnsi="Times New Roman" w:eastAsia="仿宋_GB2312"/>
          <w:color w:val="auto"/>
          <w:sz w:val="32"/>
          <w:szCs w:val="32"/>
        </w:rPr>
        <w:t>53.5</w:t>
      </w:r>
      <w:r>
        <w:rPr>
          <w:rFonts w:hint="eastAsia" w:ascii="Times New Roman" w:hAnsi="Times New Roman" w:eastAsia="仿宋_GB2312"/>
          <w:color w:val="auto"/>
          <w:sz w:val="32"/>
          <w:szCs w:val="32"/>
        </w:rPr>
        <w:t>万元，</w:t>
      </w:r>
      <w:r>
        <w:rPr>
          <w:rFonts w:hint="default" w:ascii="Times New Roman" w:hAnsi="Times New Roman" w:eastAsia="仿宋_GB2312"/>
          <w:color w:val="auto"/>
          <w:sz w:val="32"/>
          <w:szCs w:val="32"/>
        </w:rPr>
        <w:t>由于预算数为0，无法计算百分比</w:t>
      </w:r>
      <w:r>
        <w:rPr>
          <w:rFonts w:hint="eastAsia" w:ascii="Times New Roman" w:hAnsi="Times New Roman" w:eastAsia="仿宋_GB2312"/>
          <w:color w:val="auto"/>
          <w:sz w:val="32"/>
          <w:szCs w:val="32"/>
        </w:rPr>
        <w:t>，决算数大于年初预算数的主要原因是：</w:t>
      </w:r>
      <w:r>
        <w:rPr>
          <w:rFonts w:hint="default" w:ascii="Times New Roman" w:hAnsi="Times New Roman" w:eastAsia="仿宋_GB2312"/>
          <w:color w:val="auto"/>
          <w:sz w:val="32"/>
          <w:szCs w:val="32"/>
        </w:rPr>
        <w:t>省拨后扶维稳工作经费34.38万元、全市移民存量资金监督检查工作经费8.42万元和移民工作经费补助资金10.66万元。</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六、一般公共预算财政拨款基本支出决算情况说明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2024年度一般公共预算财政拨款基本支出</w:t>
      </w:r>
      <w:r>
        <w:rPr>
          <w:rFonts w:hint="default" w:ascii="Times New Roman" w:hAnsi="Times New Roman" w:eastAsia="仿宋_GB2312" w:cs="Times New Roman"/>
          <w:color w:val="auto"/>
          <w:sz w:val="32"/>
          <w:szCs w:val="32"/>
        </w:rPr>
        <w:t>361.17</w:t>
      </w:r>
      <w:r>
        <w:rPr>
          <w:rFonts w:ascii="Times New Roman" w:hAnsi="Times New Roman" w:eastAsia="仿宋_GB2312" w:cs="Times New Roman"/>
          <w:color w:val="auto"/>
          <w:sz w:val="32"/>
          <w:szCs w:val="32"/>
        </w:rPr>
        <w:t>万元，其中：</w:t>
      </w:r>
    </w:p>
    <w:p>
      <w:pPr>
        <w:pStyle w:val="14"/>
        <w:overflowPunct w:val="0"/>
        <w:autoSpaceDE/>
        <w:autoSpaceDN/>
        <w:spacing w:line="600" w:lineRule="exact"/>
        <w:ind w:firstLine="640" w:firstLineChars="200"/>
        <w:jc w:val="both"/>
        <w:rPr>
          <w:rFonts w:hint="eastAsia" w:ascii="Times New Roman" w:hAnsi="Times New Roman" w:eastAsia="仿宋_GB2312"/>
          <w:color w:val="auto"/>
          <w:sz w:val="32"/>
          <w:szCs w:val="32"/>
        </w:rPr>
      </w:pPr>
      <w:r>
        <w:rPr>
          <w:rFonts w:ascii="Times New Roman" w:hAnsi="Times New Roman" w:eastAsia="仿宋_GB2312" w:cs="Times New Roman"/>
          <w:b/>
          <w:bCs/>
          <w:color w:val="auto"/>
          <w:sz w:val="32"/>
          <w:szCs w:val="32"/>
        </w:rPr>
        <w:t>人员经费</w:t>
      </w:r>
      <w:r>
        <w:rPr>
          <w:rFonts w:hint="default" w:ascii="Times New Roman" w:hAnsi="Times New Roman" w:eastAsia="仿宋_GB2312" w:cs="Times New Roman"/>
          <w:color w:val="auto"/>
          <w:sz w:val="32"/>
          <w:szCs w:val="32"/>
        </w:rPr>
        <w:t>337.75</w:t>
      </w:r>
      <w:r>
        <w:rPr>
          <w:rFonts w:ascii="Times New Roman" w:hAnsi="Times New Roman" w:eastAsia="仿宋_GB2312" w:cs="Times New Roman"/>
          <w:color w:val="auto"/>
          <w:sz w:val="32"/>
          <w:szCs w:val="32"/>
        </w:rPr>
        <w:t>万元，占基本支出的</w:t>
      </w:r>
      <w:r>
        <w:rPr>
          <w:rFonts w:hint="default" w:ascii="Times New Roman" w:hAnsi="Times New Roman" w:eastAsia="仿宋_GB2312" w:cs="Times New Roman"/>
          <w:color w:val="auto"/>
          <w:sz w:val="32"/>
          <w:szCs w:val="32"/>
        </w:rPr>
        <w:t>93.52</w:t>
      </w:r>
      <w:r>
        <w:rPr>
          <w:rFonts w:ascii="Times New Roman" w:hAnsi="Times New Roman" w:eastAsia="仿宋_GB2312" w:cs="Times New Roman"/>
          <w:color w:val="auto"/>
          <w:sz w:val="32"/>
          <w:szCs w:val="32"/>
        </w:rPr>
        <w:t>%,主要包括基本工资、津贴补贴、奖金、伙食补助费、</w:t>
      </w:r>
      <w:r>
        <w:rPr>
          <w:rFonts w:hint="eastAsia" w:ascii="Times New Roman" w:hAnsi="Times New Roman" w:eastAsia="仿宋_GB2312"/>
          <w:color w:val="auto"/>
          <w:sz w:val="32"/>
          <w:szCs w:val="32"/>
        </w:rPr>
        <w:t>机关事业单位基本养老保险缴费、职工基本医疗保险缴费、公务员医疗补助缴费</w:t>
      </w:r>
      <w:r>
        <w:rPr>
          <w:rFonts w:hint="default" w:ascii="Times New Roman" w:hAnsi="Times New Roman" w:eastAsia="仿宋_GB2312"/>
          <w:color w:val="auto"/>
          <w:sz w:val="32"/>
          <w:szCs w:val="32"/>
        </w:rPr>
        <w:t>、</w:t>
      </w:r>
      <w:r>
        <w:rPr>
          <w:rFonts w:hint="eastAsia" w:ascii="Times New Roman" w:hAnsi="Times New Roman" w:eastAsia="仿宋_GB2312"/>
          <w:color w:val="auto"/>
          <w:sz w:val="32"/>
          <w:szCs w:val="32"/>
        </w:rPr>
        <w:t>其他社会保障缴费、</w:t>
      </w:r>
      <w:r>
        <w:rPr>
          <w:rFonts w:hint="default" w:ascii="Times New Roman" w:hAnsi="Times New Roman" w:eastAsia="仿宋_GB2312"/>
          <w:color w:val="auto"/>
          <w:sz w:val="32"/>
          <w:szCs w:val="32"/>
        </w:rPr>
        <w:t>住房公积金、其他工资福利支出、</w:t>
      </w:r>
      <w:r>
        <w:rPr>
          <w:rFonts w:hint="eastAsia" w:ascii="Times New Roman" w:hAnsi="Times New Roman" w:eastAsia="仿宋_GB2312"/>
          <w:color w:val="auto"/>
          <w:sz w:val="32"/>
          <w:szCs w:val="32"/>
        </w:rPr>
        <w:t>生活补助、医疗费补助</w:t>
      </w:r>
      <w:r>
        <w:rPr>
          <w:rFonts w:hint="default" w:ascii="Times New Roman" w:hAnsi="Times New Roman" w:eastAsia="仿宋_GB2312"/>
          <w:color w:val="auto"/>
          <w:sz w:val="32"/>
          <w:szCs w:val="32"/>
        </w:rPr>
        <w:t>、奖励金、</w:t>
      </w:r>
      <w:r>
        <w:rPr>
          <w:rFonts w:hint="eastAsia" w:ascii="Times New Roman" w:hAnsi="Times New Roman" w:eastAsia="仿宋_GB2312"/>
          <w:color w:val="auto"/>
          <w:sz w:val="32"/>
          <w:szCs w:val="32"/>
        </w:rPr>
        <w:t>其他对个人和家庭的补助支出。</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b/>
          <w:bCs/>
          <w:color w:val="auto"/>
          <w:sz w:val="32"/>
          <w:szCs w:val="32"/>
        </w:rPr>
        <w:t>公用经费</w:t>
      </w:r>
      <w:r>
        <w:rPr>
          <w:rFonts w:hint="default" w:ascii="Times New Roman" w:hAnsi="Times New Roman" w:eastAsia="仿宋_GB2312" w:cs="Times New Roman"/>
          <w:color w:val="auto"/>
          <w:sz w:val="32"/>
          <w:szCs w:val="32"/>
        </w:rPr>
        <w:t>23.42</w:t>
      </w:r>
      <w:r>
        <w:rPr>
          <w:rFonts w:ascii="Times New Roman" w:hAnsi="Times New Roman" w:eastAsia="仿宋_GB2312" w:cs="Times New Roman"/>
          <w:color w:val="auto"/>
          <w:sz w:val="32"/>
          <w:szCs w:val="32"/>
        </w:rPr>
        <w:t>万元，占基本支出的</w:t>
      </w:r>
      <w:r>
        <w:rPr>
          <w:rFonts w:hint="default" w:ascii="Times New Roman" w:hAnsi="Times New Roman" w:eastAsia="仿宋_GB2312" w:cs="Times New Roman"/>
          <w:color w:val="auto"/>
          <w:sz w:val="32"/>
          <w:szCs w:val="32"/>
        </w:rPr>
        <w:t>6.48</w:t>
      </w:r>
      <w:r>
        <w:rPr>
          <w:rFonts w:ascii="Times New Roman" w:hAnsi="Times New Roman" w:eastAsia="仿宋_GB2312" w:cs="Times New Roman"/>
          <w:color w:val="auto"/>
          <w:sz w:val="32"/>
          <w:szCs w:val="32"/>
        </w:rPr>
        <w:t>%，主要包括劳务费、工会经费、福利费、其他交通费用。</w:t>
      </w:r>
    </w:p>
    <w:p>
      <w:pPr>
        <w:pStyle w:val="14"/>
        <w:overflowPunct w:val="0"/>
        <w:autoSpaceDE/>
        <w:autoSpaceDN/>
        <w:spacing w:line="600" w:lineRule="exact"/>
        <w:ind w:firstLine="640" w:firstLineChars="200"/>
        <w:jc w:val="both"/>
        <w:rPr>
          <w:rFonts w:ascii="Times New Roman" w:hAnsi="Times New Roman" w:eastAsia="仿宋_GB2312" w:cs="Times New Roman"/>
          <w:b/>
          <w:color w:val="auto"/>
          <w:sz w:val="32"/>
          <w:szCs w:val="32"/>
        </w:rPr>
      </w:pPr>
      <w:r>
        <w:rPr>
          <w:rFonts w:ascii="Times New Roman" w:hAnsi="Times New Roman" w:cs="Times New Roman"/>
          <w:bCs/>
          <w:color w:val="auto"/>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pPr>
        <w:pStyle w:val="14"/>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（一）“三公”经费财政拨款支出决算总体情况说明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highlight w:val="yellow"/>
        </w:rPr>
      </w:pPr>
      <w:r>
        <w:rPr>
          <w:rFonts w:ascii="Times New Roman" w:hAnsi="Times New Roman" w:eastAsia="仿宋_GB2312" w:cs="Times New Roman"/>
          <w:color w:val="auto"/>
          <w:sz w:val="32"/>
          <w:szCs w:val="32"/>
        </w:rPr>
        <w:t>2024年度“三公”经费财政拨款支出预算为</w:t>
      </w:r>
      <w:r>
        <w:rPr>
          <w:rFonts w:hint="default" w:ascii="Times New Roman" w:hAnsi="Times New Roman" w:eastAsia="仿宋_GB2312" w:cs="Times New Roman"/>
          <w:color w:val="auto"/>
          <w:sz w:val="32"/>
          <w:szCs w:val="32"/>
        </w:rPr>
        <w:t>9.5</w:t>
      </w:r>
      <w:r>
        <w:rPr>
          <w:rFonts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rPr>
        <w:t>9.5</w:t>
      </w:r>
      <w:r>
        <w:rPr>
          <w:rFonts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%；与上年相比增加</w:t>
      </w:r>
      <w:r>
        <w:rPr>
          <w:rFonts w:hint="default" w:ascii="Times New Roman" w:hAnsi="Times New Roman" w:eastAsia="仿宋_GB2312" w:cs="Times New Roman"/>
          <w:color w:val="auto"/>
          <w:sz w:val="32"/>
          <w:szCs w:val="32"/>
        </w:rPr>
        <w:t>4.1</w:t>
      </w:r>
      <w:r>
        <w:rPr>
          <w:rFonts w:ascii="Times New Roman" w:hAnsi="Times New Roman" w:eastAsia="仿宋_GB2312" w:cs="Times New Roman"/>
          <w:color w:val="auto"/>
          <w:sz w:val="32"/>
          <w:szCs w:val="32"/>
        </w:rPr>
        <w:t>万元，增长</w:t>
      </w:r>
      <w:r>
        <w:rPr>
          <w:rFonts w:hint="default" w:ascii="Times New Roman" w:hAnsi="Times New Roman" w:eastAsia="仿宋_GB2312" w:cs="Times New Roman"/>
          <w:color w:val="auto"/>
          <w:sz w:val="32"/>
          <w:szCs w:val="32"/>
        </w:rPr>
        <w:t>70</w:t>
      </w:r>
      <w:r>
        <w:rPr>
          <w:rFonts w:ascii="Times New Roman" w:hAnsi="Times New Roman" w:eastAsia="仿宋_GB2312" w:cs="Times New Roman"/>
          <w:color w:val="auto"/>
          <w:sz w:val="32"/>
          <w:szCs w:val="32"/>
        </w:rPr>
        <w:t>%，决算数与预算数一致。</w:t>
      </w:r>
    </w:p>
    <w:p>
      <w:pPr>
        <w:pStyle w:val="14"/>
        <w:overflowPunct w:val="0"/>
        <w:autoSpaceDE/>
        <w:autoSpaceDN/>
        <w:spacing w:line="600" w:lineRule="exact"/>
        <w:ind w:firstLine="640" w:firstLineChars="200"/>
        <w:jc w:val="both"/>
        <w:rPr>
          <w:rFonts w:ascii="Times New Roman" w:hAnsi="Times New Roman" w:eastAsia="楷体_GB2312" w:cs="Times New Roman"/>
          <w:b/>
          <w:color w:val="auto"/>
          <w:sz w:val="32"/>
          <w:szCs w:val="32"/>
        </w:rPr>
      </w:pPr>
      <w:r>
        <w:rPr>
          <w:rFonts w:ascii="Times New Roman" w:hAnsi="Times New Roman" w:eastAsia="楷体_GB2312" w:cs="Times New Roman"/>
          <w:b/>
          <w:color w:val="auto"/>
          <w:sz w:val="32"/>
          <w:szCs w:val="32"/>
        </w:rPr>
        <w:t>（二）“三公”经费财政拨款支出决算具体情况说明</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ascii="Times New Roman" w:hAnsi="Times New Roman" w:eastAsia="仿宋_GB2312" w:cs="Times New Roman"/>
          <w:color w:val="auto"/>
          <w:sz w:val="32"/>
          <w:szCs w:val="32"/>
        </w:rPr>
        <w:t>1.因公出国（境）费支出预算为</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w:t>
      </w:r>
      <w:r>
        <w:rPr>
          <w:rFonts w:hint="eastAsia" w:ascii="Times New Roman" w:hAnsi="Times New Roman" w:eastAsia="仿宋_GB2312"/>
          <w:color w:val="auto"/>
          <w:sz w:val="32"/>
          <w:szCs w:val="32"/>
        </w:rPr>
        <w:t>决算数</w:t>
      </w:r>
      <w:r>
        <w:rPr>
          <w:rFonts w:hint="default" w:ascii="Times New Roman" w:hAnsi="Times New Roman" w:eastAsia="仿宋_GB2312"/>
          <w:color w:val="auto"/>
          <w:sz w:val="32"/>
          <w:szCs w:val="32"/>
        </w:rPr>
        <w:t>与</w:t>
      </w:r>
      <w:r>
        <w:rPr>
          <w:rFonts w:hint="eastAsia" w:ascii="Times New Roman" w:hAnsi="Times New Roman" w:eastAsia="仿宋_GB2312"/>
          <w:color w:val="auto"/>
          <w:sz w:val="32"/>
          <w:szCs w:val="32"/>
        </w:rPr>
        <w:t>预算数</w:t>
      </w:r>
      <w:r>
        <w:rPr>
          <w:rFonts w:hint="default" w:ascii="Times New Roman" w:hAnsi="Times New Roman" w:eastAsia="仿宋_GB2312"/>
          <w:color w:val="auto"/>
          <w:sz w:val="32"/>
          <w:szCs w:val="32"/>
        </w:rPr>
        <w:t>一致，</w:t>
      </w:r>
      <w:r>
        <w:rPr>
          <w:rFonts w:hint="eastAsia" w:ascii="Times New Roman" w:hAnsi="Times New Roman" w:eastAsia="仿宋_GB2312"/>
          <w:color w:val="auto"/>
          <w:sz w:val="32"/>
          <w:szCs w:val="32"/>
        </w:rPr>
        <w:t>与上年相比无变动</w:t>
      </w:r>
      <w:r>
        <w:rPr>
          <w:rFonts w:hint="default" w:ascii="Times New Roman" w:hAnsi="Times New Roman" w:eastAsia="仿宋_GB2312"/>
          <w:color w:val="auto"/>
          <w:sz w:val="32"/>
          <w:szCs w:val="32"/>
        </w:rPr>
        <w:t>。</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2.公务用车购置费及运行维护费支出预算为</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%；与上年相比无变化。</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公务用车运行维护费支出预算为</w:t>
      </w:r>
      <w:r>
        <w:rPr>
          <w:rFonts w:hint="default" w:ascii="Times New Roman" w:hAnsi="Times New Roman" w:eastAsia="仿宋_GB2312" w:cs="Times New Roman"/>
          <w:color w:val="auto"/>
          <w:sz w:val="32"/>
          <w:szCs w:val="32"/>
        </w:rPr>
        <w:t>8</w:t>
      </w:r>
      <w:r>
        <w:rPr>
          <w:rFonts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rPr>
        <w:t>8</w:t>
      </w:r>
      <w:r>
        <w:rPr>
          <w:rFonts w:ascii="Times New Roman" w:hAnsi="Times New Roman" w:eastAsia="仿宋_GB2312" w:cs="Times New Roman"/>
          <w:color w:val="auto"/>
          <w:sz w:val="32"/>
          <w:szCs w:val="32"/>
        </w:rPr>
        <w:t>万元，主要是公务用车运行维护费支出，完成预算的</w:t>
      </w:r>
      <w:r>
        <w:rPr>
          <w:rFonts w:hint="default"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%；与上年相比增加</w:t>
      </w:r>
      <w:r>
        <w:rPr>
          <w:rFonts w:hint="default" w:ascii="Times New Roman" w:hAnsi="Times New Roman" w:eastAsia="仿宋_GB2312" w:cs="Times New Roman"/>
          <w:color w:val="auto"/>
          <w:sz w:val="32"/>
          <w:szCs w:val="32"/>
        </w:rPr>
        <w:t>4.5</w:t>
      </w:r>
      <w:r>
        <w:rPr>
          <w:rFonts w:ascii="Times New Roman" w:hAnsi="Times New Roman" w:eastAsia="仿宋_GB2312" w:cs="Times New Roman"/>
          <w:color w:val="auto"/>
          <w:sz w:val="32"/>
          <w:szCs w:val="32"/>
        </w:rPr>
        <w:t>万元，增长</w:t>
      </w:r>
      <w:r>
        <w:rPr>
          <w:rFonts w:hint="default" w:ascii="Times New Roman" w:hAnsi="Times New Roman" w:eastAsia="仿宋_GB2312" w:cs="Times New Roman"/>
          <w:color w:val="auto"/>
          <w:sz w:val="32"/>
          <w:szCs w:val="32"/>
        </w:rPr>
        <w:t>128.78</w:t>
      </w:r>
      <w:r>
        <w:rPr>
          <w:rFonts w:ascii="Times New Roman" w:hAnsi="Times New Roman" w:eastAsia="仿宋_GB2312" w:cs="Times New Roman"/>
          <w:color w:val="auto"/>
          <w:sz w:val="32"/>
          <w:szCs w:val="32"/>
        </w:rPr>
        <w:t>%。决算数与预算数一致。决算数大于上年数的主要原因是公车使用年限较长，日常维修养护成本增加，以及燃油消耗增加等。截止2024年12月31日，我单位开支财政拨款的公务用车保有量为</w:t>
      </w:r>
      <w:r>
        <w:rPr>
          <w:rFonts w:hint="default" w:ascii="Times New Roman" w:hAnsi="Times New Roman" w:eastAsia="仿宋_GB2312" w:cs="Times New Roman"/>
          <w:color w:val="auto"/>
          <w:sz w:val="32"/>
          <w:szCs w:val="32"/>
        </w:rPr>
        <w:t>2</w:t>
      </w:r>
      <w:r>
        <w:rPr>
          <w:rFonts w:ascii="Times New Roman" w:hAnsi="Times New Roman" w:eastAsia="仿宋_GB2312" w:cs="Times New Roman"/>
          <w:color w:val="auto"/>
          <w:sz w:val="32"/>
          <w:szCs w:val="32"/>
        </w:rPr>
        <w:t>辆。</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ascii="Times New Roman" w:hAnsi="Times New Roman" w:eastAsia="仿宋_GB2312" w:cs="Times New Roman"/>
          <w:color w:val="auto"/>
          <w:sz w:val="32"/>
          <w:szCs w:val="32"/>
        </w:rPr>
        <w:t>3.公务接待费支出预算为</w:t>
      </w:r>
      <w:r>
        <w:rPr>
          <w:rFonts w:hint="default" w:ascii="Times New Roman" w:hAnsi="Times New Roman" w:eastAsia="仿宋_GB2312" w:cs="Times New Roman"/>
          <w:color w:val="auto"/>
          <w:sz w:val="32"/>
          <w:szCs w:val="32"/>
        </w:rPr>
        <w:t>1.5</w:t>
      </w:r>
      <w:r>
        <w:rPr>
          <w:rFonts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rPr>
        <w:t>1.5</w:t>
      </w:r>
      <w:r>
        <w:rPr>
          <w:rFonts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%；与上年相比减少</w:t>
      </w:r>
      <w:r>
        <w:rPr>
          <w:rFonts w:hint="default" w:ascii="Times New Roman" w:hAnsi="Times New Roman" w:eastAsia="仿宋_GB2312" w:cs="Times New Roman"/>
          <w:color w:val="auto"/>
          <w:sz w:val="32"/>
          <w:szCs w:val="32"/>
        </w:rPr>
        <w:t>0.39</w:t>
      </w:r>
      <w:r>
        <w:rPr>
          <w:rFonts w:ascii="Times New Roman" w:hAnsi="Times New Roman" w:eastAsia="仿宋_GB2312" w:cs="Times New Roman"/>
          <w:color w:val="auto"/>
          <w:sz w:val="32"/>
          <w:szCs w:val="32"/>
        </w:rPr>
        <w:t>万元，降低</w:t>
      </w:r>
      <w:r>
        <w:rPr>
          <w:rFonts w:hint="default" w:ascii="Times New Roman" w:hAnsi="Times New Roman" w:eastAsia="仿宋_GB2312" w:cs="Times New Roman"/>
          <w:color w:val="auto"/>
          <w:sz w:val="32"/>
          <w:szCs w:val="32"/>
        </w:rPr>
        <w:t>20.65</w:t>
      </w:r>
      <w:r>
        <w:rPr>
          <w:rFonts w:ascii="Times New Roman" w:hAnsi="Times New Roman" w:eastAsia="仿宋_GB2312" w:cs="Times New Roman"/>
          <w:color w:val="auto"/>
          <w:sz w:val="32"/>
          <w:szCs w:val="32"/>
        </w:rPr>
        <w:t>%。决算数与预算数一致。2024年度</w:t>
      </w:r>
      <w:r>
        <w:rPr>
          <w:rFonts w:hint="eastAsia" w:ascii="Times New Roman" w:hAnsi="Times New Roman" w:eastAsia="仿宋_GB2312"/>
          <w:color w:val="auto"/>
          <w:sz w:val="32"/>
          <w:szCs w:val="32"/>
        </w:rPr>
        <w:t>共接待来访团组</w:t>
      </w:r>
      <w:r>
        <w:rPr>
          <w:rFonts w:hint="default" w:ascii="Times New Roman" w:hAnsi="Times New Roman" w:eastAsia="仿宋_GB2312"/>
          <w:color w:val="auto"/>
          <w:sz w:val="32"/>
          <w:szCs w:val="32"/>
        </w:rPr>
        <w:t>27</w:t>
      </w:r>
      <w:r>
        <w:rPr>
          <w:rFonts w:hint="eastAsia" w:ascii="Times New Roman" w:hAnsi="Times New Roman" w:eastAsia="仿宋_GB2312"/>
          <w:color w:val="auto"/>
          <w:sz w:val="32"/>
          <w:szCs w:val="32"/>
        </w:rPr>
        <w:t>个、来宾</w:t>
      </w:r>
      <w:r>
        <w:rPr>
          <w:rFonts w:hint="default" w:ascii="Times New Roman" w:hAnsi="Times New Roman" w:eastAsia="仿宋_GB2312"/>
          <w:color w:val="auto"/>
          <w:sz w:val="32"/>
          <w:szCs w:val="32"/>
        </w:rPr>
        <w:t>104</w:t>
      </w:r>
      <w:r>
        <w:rPr>
          <w:rFonts w:hint="eastAsia" w:ascii="Times New Roman" w:hAnsi="Times New Roman" w:eastAsia="仿宋_GB2312"/>
          <w:color w:val="auto"/>
          <w:sz w:val="32"/>
          <w:szCs w:val="32"/>
        </w:rPr>
        <w:t>人次，主要是</w:t>
      </w:r>
      <w:r>
        <w:rPr>
          <w:rFonts w:ascii="Times New Roman" w:hAnsi="Times New Roman" w:eastAsia="仿宋_GB2312"/>
          <w:color w:val="auto"/>
          <w:sz w:val="32"/>
          <w:szCs w:val="32"/>
        </w:rPr>
        <w:t>省及各县市区移民事务中心来怀公务活动</w:t>
      </w:r>
      <w:r>
        <w:rPr>
          <w:rFonts w:hint="eastAsia" w:ascii="Times New Roman" w:hAnsi="Times New Roman" w:eastAsia="仿宋_GB2312"/>
          <w:color w:val="auto"/>
          <w:sz w:val="32"/>
          <w:szCs w:val="32"/>
        </w:rPr>
        <w:t>发生的接待支出。</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八、政府性基金预算收入支出决算情况</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2024年度政府性基金预算财政拨款收入</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万元；年初结转和结余</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万元；支出</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万元，其中基本支出</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万元，项目支出</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万元；年末结转和结余</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w:t>
      </w:r>
      <w:r>
        <w:rPr>
          <w:rFonts w:hint="eastAsia" w:ascii="Times New Roman" w:hAnsi="Times New Roman" w:eastAsia="仿宋_GB2312"/>
          <w:color w:val="auto"/>
          <w:sz w:val="32"/>
          <w:szCs w:val="32"/>
          <w:lang w:val="en-US" w:eastAsia="zh-CN"/>
        </w:rPr>
        <w:t>本单位无政府性基金收支</w:t>
      </w:r>
      <w:r>
        <w:rPr>
          <w:rFonts w:hint="default" w:ascii="Times New Roman" w:hAnsi="Times New Roman" w:eastAsia="仿宋_GB2312"/>
          <w:color w:val="auto"/>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黑体" w:hAnsi="黑体" w:eastAsia="黑体" w:cs="黑体"/>
          <w:b w:val="0"/>
          <w:bCs/>
          <w:color w:val="auto"/>
          <w:sz w:val="32"/>
          <w:szCs w:val="32"/>
        </w:rPr>
      </w:pPr>
      <w:r>
        <w:rPr>
          <w:rFonts w:ascii="Times New Roman" w:hAnsi="Times New Roman" w:cs="Times New Roman"/>
          <w:bCs/>
          <w:color w:val="auto"/>
          <w:sz w:val="32"/>
          <w:szCs w:val="32"/>
        </w:rPr>
        <w:t>九、</w:t>
      </w:r>
      <w:r>
        <w:rPr>
          <w:rFonts w:hint="default" w:ascii="黑体" w:hAnsi="黑体" w:eastAsia="黑体" w:cs="黑体"/>
          <w:b w:val="0"/>
          <w:bCs/>
          <w:color w:val="auto"/>
          <w:sz w:val="32"/>
          <w:szCs w:val="32"/>
        </w:rPr>
        <w:t>国有资本经营预算收入支出决算</w:t>
      </w:r>
      <w:r>
        <w:rPr>
          <w:rFonts w:hint="default" w:hAnsi="黑体" w:cs="黑体"/>
          <w:b w:val="0"/>
          <w:bCs/>
          <w:color w:val="auto"/>
          <w:sz w:val="32"/>
          <w:szCs w:val="32"/>
        </w:rPr>
        <w:t>情况</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cs="Times New Roman"/>
          <w:bCs/>
          <w:color w:val="auto"/>
          <w:sz w:val="32"/>
          <w:szCs w:val="32"/>
        </w:rPr>
      </w:pPr>
      <w:r>
        <w:rPr>
          <w:rFonts w:hint="eastAsia" w:ascii="Times New Roman" w:hAnsi="Times New Roman" w:eastAsia="仿宋_GB2312"/>
          <w:color w:val="auto"/>
          <w:sz w:val="32"/>
          <w:szCs w:val="32"/>
        </w:rPr>
        <w:t>202</w:t>
      </w:r>
      <w:r>
        <w:rPr>
          <w:rFonts w:hint="default" w:ascii="Times New Roman" w:hAnsi="Times New Roman" w:eastAsia="仿宋_GB2312"/>
          <w:color w:val="auto"/>
          <w:sz w:val="32"/>
          <w:szCs w:val="32"/>
          <w:lang w:eastAsia="zh-CN"/>
        </w:rPr>
        <w:t>3</w:t>
      </w:r>
      <w:r>
        <w:rPr>
          <w:rFonts w:hint="eastAsia" w:ascii="Times New Roman" w:hAnsi="Times New Roman" w:eastAsia="仿宋_GB2312"/>
          <w:color w:val="auto"/>
          <w:sz w:val="32"/>
          <w:szCs w:val="32"/>
        </w:rPr>
        <w:t>年度国有资本经营预算收入</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万元；年初结转和结余</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万元；支出</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万元，其中基本支出</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万元，项目支出</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万元；年末结转和结余</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本单位无国有资本经营收支</w:t>
      </w:r>
      <w:r>
        <w:rPr>
          <w:rFonts w:hint="default" w:ascii="Times New Roman" w:hAnsi="Times New Roman" w:eastAsia="仿宋_GB2312"/>
          <w:color w:val="auto"/>
          <w:sz w:val="32"/>
          <w:szCs w:val="32"/>
          <w:lang w:eastAsia="zh-CN"/>
        </w:rPr>
        <w:t>。</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十、关于机关运行经费支出说明</w:t>
      </w:r>
    </w:p>
    <w:p>
      <w:pPr>
        <w:pStyle w:val="14"/>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本部门2024年度机关运行经费支出</w:t>
      </w:r>
      <w:r>
        <w:rPr>
          <w:rFonts w:hint="default" w:ascii="Times New Roman" w:hAnsi="Times New Roman" w:eastAsia="仿宋_GB2312" w:cs="Times New Roman"/>
          <w:color w:val="auto"/>
          <w:sz w:val="32"/>
          <w:szCs w:val="32"/>
        </w:rPr>
        <w:t>23.42</w:t>
      </w:r>
      <w:r>
        <w:rPr>
          <w:rFonts w:ascii="Times New Roman" w:hAnsi="Times New Roman" w:eastAsia="仿宋_GB2312" w:cs="Times New Roman"/>
          <w:color w:val="auto"/>
          <w:sz w:val="32"/>
          <w:szCs w:val="32"/>
        </w:rPr>
        <w:t>万元，比上年决算数减少</w:t>
      </w:r>
      <w:r>
        <w:rPr>
          <w:rFonts w:hint="default" w:ascii="Times New Roman" w:hAnsi="Times New Roman" w:eastAsia="仿宋_GB2312" w:cs="Times New Roman"/>
          <w:color w:val="auto"/>
          <w:sz w:val="32"/>
          <w:szCs w:val="32"/>
        </w:rPr>
        <w:t>4.68</w:t>
      </w:r>
      <w:r>
        <w:rPr>
          <w:rFonts w:ascii="Times New Roman" w:hAnsi="Times New Roman" w:eastAsia="仿宋_GB2312" w:cs="Times New Roman"/>
          <w:color w:val="auto"/>
          <w:sz w:val="32"/>
          <w:szCs w:val="32"/>
        </w:rPr>
        <w:t>万元，降低</w:t>
      </w:r>
      <w:r>
        <w:rPr>
          <w:rFonts w:hint="default" w:ascii="Times New Roman" w:hAnsi="Times New Roman" w:eastAsia="仿宋_GB2312" w:cs="Times New Roman"/>
          <w:color w:val="auto"/>
          <w:sz w:val="32"/>
          <w:szCs w:val="32"/>
        </w:rPr>
        <w:t>16.65</w:t>
      </w:r>
      <w:r>
        <w:rPr>
          <w:rFonts w:ascii="Times New Roman" w:hAnsi="Times New Roman" w:eastAsia="仿宋_GB2312" w:cs="Times New Roman"/>
          <w:color w:val="auto"/>
          <w:sz w:val="32"/>
          <w:szCs w:val="32"/>
        </w:rPr>
        <w:t>%。主要原因是：</w:t>
      </w:r>
      <w:r>
        <w:rPr>
          <w:rFonts w:hint="default" w:ascii="Times New Roman" w:hAnsi="Times New Roman" w:eastAsia="仿宋_GB2312" w:cs="Times New Roman"/>
          <w:color w:val="auto"/>
          <w:sz w:val="32"/>
          <w:szCs w:val="32"/>
        </w:rPr>
        <w:t>2024年单位人员减少，相应的公用经费减少，同时严格落实经费压减任务，减少非必要性开支、控制一般性支出。</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十一、一般性支出情况说明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ascii="Times New Roman" w:hAnsi="Times New Roman" w:eastAsia="仿宋_GB2312" w:cs="Times New Roman"/>
          <w:color w:val="auto"/>
          <w:sz w:val="32"/>
          <w:szCs w:val="32"/>
        </w:rPr>
        <w:t>2024年本部门开支会议费</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万元，人数</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人；开支培训费</w:t>
      </w:r>
      <w:r>
        <w:rPr>
          <w:rFonts w:hint="default" w:ascii="Times New Roman" w:hAnsi="Times New Roman" w:eastAsia="仿宋_GB2312"/>
          <w:color w:val="auto"/>
          <w:sz w:val="32"/>
          <w:szCs w:val="32"/>
        </w:rPr>
        <w:t>1.59</w:t>
      </w:r>
      <w:r>
        <w:rPr>
          <w:rFonts w:hint="eastAsia" w:ascii="Times New Roman" w:hAnsi="Times New Roman" w:eastAsia="仿宋_GB2312"/>
          <w:color w:val="auto"/>
          <w:sz w:val="32"/>
          <w:szCs w:val="32"/>
        </w:rPr>
        <w:t>万元，用于开展</w:t>
      </w:r>
      <w:r>
        <w:rPr>
          <w:rFonts w:hint="default" w:ascii="Times New Roman" w:hAnsi="Times New Roman" w:eastAsia="仿宋_GB2312"/>
          <w:color w:val="auto"/>
          <w:sz w:val="32"/>
          <w:szCs w:val="32"/>
        </w:rPr>
        <w:t>部门工作</w:t>
      </w:r>
      <w:r>
        <w:rPr>
          <w:rFonts w:hint="eastAsia" w:ascii="Times New Roman" w:hAnsi="Times New Roman" w:eastAsia="仿宋_GB2312"/>
          <w:color w:val="auto"/>
          <w:sz w:val="32"/>
          <w:szCs w:val="32"/>
        </w:rPr>
        <w:t>培</w:t>
      </w:r>
      <w:r>
        <w:rPr>
          <w:rFonts w:hint="eastAsia" w:ascii="Times New Roman" w:hAnsi="Times New Roman" w:eastAsia="仿宋_GB2312"/>
          <w:color w:val="auto"/>
          <w:sz w:val="32"/>
          <w:szCs w:val="32"/>
          <w:highlight w:val="none"/>
        </w:rPr>
        <w:t>训，人数</w:t>
      </w:r>
      <w:r>
        <w:rPr>
          <w:rFonts w:hint="default" w:ascii="Times New Roman" w:hAnsi="Times New Roman" w:eastAsia="仿宋_GB2312"/>
          <w:color w:val="auto"/>
          <w:sz w:val="32"/>
          <w:szCs w:val="32"/>
          <w:highlight w:val="none"/>
        </w:rPr>
        <w:t>67</w:t>
      </w:r>
      <w:r>
        <w:rPr>
          <w:rFonts w:hint="eastAsia" w:ascii="Times New Roman" w:hAnsi="Times New Roman" w:eastAsia="仿宋_GB2312"/>
          <w:color w:val="auto"/>
          <w:sz w:val="32"/>
          <w:szCs w:val="32"/>
          <w:highlight w:val="none"/>
        </w:rPr>
        <w:t>人</w:t>
      </w:r>
      <w:r>
        <w:rPr>
          <w:rFonts w:hint="eastAsia" w:ascii="Times New Roman" w:hAnsi="Times New Roman" w:eastAsia="仿宋_GB2312"/>
          <w:color w:val="auto"/>
          <w:sz w:val="32"/>
          <w:szCs w:val="32"/>
        </w:rPr>
        <w:t>，内容为</w:t>
      </w:r>
      <w:r>
        <w:rPr>
          <w:rFonts w:hint="default" w:ascii="Times New Roman" w:hAnsi="Times New Roman" w:eastAsia="仿宋_GB2312"/>
          <w:color w:val="auto"/>
          <w:sz w:val="32"/>
          <w:szCs w:val="32"/>
        </w:rPr>
        <w:t>开展绩效、监督检查业务能力提升培训、检测评估业务培训</w:t>
      </w:r>
      <w:r>
        <w:rPr>
          <w:rFonts w:hint="eastAsia" w:ascii="Times New Roman" w:hAnsi="Times New Roman" w:eastAsia="仿宋_GB2312"/>
          <w:color w:val="auto"/>
          <w:sz w:val="32"/>
          <w:szCs w:val="32"/>
        </w:rPr>
        <w:t>；举办节庆、晚会、论坛、赛事活动，开支</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万元。</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ascii="Times New Roman" w:hAnsi="Times New Roman" w:cs="Times New Roman"/>
          <w:bCs/>
          <w:color w:val="auto"/>
          <w:sz w:val="32"/>
          <w:szCs w:val="32"/>
        </w:rPr>
        <w:t>二</w:t>
      </w:r>
      <w:r>
        <w:rPr>
          <w:rFonts w:ascii="Times New Roman" w:hAnsi="Times New Roman" w:cs="Times New Roman"/>
          <w:bCs/>
          <w:color w:val="auto"/>
          <w:sz w:val="32"/>
          <w:szCs w:val="32"/>
        </w:rPr>
        <w:t>、关于政府采购支出说明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本部门2024年度政府采购支出总额</w:t>
      </w:r>
      <w:r>
        <w:rPr>
          <w:rFonts w:hint="default" w:ascii="Times New Roman" w:hAnsi="Times New Roman" w:eastAsia="仿宋_GB2312" w:cs="Times New Roman"/>
          <w:color w:val="auto"/>
          <w:sz w:val="32"/>
          <w:szCs w:val="32"/>
        </w:rPr>
        <w:t>35</w:t>
      </w:r>
      <w:r>
        <w:rPr>
          <w:rFonts w:ascii="Times New Roman" w:hAnsi="Times New Roman" w:eastAsia="仿宋_GB2312" w:cs="Times New Roman"/>
          <w:color w:val="auto"/>
          <w:sz w:val="32"/>
          <w:szCs w:val="32"/>
        </w:rPr>
        <w:t>万元，其中：政府采购货物支出</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 xml:space="preserve"> 万元、政府采购工程支出</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万元、政府采购服务支出</w:t>
      </w:r>
      <w:r>
        <w:rPr>
          <w:rFonts w:hint="default" w:ascii="Times New Roman" w:hAnsi="Times New Roman" w:eastAsia="仿宋_GB2312" w:cs="Times New Roman"/>
          <w:color w:val="auto"/>
          <w:sz w:val="32"/>
          <w:szCs w:val="32"/>
        </w:rPr>
        <w:t>35</w:t>
      </w:r>
      <w:r>
        <w:rPr>
          <w:rFonts w:ascii="Times New Roman" w:hAnsi="Times New Roman" w:eastAsia="仿宋_GB2312" w:cs="Times New Roman"/>
          <w:color w:val="auto"/>
          <w:sz w:val="32"/>
          <w:szCs w:val="32"/>
        </w:rPr>
        <w:t>万元。授予中小企业合同金额</w:t>
      </w:r>
      <w:r>
        <w:rPr>
          <w:rFonts w:hint="default" w:ascii="Times New Roman" w:hAnsi="Times New Roman" w:eastAsia="仿宋_GB2312" w:cs="Times New Roman"/>
          <w:color w:val="auto"/>
          <w:sz w:val="32"/>
          <w:szCs w:val="32"/>
        </w:rPr>
        <w:t>35</w:t>
      </w:r>
      <w:r>
        <w:rPr>
          <w:rFonts w:ascii="Times New Roman" w:hAnsi="Times New Roman" w:eastAsia="仿宋_GB2312" w:cs="Times New Roman"/>
          <w:color w:val="auto"/>
          <w:sz w:val="32"/>
          <w:szCs w:val="32"/>
        </w:rPr>
        <w:t>万元，占政府采购支出总额的</w:t>
      </w:r>
      <w:r>
        <w:rPr>
          <w:rFonts w:hint="default"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%，其中：授予小微企业合同金额</w:t>
      </w:r>
      <w:r>
        <w:rPr>
          <w:rFonts w:hint="default" w:ascii="Times New Roman" w:hAnsi="Times New Roman" w:eastAsia="仿宋_GB2312" w:cs="Times New Roman"/>
          <w:color w:val="auto"/>
          <w:sz w:val="32"/>
          <w:szCs w:val="32"/>
        </w:rPr>
        <w:t>35</w:t>
      </w:r>
      <w:r>
        <w:rPr>
          <w:rFonts w:ascii="Times New Roman" w:hAnsi="Times New Roman" w:eastAsia="仿宋_GB2312" w:cs="Times New Roman"/>
          <w:color w:val="auto"/>
          <w:sz w:val="32"/>
          <w:szCs w:val="32"/>
        </w:rPr>
        <w:t>万元，</w:t>
      </w:r>
      <w:r>
        <w:rPr>
          <w:rFonts w:ascii="Times New Roman" w:hAnsi="Times New Roman" w:eastAsia="仿宋_GB2312" w:cs="Times New Roman"/>
          <w:color w:val="auto"/>
          <w:sz w:val="32"/>
          <w:szCs w:val="32"/>
        </w:rPr>
        <w:t>占授予中小企业合同金额的</w:t>
      </w:r>
      <w:r>
        <w:rPr>
          <w:rFonts w:hint="default"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%。货物采购授予中小企业合同金额占货物支出金额的</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%，工程采购授予中小企业合同金额占工程支出金额的</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%，服务采购授予中小企业合同金额占服务支出金额的</w:t>
      </w:r>
      <w:r>
        <w:rPr>
          <w:rFonts w:hint="default"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十三、关于国有资产占用情况说明</w:t>
      </w:r>
    </w:p>
    <w:p>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default" w:ascii="Times New Roman" w:hAnsi="Times New Roman" w:eastAsia="仿宋_GB2312" w:cs="Times New Roman"/>
          <w:color w:val="auto"/>
          <w:sz w:val="32"/>
          <w:szCs w:val="32"/>
        </w:rPr>
        <w:t>2</w:t>
      </w:r>
      <w:r>
        <w:rPr>
          <w:rFonts w:ascii="Times New Roman" w:hAnsi="Times New Roman" w:eastAsia="仿宋_GB2312" w:cs="Times New Roman"/>
          <w:color w:val="auto"/>
          <w:sz w:val="32"/>
          <w:szCs w:val="32"/>
        </w:rPr>
        <w:t>辆，其中，副部（省）级及以上领导用车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辆、主要负责人用车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辆、机要通信用车</w:t>
      </w:r>
      <w:r>
        <w:rPr>
          <w:rFonts w:hint="default"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辆、应急保障用车</w:t>
      </w:r>
      <w:r>
        <w:rPr>
          <w:rFonts w:hint="default"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辆、执法执勤用车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辆、特种专业技术用车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辆、离退休干部服务用车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辆、其他用车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辆；单位价值100万元以上设备（不含车辆）</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台（套）。</w:t>
      </w:r>
    </w:p>
    <w:p>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十四、关于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楷体" w:cs="Times New Roman"/>
          <w:b/>
          <w:bCs/>
          <w:color w:val="auto"/>
          <w:sz w:val="32"/>
          <w:szCs w:val="32"/>
        </w:rPr>
      </w:pPr>
      <w:r>
        <w:rPr>
          <w:rFonts w:ascii="Times New Roman" w:hAnsi="Times New Roman" w:eastAsia="楷体_GB2312" w:cs="Times New Roman"/>
          <w:b/>
          <w:bCs/>
          <w:color w:val="auto"/>
          <w:sz w:val="32"/>
          <w:szCs w:val="32"/>
        </w:rPr>
        <w:t>（一）绩效评价工作开展情况。</w:t>
      </w:r>
      <w:r>
        <w:rPr>
          <w:rFonts w:ascii="Times New Roman" w:hAnsi="Times New Roman" w:eastAsia="仿宋_GB2312" w:cs="Times New Roman"/>
          <w:b/>
          <w:bCs/>
          <w:color w:val="auto"/>
          <w:kern w:val="0"/>
          <w:sz w:val="32"/>
          <w:szCs w:val="32"/>
        </w:rPr>
        <w:t>一是绩效自评开展情况。</w:t>
      </w:r>
      <w:r>
        <w:rPr>
          <w:rFonts w:ascii="Times New Roman" w:hAnsi="Times New Roman" w:eastAsia="仿宋_GB2312" w:cs="Times New Roman"/>
          <w:color w:val="auto"/>
          <w:kern w:val="0"/>
          <w:sz w:val="32"/>
          <w:szCs w:val="32"/>
        </w:rPr>
        <w:t>组织对2024年度本部门（单位）整体支出开展绩效自评，涉及项目</w:t>
      </w:r>
      <w:r>
        <w:rPr>
          <w:rFonts w:hint="default" w:ascii="Times New Roman" w:hAnsi="Times New Roman" w:eastAsia="仿宋_GB2312" w:cs="Times New Roman"/>
          <w:color w:val="auto"/>
          <w:kern w:val="0"/>
          <w:sz w:val="32"/>
          <w:szCs w:val="32"/>
        </w:rPr>
        <w:t>4</w:t>
      </w:r>
      <w:r>
        <w:rPr>
          <w:rFonts w:ascii="Times New Roman" w:hAnsi="Times New Roman" w:eastAsia="仿宋_GB2312" w:cs="Times New Roman"/>
          <w:color w:val="auto"/>
          <w:kern w:val="0"/>
          <w:sz w:val="32"/>
          <w:szCs w:val="32"/>
        </w:rPr>
        <w:t>个，共涉及资金</w:t>
      </w:r>
      <w:r>
        <w:rPr>
          <w:rFonts w:hint="default" w:ascii="Times New Roman" w:hAnsi="Times New Roman" w:eastAsia="仿宋_GB2312" w:cs="Times New Roman"/>
          <w:color w:val="auto"/>
          <w:kern w:val="0"/>
          <w:sz w:val="32"/>
          <w:szCs w:val="32"/>
        </w:rPr>
        <w:t>112.11</w:t>
      </w:r>
      <w:r>
        <w:rPr>
          <w:rFonts w:ascii="Times New Roman" w:hAnsi="Times New Roman" w:eastAsia="仿宋_GB2312" w:cs="Times New Roman"/>
          <w:color w:val="auto"/>
          <w:kern w:val="0"/>
          <w:sz w:val="32"/>
          <w:szCs w:val="32"/>
        </w:rPr>
        <w:t>万元。其中，一般公共预算项目</w:t>
      </w:r>
      <w:r>
        <w:rPr>
          <w:rFonts w:hint="default" w:ascii="Times New Roman" w:hAnsi="Times New Roman" w:eastAsia="仿宋_GB2312" w:cs="Times New Roman"/>
          <w:color w:val="auto"/>
          <w:kern w:val="0"/>
          <w:sz w:val="32"/>
          <w:szCs w:val="32"/>
        </w:rPr>
        <w:t>4</w:t>
      </w:r>
      <w:r>
        <w:rPr>
          <w:rFonts w:ascii="Times New Roman" w:hAnsi="Times New Roman" w:eastAsia="仿宋_GB2312" w:cs="Times New Roman"/>
          <w:color w:val="auto"/>
          <w:kern w:val="0"/>
          <w:sz w:val="32"/>
          <w:szCs w:val="32"/>
        </w:rPr>
        <w:t xml:space="preserve"> 个</w:t>
      </w:r>
      <w:r>
        <w:rPr>
          <w:rFonts w:hint="default" w:ascii="Times New Roman" w:hAnsi="Times New Roman" w:eastAsia="仿宋_GB2312" w:cs="Times New Roman"/>
          <w:color w:val="auto"/>
          <w:kern w:val="0"/>
          <w:sz w:val="32"/>
          <w:szCs w:val="32"/>
        </w:rPr>
        <w:t>112.11</w:t>
      </w:r>
      <w:r>
        <w:rPr>
          <w:rFonts w:ascii="Times New Roman" w:hAnsi="Times New Roman" w:eastAsia="仿宋_GB2312" w:cs="Times New Roman"/>
          <w:color w:val="auto"/>
          <w:kern w:val="0"/>
          <w:sz w:val="32"/>
          <w:szCs w:val="32"/>
        </w:rPr>
        <w:t xml:space="preserve"> 万元，占一般公共预算支出总额的</w:t>
      </w:r>
      <w:r>
        <w:rPr>
          <w:rFonts w:hint="default" w:ascii="Times New Roman" w:hAnsi="Times New Roman" w:eastAsia="仿宋_GB2312" w:cs="Times New Roman"/>
          <w:color w:val="auto"/>
          <w:kern w:val="0"/>
          <w:sz w:val="32"/>
          <w:szCs w:val="32"/>
        </w:rPr>
        <w:t>100</w:t>
      </w:r>
      <w:r>
        <w:rPr>
          <w:rFonts w:ascii="Times New Roman" w:hAnsi="Times New Roman" w:eastAsia="仿宋_GB2312" w:cs="Times New Roman"/>
          <w:color w:val="auto"/>
          <w:kern w:val="0"/>
          <w:sz w:val="32"/>
          <w:szCs w:val="32"/>
        </w:rPr>
        <w:t>%；政府性基金预算项目</w:t>
      </w:r>
      <w:r>
        <w:rPr>
          <w:rFonts w:hint="default" w:ascii="Times New Roman" w:hAnsi="Times New Roman" w:eastAsia="仿宋_GB2312" w:cs="Times New Roman"/>
          <w:color w:val="auto"/>
          <w:kern w:val="0"/>
          <w:sz w:val="32"/>
          <w:szCs w:val="32"/>
        </w:rPr>
        <w:t>0</w:t>
      </w:r>
      <w:r>
        <w:rPr>
          <w:rFonts w:ascii="Times New Roman" w:hAnsi="Times New Roman" w:eastAsia="仿宋_GB2312" w:cs="Times New Roman"/>
          <w:color w:val="auto"/>
          <w:kern w:val="0"/>
          <w:sz w:val="32"/>
          <w:szCs w:val="32"/>
        </w:rPr>
        <w:t xml:space="preserve"> 个</w:t>
      </w:r>
      <w:r>
        <w:rPr>
          <w:rFonts w:hint="default" w:ascii="Times New Roman" w:hAnsi="Times New Roman" w:eastAsia="仿宋_GB2312" w:cs="Times New Roman"/>
          <w:color w:val="auto"/>
          <w:kern w:val="0"/>
          <w:sz w:val="32"/>
          <w:szCs w:val="32"/>
        </w:rPr>
        <w:t>0</w:t>
      </w:r>
      <w:r>
        <w:rPr>
          <w:rFonts w:ascii="Times New Roman" w:hAnsi="Times New Roman" w:eastAsia="仿宋_GB2312" w:cs="Times New Roman"/>
          <w:color w:val="auto"/>
          <w:kern w:val="0"/>
          <w:sz w:val="32"/>
          <w:szCs w:val="32"/>
        </w:rPr>
        <w:t>万元，占政府性基金预算支出总额的</w:t>
      </w:r>
      <w:r>
        <w:rPr>
          <w:rFonts w:hint="default" w:ascii="Times New Roman" w:hAnsi="Times New Roman" w:eastAsia="仿宋_GB2312" w:cs="Times New Roman"/>
          <w:color w:val="auto"/>
          <w:kern w:val="0"/>
          <w:sz w:val="32"/>
          <w:szCs w:val="32"/>
        </w:rPr>
        <w:t>100</w:t>
      </w:r>
      <w:r>
        <w:rPr>
          <w:rFonts w:ascii="Times New Roman" w:hAnsi="Times New Roman" w:eastAsia="仿宋_GB2312" w:cs="Times New Roman"/>
          <w:color w:val="auto"/>
          <w:kern w:val="0"/>
          <w:sz w:val="32"/>
          <w:szCs w:val="32"/>
        </w:rPr>
        <w:t>%；国有资本经营预算项目</w:t>
      </w:r>
      <w:r>
        <w:rPr>
          <w:rFonts w:hint="default" w:ascii="Times New Roman" w:hAnsi="Times New Roman" w:eastAsia="仿宋_GB2312" w:cs="Times New Roman"/>
          <w:color w:val="auto"/>
          <w:kern w:val="0"/>
          <w:sz w:val="32"/>
          <w:szCs w:val="32"/>
        </w:rPr>
        <w:t>0</w:t>
      </w:r>
      <w:r>
        <w:rPr>
          <w:rFonts w:ascii="Times New Roman" w:hAnsi="Times New Roman" w:eastAsia="仿宋_GB2312" w:cs="Times New Roman"/>
          <w:color w:val="auto"/>
          <w:kern w:val="0"/>
          <w:sz w:val="32"/>
          <w:szCs w:val="32"/>
        </w:rPr>
        <w:t xml:space="preserve"> 个</w:t>
      </w:r>
      <w:r>
        <w:rPr>
          <w:rFonts w:hint="default" w:ascii="Times New Roman" w:hAnsi="Times New Roman" w:eastAsia="仿宋_GB2312" w:cs="Times New Roman"/>
          <w:color w:val="auto"/>
          <w:kern w:val="0"/>
          <w:sz w:val="32"/>
          <w:szCs w:val="32"/>
        </w:rPr>
        <w:t>0</w:t>
      </w:r>
      <w:r>
        <w:rPr>
          <w:rFonts w:ascii="Times New Roman" w:hAnsi="Times New Roman" w:eastAsia="仿宋_GB2312" w:cs="Times New Roman"/>
          <w:color w:val="auto"/>
          <w:kern w:val="0"/>
          <w:sz w:val="32"/>
          <w:szCs w:val="32"/>
        </w:rPr>
        <w:t>万元，占国有资本经营预算支出总额的</w:t>
      </w:r>
      <w:r>
        <w:rPr>
          <w:rFonts w:hint="default" w:ascii="Times New Roman" w:hAnsi="Times New Roman" w:eastAsia="仿宋_GB2312" w:cs="Times New Roman"/>
          <w:color w:val="auto"/>
          <w:kern w:val="0"/>
          <w:sz w:val="32"/>
          <w:szCs w:val="32"/>
        </w:rPr>
        <w:t>100</w:t>
      </w:r>
      <w:r>
        <w:rPr>
          <w:rFonts w:ascii="Times New Roman" w:hAnsi="Times New Roman" w:eastAsia="仿宋_GB2312" w:cs="Times New Roman"/>
          <w:color w:val="auto"/>
          <w:kern w:val="0"/>
          <w:sz w:val="32"/>
          <w:szCs w:val="32"/>
        </w:rPr>
        <w:t>%；社会保险基金预算项目</w:t>
      </w:r>
      <w:r>
        <w:rPr>
          <w:rFonts w:hint="default" w:ascii="Times New Roman" w:hAnsi="Times New Roman" w:eastAsia="仿宋_GB2312" w:cs="Times New Roman"/>
          <w:color w:val="auto"/>
          <w:kern w:val="0"/>
          <w:sz w:val="32"/>
          <w:szCs w:val="32"/>
        </w:rPr>
        <w:t>0</w:t>
      </w:r>
      <w:r>
        <w:rPr>
          <w:rFonts w:ascii="Times New Roman" w:hAnsi="Times New Roman" w:eastAsia="仿宋_GB2312" w:cs="Times New Roman"/>
          <w:color w:val="auto"/>
          <w:kern w:val="0"/>
          <w:sz w:val="32"/>
          <w:szCs w:val="32"/>
        </w:rPr>
        <w:t>个</w:t>
      </w:r>
      <w:r>
        <w:rPr>
          <w:rFonts w:hint="default" w:ascii="Times New Roman" w:hAnsi="Times New Roman" w:eastAsia="仿宋_GB2312" w:cs="Times New Roman"/>
          <w:color w:val="auto"/>
          <w:kern w:val="0"/>
          <w:sz w:val="32"/>
          <w:szCs w:val="32"/>
        </w:rPr>
        <w:t>0</w:t>
      </w:r>
      <w:r>
        <w:rPr>
          <w:rFonts w:ascii="Times New Roman" w:hAnsi="Times New Roman" w:eastAsia="仿宋_GB2312" w:cs="Times New Roman"/>
          <w:color w:val="auto"/>
          <w:kern w:val="0"/>
          <w:sz w:val="32"/>
          <w:szCs w:val="32"/>
        </w:rPr>
        <w:t>万元，占社会保险基金预算支出总额的</w:t>
      </w:r>
      <w:r>
        <w:rPr>
          <w:rFonts w:hint="default" w:ascii="Times New Roman" w:hAnsi="Times New Roman" w:eastAsia="仿宋_GB2312" w:cs="Times New Roman"/>
          <w:color w:val="auto"/>
          <w:kern w:val="0"/>
          <w:sz w:val="32"/>
          <w:szCs w:val="32"/>
        </w:rPr>
        <w:t>100</w:t>
      </w:r>
      <w:r>
        <w:rPr>
          <w:rFonts w:ascii="Times New Roman" w:hAnsi="Times New Roman" w:eastAsia="仿宋_GB2312" w:cs="Times New Roman"/>
          <w:color w:val="auto"/>
          <w:kern w:val="0"/>
          <w:sz w:val="32"/>
          <w:szCs w:val="32"/>
        </w:rPr>
        <w:t>%。</w:t>
      </w:r>
      <w:r>
        <w:rPr>
          <w:rFonts w:ascii="Times New Roman" w:hAnsi="Times New Roman" w:eastAsia="仿宋_GB2312" w:cs="Times New Roman"/>
          <w:b/>
          <w:bCs/>
          <w:color w:val="auto"/>
          <w:kern w:val="0"/>
          <w:sz w:val="32"/>
          <w:szCs w:val="32"/>
        </w:rPr>
        <w:t>二是部门评价开展情况。</w:t>
      </w:r>
      <w:r>
        <w:rPr>
          <w:rFonts w:ascii="Times New Roman" w:hAnsi="Times New Roman" w:eastAsia="仿宋_GB2312" w:cs="Times New Roman"/>
          <w:color w:val="auto"/>
          <w:kern w:val="0"/>
          <w:sz w:val="32"/>
          <w:szCs w:val="32"/>
        </w:rPr>
        <w:t>组织对所属单位2024年度“</w:t>
      </w:r>
      <w:r>
        <w:rPr>
          <w:rFonts w:ascii="Times New Roman" w:hAnsi="Times New Roman" w:eastAsia="仿宋_GB2312" w:cs="Times New Roman"/>
          <w:color w:val="auto"/>
          <w:sz w:val="32"/>
          <w:szCs w:val="32"/>
        </w:rPr>
        <w:t>中央大中型水库后期扶持资金</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后扶维稳工作经费</w:t>
      </w:r>
      <w:r>
        <w:rPr>
          <w:rFonts w:ascii="Times New Roman" w:hAnsi="Times New Roman" w:eastAsia="仿宋_GB2312" w:cs="Times New Roman"/>
          <w:color w:val="auto"/>
          <w:kern w:val="0"/>
          <w:sz w:val="32"/>
          <w:szCs w:val="32"/>
        </w:rPr>
        <w:t>”等</w:t>
      </w:r>
      <w:r>
        <w:rPr>
          <w:rFonts w:hint="default" w:ascii="Times New Roman" w:hAnsi="Times New Roman" w:eastAsia="仿宋_GB2312" w:cs="Times New Roman"/>
          <w:color w:val="auto"/>
          <w:sz w:val="32"/>
          <w:szCs w:val="32"/>
        </w:rPr>
        <w:t>4</w:t>
      </w:r>
      <w:r>
        <w:rPr>
          <w:rFonts w:ascii="Times New Roman" w:hAnsi="Times New Roman" w:eastAsia="仿宋_GB2312" w:cs="Times New Roman"/>
          <w:color w:val="auto"/>
          <w:kern w:val="0"/>
          <w:sz w:val="32"/>
          <w:szCs w:val="32"/>
        </w:rPr>
        <w:t>个项目开展了部门评价，涉及一般公共预算支出</w:t>
      </w:r>
      <w:r>
        <w:rPr>
          <w:rFonts w:hint="default" w:ascii="Times New Roman" w:hAnsi="Times New Roman" w:eastAsia="仿宋_GB2312" w:cs="Times New Roman"/>
          <w:color w:val="auto"/>
          <w:sz w:val="32"/>
          <w:szCs w:val="32"/>
        </w:rPr>
        <w:t>112.11</w:t>
      </w:r>
      <w:r>
        <w:rPr>
          <w:rFonts w:ascii="Times New Roman" w:hAnsi="Times New Roman" w:eastAsia="仿宋_GB2312" w:cs="Times New Roman"/>
          <w:color w:val="auto"/>
          <w:kern w:val="0"/>
          <w:sz w:val="32"/>
          <w:szCs w:val="32"/>
        </w:rPr>
        <w:t>万元，政府性基金预算支出</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kern w:val="0"/>
          <w:sz w:val="32"/>
          <w:szCs w:val="32"/>
        </w:rPr>
        <w:t>万元，国有资本经营预算支出</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kern w:val="0"/>
          <w:sz w:val="32"/>
          <w:szCs w:val="32"/>
        </w:rPr>
        <w:t>万元，社会保险基金预算支出</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kern w:val="0"/>
          <w:sz w:val="32"/>
          <w:szCs w:val="32"/>
        </w:rPr>
        <w:t>万元。</w:t>
      </w:r>
      <w:r>
        <w:rPr>
          <w:rFonts w:ascii="Times New Roman" w:hAnsi="Times New Roman" w:eastAsia="仿宋_GB2312" w:cs="Times New Roman"/>
          <w:b/>
          <w:bCs/>
          <w:color w:val="auto"/>
          <w:kern w:val="0"/>
          <w:sz w:val="32"/>
          <w:szCs w:val="32"/>
        </w:rPr>
        <w:t>三是事前绩效评估开展情况。</w:t>
      </w:r>
      <w:r>
        <w:rPr>
          <w:rFonts w:ascii="Times New Roman" w:hAnsi="Times New Roman" w:eastAsia="仿宋_GB2312" w:cs="Times New Roman"/>
          <w:color w:val="auto"/>
          <w:kern w:val="0"/>
          <w:sz w:val="32"/>
          <w:szCs w:val="32"/>
        </w:rPr>
        <w:t>组织对2024年度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kern w:val="0"/>
          <w:sz w:val="32"/>
          <w:szCs w:val="32"/>
        </w:rPr>
        <w:t>个新增重大政策和</w:t>
      </w:r>
      <w:r>
        <w:rPr>
          <w:rFonts w:hint="default" w:ascii="Times New Roman" w:hAnsi="Times New Roman" w:eastAsia="仿宋_GB2312" w:cs="Times New Roman"/>
          <w:color w:val="auto"/>
          <w:sz w:val="32"/>
          <w:szCs w:val="32"/>
        </w:rPr>
        <w:t>4</w:t>
      </w:r>
      <w:r>
        <w:rPr>
          <w:rFonts w:ascii="Times New Roman" w:hAnsi="Times New Roman" w:eastAsia="仿宋_GB2312" w:cs="Times New Roman"/>
          <w:color w:val="auto"/>
          <w:kern w:val="0"/>
          <w:sz w:val="32"/>
          <w:szCs w:val="32"/>
        </w:rPr>
        <w:t>个重大项目开展事前绩效评估，共涉及资金</w:t>
      </w:r>
      <w:r>
        <w:rPr>
          <w:rFonts w:hint="default" w:ascii="Times New Roman" w:hAnsi="Times New Roman" w:eastAsia="仿宋_GB2312" w:cs="Times New Roman"/>
          <w:color w:val="auto"/>
          <w:kern w:val="0"/>
          <w:sz w:val="32"/>
          <w:szCs w:val="32"/>
        </w:rPr>
        <w:t>112.11</w:t>
      </w:r>
      <w:r>
        <w:rPr>
          <w:rFonts w:ascii="Times New Roman" w:hAnsi="Times New Roman" w:eastAsia="仿宋_GB2312" w:cs="Times New Roman"/>
          <w:color w:val="auto"/>
          <w:kern w:val="0"/>
          <w:sz w:val="32"/>
          <w:szCs w:val="32"/>
        </w:rPr>
        <w:t>万元。</w:t>
      </w:r>
    </w:p>
    <w:p>
      <w:pPr>
        <w:keepNext w:val="0"/>
        <w:keepLines w:val="0"/>
        <w:pageBreakBefore w:val="0"/>
        <w:widowControl w:val="0"/>
        <w:tabs>
          <w:tab w:val="left" w:pos="6600"/>
        </w:tabs>
        <w:kinsoku/>
        <w:wordWrap/>
        <w:overflowPunct/>
        <w:topLinePunct w:val="0"/>
        <w:autoSpaceDE/>
        <w:autoSpaceDN/>
        <w:bidi w:val="0"/>
        <w:adjustRightInd/>
        <w:snapToGrid/>
        <w:spacing w:line="580" w:lineRule="exact"/>
        <w:ind w:leftChars="0" w:firstLine="640" w:firstLineChars="200"/>
        <w:textAlignment w:val="auto"/>
        <w:rPr>
          <w:rFonts w:ascii="Times New Roman" w:hAnsi="Times New Roman" w:eastAsia="仿宋_GB2312" w:cs="Times New Roman"/>
          <w:bCs/>
          <w:color w:val="auto"/>
          <w:sz w:val="32"/>
          <w:szCs w:val="32"/>
        </w:rPr>
      </w:pPr>
      <w:r>
        <w:rPr>
          <w:rFonts w:ascii="Times New Roman" w:hAnsi="Times New Roman" w:eastAsia="楷体_GB2312" w:cs="Times New Roman"/>
          <w:b/>
          <w:bCs/>
          <w:color w:val="auto"/>
          <w:sz w:val="32"/>
          <w:szCs w:val="32"/>
        </w:rPr>
        <w:t>（二）绩效评价结果。</w:t>
      </w:r>
      <w:r>
        <w:rPr>
          <w:rFonts w:ascii="Times New Roman" w:hAnsi="Times New Roman" w:eastAsia="仿宋_GB2312" w:cs="Times New Roman"/>
          <w:b/>
          <w:bCs/>
          <w:color w:val="auto"/>
          <w:kern w:val="0"/>
          <w:sz w:val="32"/>
          <w:szCs w:val="32"/>
        </w:rPr>
        <w:t>一是绩效自评结果。</w:t>
      </w:r>
      <w:r>
        <w:rPr>
          <w:rFonts w:ascii="Times New Roman" w:hAnsi="Times New Roman" w:eastAsia="仿宋_GB2312" w:cs="Times New Roman"/>
          <w:color w:val="auto"/>
          <w:kern w:val="0"/>
          <w:sz w:val="32"/>
          <w:szCs w:val="32"/>
        </w:rPr>
        <w:t>2024年度本部门（单位）整体支出</w:t>
      </w:r>
      <w:r>
        <w:rPr>
          <w:rFonts w:ascii="Times New Roman" w:hAnsi="Times New Roman" w:eastAsia="仿宋_GB2312" w:cs="Times New Roman"/>
          <w:color w:val="auto"/>
          <w:sz w:val="32"/>
          <w:szCs w:val="32"/>
        </w:rPr>
        <w:t>全年预算数</w:t>
      </w:r>
      <w:r>
        <w:rPr>
          <w:rFonts w:hint="default" w:ascii="Times New Roman" w:hAnsi="Times New Roman" w:eastAsia="仿宋_GB2312" w:cs="Times New Roman"/>
          <w:color w:val="auto"/>
          <w:sz w:val="32"/>
          <w:szCs w:val="32"/>
        </w:rPr>
        <w:t>533.33</w:t>
      </w:r>
      <w:r>
        <w:rPr>
          <w:rFonts w:ascii="Times New Roman" w:hAnsi="Times New Roman" w:eastAsia="仿宋_GB2312" w:cs="Times New Roman"/>
          <w:color w:val="auto"/>
          <w:sz w:val="32"/>
          <w:szCs w:val="32"/>
        </w:rPr>
        <w:t>万元，执行数</w:t>
      </w:r>
      <w:r>
        <w:rPr>
          <w:rFonts w:hint="default" w:ascii="Times New Roman" w:hAnsi="Times New Roman" w:eastAsia="仿宋_GB2312" w:cs="Times New Roman"/>
          <w:color w:val="auto"/>
          <w:sz w:val="32"/>
          <w:szCs w:val="32"/>
        </w:rPr>
        <w:t>533.33</w:t>
      </w:r>
      <w:r>
        <w:rPr>
          <w:rFonts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，绩效自评得分</w:t>
      </w:r>
      <w:r>
        <w:rPr>
          <w:rFonts w:hint="default" w:ascii="Times New Roman" w:hAnsi="Times New Roman" w:eastAsia="仿宋_GB2312" w:cs="Times New Roman"/>
          <w:color w:val="auto"/>
          <w:kern w:val="0"/>
          <w:sz w:val="32"/>
          <w:szCs w:val="32"/>
        </w:rPr>
        <w:t>98</w:t>
      </w:r>
      <w:r>
        <w:rPr>
          <w:rFonts w:ascii="Times New Roman" w:hAnsi="Times New Roman" w:eastAsia="仿宋_GB2312" w:cs="Times New Roman"/>
          <w:color w:val="auto"/>
          <w:sz w:val="32"/>
          <w:szCs w:val="32"/>
        </w:rPr>
        <w:t>分</w:t>
      </w:r>
      <w:r>
        <w:rPr>
          <w:rFonts w:ascii="Times New Roman" w:hAnsi="Times New Roman" w:eastAsia="仿宋_GB2312" w:cs="Times New Roman"/>
          <w:color w:val="auto"/>
          <w:kern w:val="0"/>
          <w:sz w:val="32"/>
          <w:szCs w:val="32"/>
        </w:rPr>
        <w:t>，评价等级为</w:t>
      </w:r>
      <w:r>
        <w:rPr>
          <w:rFonts w:ascii="Times New Roman" w:hAnsi="Times New Roman" w:eastAsia="仿宋_GB2312" w:cs="Times New Roman"/>
          <w:color w:val="auto"/>
          <w:sz w:val="32"/>
          <w:szCs w:val="32"/>
        </w:rPr>
        <w:t>“良好”。绩效目标完成情况：一是对</w:t>
      </w:r>
      <w:r>
        <w:rPr>
          <w:rFonts w:hint="eastAsia" w:ascii="仿宋" w:hAnsi="仿宋" w:eastAsia="仿宋" w:cs="仿宋"/>
          <w:i w:val="0"/>
          <w:iCs w:val="0"/>
          <w:caps w:val="0"/>
          <w:color w:val="auto"/>
          <w:spacing w:val="11"/>
          <w:kern w:val="0"/>
          <w:sz w:val="32"/>
          <w:szCs w:val="32"/>
          <w:shd w:val="clear" w:color="auto" w:fill="FFFFFF"/>
          <w:lang w:val="en-US" w:eastAsia="zh-CN" w:bidi="ar"/>
        </w:rPr>
        <w:t>2024年度项目支出进行绩效自评，了解本单位项目支出资金使用情况及取得的成果，及时发现资金管理和项目实施过程中存在的问题，提出相关建议和采取相应的措施</w:t>
      </w:r>
      <w:r>
        <w:rPr>
          <w:rFonts w:ascii="Times New Roman" w:hAnsi="Times New Roman" w:eastAsia="仿宋_GB2312" w:cs="Times New Roman"/>
          <w:color w:val="auto"/>
          <w:sz w:val="32"/>
          <w:szCs w:val="32"/>
        </w:rPr>
        <w:t>；二是明确了项目评价范围和项目评价方法，即</w:t>
      </w:r>
      <w:r>
        <w:rPr>
          <w:rFonts w:hint="default" w:ascii="仿宋" w:hAnsi="仿宋" w:eastAsia="仿宋" w:cs="仿宋"/>
          <w:i w:val="0"/>
          <w:iCs w:val="0"/>
          <w:caps w:val="0"/>
          <w:color w:val="auto"/>
          <w:spacing w:val="11"/>
          <w:kern w:val="0"/>
          <w:sz w:val="32"/>
          <w:szCs w:val="32"/>
          <w:shd w:val="clear" w:color="auto" w:fill="FFFFFF"/>
          <w:lang w:eastAsia="zh-CN" w:bidi="ar"/>
        </w:rPr>
        <w:t>对2024年度项目支出（</w:t>
      </w:r>
      <w:r>
        <w:rPr>
          <w:rFonts w:hint="eastAsia" w:ascii="仿宋" w:hAnsi="仿宋" w:eastAsia="仿宋" w:cs="仿宋"/>
          <w:i w:val="0"/>
          <w:iCs w:val="0"/>
          <w:caps w:val="0"/>
          <w:color w:val="auto"/>
          <w:spacing w:val="11"/>
          <w:kern w:val="0"/>
          <w:sz w:val="32"/>
          <w:szCs w:val="32"/>
          <w:shd w:val="clear" w:color="auto" w:fill="FFFFFF"/>
          <w:lang w:val="en-US" w:eastAsia="zh-CN" w:bidi="ar"/>
        </w:rPr>
        <w:t>后扶维稳工作经费</w:t>
      </w:r>
      <w:r>
        <w:rPr>
          <w:rFonts w:hint="eastAsia"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中央大中型水库移民后期扶持资金</w:t>
      </w:r>
      <w:r>
        <w:rPr>
          <w:rFonts w:hint="eastAsia"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移民工作经费补助资金</w:t>
      </w:r>
      <w:r>
        <w:rPr>
          <w:rFonts w:hint="eastAsia"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全市移民存量资金监督检查工作经费</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按照《中共中央、国务院关于全面实施预算绩效管理的意见》（中发〔2018〕34号）和《中共怀化市委办公室、怀化市人民政府办公室关于全面实施预算绩效管理的通知》（怀办发电〔2019〕48号）要求，本单位结合专项具体情况，设计了该项目的评价指标体系。</w:t>
      </w:r>
      <w:r>
        <w:rPr>
          <w:rFonts w:ascii="Times New Roman" w:hAnsi="Times New Roman" w:eastAsia="仿宋_GB2312" w:cs="Times New Roman"/>
          <w:color w:val="auto"/>
          <w:sz w:val="32"/>
          <w:szCs w:val="32"/>
        </w:rPr>
        <w:t>发现的主要问题及原因：一是</w:t>
      </w:r>
      <w:r>
        <w:rPr>
          <w:rFonts w:hint="eastAsia" w:ascii="仿宋" w:hAnsi="仿宋" w:eastAsia="仿宋" w:cs="仿宋"/>
          <w:i w:val="0"/>
          <w:iCs w:val="0"/>
          <w:caps w:val="0"/>
          <w:color w:val="auto"/>
          <w:spacing w:val="11"/>
          <w:kern w:val="0"/>
          <w:sz w:val="32"/>
          <w:szCs w:val="32"/>
          <w:shd w:val="clear" w:color="auto" w:fill="FFFFFF"/>
          <w:lang w:val="en-US" w:eastAsia="zh-CN" w:bidi="ar"/>
        </w:rPr>
        <w:t>评价体系有待完善</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尽管我单位在项目绩效评价过程中已经构建了较为全面的指标体系，但在实际操作中仍发现存在一些不足</w:t>
      </w:r>
      <w:r>
        <w:rPr>
          <w:rFonts w:hint="default" w:ascii="仿宋" w:hAnsi="仿宋" w:eastAsia="仿宋" w:cs="仿宋"/>
          <w:i w:val="0"/>
          <w:iCs w:val="0"/>
          <w:caps w:val="0"/>
          <w:color w:val="auto"/>
          <w:spacing w:val="11"/>
          <w:kern w:val="0"/>
          <w:sz w:val="32"/>
          <w:szCs w:val="32"/>
          <w:shd w:val="clear" w:color="auto" w:fill="FFFFFF"/>
          <w:lang w:eastAsia="zh-CN" w:bidi="ar"/>
        </w:rPr>
        <w:t>；二是</w:t>
      </w:r>
      <w:r>
        <w:rPr>
          <w:rFonts w:hint="eastAsia" w:ascii="仿宋" w:hAnsi="仿宋" w:eastAsia="仿宋" w:cs="仿宋"/>
          <w:i w:val="0"/>
          <w:iCs w:val="0"/>
          <w:caps w:val="0"/>
          <w:color w:val="auto"/>
          <w:spacing w:val="11"/>
          <w:kern w:val="0"/>
          <w:sz w:val="32"/>
          <w:szCs w:val="32"/>
          <w:shd w:val="clear" w:color="auto" w:fill="FFFFFF"/>
          <w:lang w:val="en-US" w:eastAsia="zh-CN" w:bidi="ar"/>
        </w:rPr>
        <w:t>数据收集与分析存在局限性</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在数据收集方面，我单位虽然注重数据的真实性和准确性，但由于数据来源的多样性和复杂性，仍存在数据收集不全、数据质量参差不齐的问题。此外，在数据分析方面，我们目前主要依赖于传统的统计分析方法，对于更高级的数据挖掘和机器学习技术运用不足，这也在一定程度上限制了评价结果的深度和广度</w:t>
      </w:r>
      <w:r>
        <w:rPr>
          <w:rFonts w:hint="default" w:ascii="仿宋" w:hAnsi="仿宋" w:eastAsia="仿宋" w:cs="仿宋"/>
          <w:i w:val="0"/>
          <w:iCs w:val="0"/>
          <w:caps w:val="0"/>
          <w:color w:val="auto"/>
          <w:spacing w:val="11"/>
          <w:kern w:val="0"/>
          <w:sz w:val="32"/>
          <w:szCs w:val="32"/>
          <w:shd w:val="clear" w:color="auto" w:fill="FFFFFF"/>
          <w:lang w:eastAsia="zh-CN" w:bidi="ar"/>
        </w:rPr>
        <w:t>；三是</w:t>
      </w:r>
      <w:r>
        <w:rPr>
          <w:rFonts w:hint="eastAsia" w:ascii="仿宋" w:hAnsi="仿宋" w:eastAsia="仿宋" w:cs="仿宋"/>
          <w:i w:val="0"/>
          <w:iCs w:val="0"/>
          <w:caps w:val="0"/>
          <w:color w:val="auto"/>
          <w:spacing w:val="11"/>
          <w:kern w:val="0"/>
          <w:sz w:val="32"/>
          <w:szCs w:val="32"/>
          <w:shd w:val="clear" w:color="auto" w:fill="FFFFFF"/>
          <w:lang w:val="en-US" w:eastAsia="zh-CN" w:bidi="ar"/>
        </w:rPr>
        <w:t>部门间协作与沟通不够顺畅</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尽管我单位加强了部门间的沟通与协作，但在实际操作中仍存在一些问题</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同时，部门间信息共享和沟通渠道不畅通，也影响了评价工作的效率和准确性</w:t>
      </w:r>
      <w:r>
        <w:rPr>
          <w:rFonts w:hint="default" w:ascii="仿宋" w:hAnsi="仿宋" w:eastAsia="仿宋" w:cs="仿宋"/>
          <w:i w:val="0"/>
          <w:iCs w:val="0"/>
          <w:caps w:val="0"/>
          <w:color w:val="auto"/>
          <w:spacing w:val="11"/>
          <w:kern w:val="0"/>
          <w:sz w:val="32"/>
          <w:szCs w:val="32"/>
          <w:shd w:val="clear" w:color="auto" w:fill="FFFFFF"/>
          <w:lang w:eastAsia="zh-CN" w:bidi="ar"/>
        </w:rPr>
        <w:t>；四是</w:t>
      </w:r>
      <w:r>
        <w:rPr>
          <w:rFonts w:hint="eastAsia" w:ascii="仿宋" w:hAnsi="仿宋" w:eastAsia="仿宋" w:cs="仿宋"/>
          <w:i w:val="0"/>
          <w:iCs w:val="0"/>
          <w:caps w:val="0"/>
          <w:color w:val="auto"/>
          <w:spacing w:val="11"/>
          <w:kern w:val="0"/>
          <w:sz w:val="32"/>
          <w:szCs w:val="32"/>
          <w:shd w:val="clear" w:color="auto" w:fill="FFFFFF"/>
          <w:lang w:val="en-US" w:eastAsia="zh-CN" w:bidi="ar"/>
        </w:rPr>
        <w:t>反馈与改进机制尚需加强</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虽然我单位建立了持续改进和反馈机制，但在实际操作中，这一机制的执行力度和效果还有待加强。同时，部分部室馆门和人员对改进措施的重视程度不够，导致改进措施难以得到有效落实。</w:t>
      </w:r>
      <w:r>
        <w:rPr>
          <w:rFonts w:ascii="Times New Roman" w:hAnsi="Times New Roman" w:eastAsia="仿宋_GB2312" w:cs="Times New Roman"/>
          <w:color w:val="auto"/>
          <w:sz w:val="32"/>
          <w:szCs w:val="32"/>
        </w:rPr>
        <w:t>下一步改进措施：一是</w:t>
      </w:r>
      <w:r>
        <w:rPr>
          <w:rFonts w:hint="eastAsia" w:ascii="仿宋" w:hAnsi="仿宋" w:eastAsia="仿宋" w:cs="仿宋"/>
          <w:i w:val="0"/>
          <w:iCs w:val="0"/>
          <w:caps w:val="0"/>
          <w:color w:val="auto"/>
          <w:spacing w:val="11"/>
          <w:kern w:val="0"/>
          <w:sz w:val="32"/>
          <w:szCs w:val="32"/>
          <w:shd w:val="clear" w:color="auto" w:fill="FFFFFF"/>
          <w:lang w:val="en-US" w:eastAsia="zh-CN" w:bidi="ar"/>
        </w:rPr>
        <w:t>完善评价体系</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①</w:t>
      </w:r>
      <w:r>
        <w:rPr>
          <w:rFonts w:hint="eastAsia" w:ascii="仿宋" w:hAnsi="仿宋" w:eastAsia="仿宋" w:cs="仿宋"/>
          <w:i w:val="0"/>
          <w:iCs w:val="0"/>
          <w:caps w:val="0"/>
          <w:color w:val="auto"/>
          <w:spacing w:val="6"/>
          <w:kern w:val="0"/>
          <w:sz w:val="32"/>
          <w:szCs w:val="32"/>
          <w:shd w:val="clear" w:color="auto" w:fill="FFFFFF"/>
          <w:lang w:val="en-US" w:eastAsia="zh-CN" w:bidi="ar"/>
        </w:rPr>
        <w:t>细化指标设</w:t>
      </w:r>
      <w:r>
        <w:rPr>
          <w:rFonts w:hint="eastAsia" w:ascii="仿宋" w:hAnsi="仿宋" w:eastAsia="仿宋" w:cs="仿宋"/>
          <w:i w:val="0"/>
          <w:iCs w:val="0"/>
          <w:caps w:val="0"/>
          <w:color w:val="auto"/>
          <w:spacing w:val="0"/>
          <w:kern w:val="0"/>
          <w:sz w:val="32"/>
          <w:szCs w:val="32"/>
          <w:shd w:val="clear" w:color="auto" w:fill="FFFFFF"/>
          <w:lang w:val="en-US" w:eastAsia="zh-CN" w:bidi="ar"/>
        </w:rPr>
        <w:t>置</w:t>
      </w:r>
      <w:r>
        <w:rPr>
          <w:rFonts w:hint="default" w:ascii="仿宋" w:hAnsi="仿宋" w:eastAsia="仿宋" w:cs="仿宋"/>
          <w:i w:val="0"/>
          <w:iCs w:val="0"/>
          <w:caps w:val="0"/>
          <w:color w:val="auto"/>
          <w:spacing w:val="0"/>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②合理分配权重</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③引入专家评审</w:t>
      </w:r>
      <w:r>
        <w:rPr>
          <w:rFonts w:hint="default" w:ascii="仿宋" w:hAnsi="仿宋" w:eastAsia="仿宋" w:cs="仿宋"/>
          <w:i w:val="0"/>
          <w:iCs w:val="0"/>
          <w:caps w:val="0"/>
          <w:color w:val="auto"/>
          <w:spacing w:val="11"/>
          <w:kern w:val="0"/>
          <w:sz w:val="32"/>
          <w:szCs w:val="32"/>
          <w:shd w:val="clear" w:color="auto" w:fill="FFFFFF"/>
          <w:lang w:eastAsia="zh-CN" w:bidi="ar"/>
        </w:rPr>
        <w:t>；二是</w:t>
      </w:r>
      <w:r>
        <w:rPr>
          <w:rFonts w:hint="eastAsia" w:ascii="仿宋" w:hAnsi="仿宋" w:eastAsia="仿宋" w:cs="仿宋"/>
          <w:i w:val="0"/>
          <w:iCs w:val="0"/>
          <w:caps w:val="0"/>
          <w:color w:val="auto"/>
          <w:spacing w:val="11"/>
          <w:kern w:val="0"/>
          <w:sz w:val="32"/>
          <w:szCs w:val="32"/>
          <w:shd w:val="clear" w:color="auto" w:fill="FFFFFF"/>
          <w:lang w:val="en-US" w:eastAsia="zh-CN" w:bidi="ar"/>
        </w:rPr>
        <w:t>加强数据收集与分析能力</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①完善数据收集机制</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②引入先进分析方法</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③加强数据培训</w:t>
      </w:r>
      <w:r>
        <w:rPr>
          <w:rFonts w:hint="default" w:ascii="仿宋" w:hAnsi="仿宋" w:eastAsia="仿宋" w:cs="仿宋"/>
          <w:i w:val="0"/>
          <w:iCs w:val="0"/>
          <w:caps w:val="0"/>
          <w:color w:val="auto"/>
          <w:spacing w:val="11"/>
          <w:kern w:val="0"/>
          <w:sz w:val="32"/>
          <w:szCs w:val="32"/>
          <w:shd w:val="clear" w:color="auto" w:fill="FFFFFF"/>
          <w:lang w:eastAsia="zh-CN" w:bidi="ar"/>
        </w:rPr>
        <w:t>；三是</w:t>
      </w:r>
      <w:r>
        <w:rPr>
          <w:rFonts w:hint="eastAsia" w:ascii="仿宋" w:hAnsi="仿宋" w:eastAsia="仿宋" w:cs="仿宋"/>
          <w:i w:val="0"/>
          <w:iCs w:val="0"/>
          <w:caps w:val="0"/>
          <w:color w:val="auto"/>
          <w:spacing w:val="11"/>
          <w:kern w:val="0"/>
          <w:sz w:val="32"/>
          <w:szCs w:val="32"/>
          <w:shd w:val="clear" w:color="auto" w:fill="FFFFFF"/>
          <w:lang w:val="en-US" w:eastAsia="zh-CN" w:bidi="ar"/>
        </w:rPr>
        <w:t>加强部门间协作与沟通</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①提高认识与参与度</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②建立信息共享平台</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③定期召开协调会议</w:t>
      </w:r>
      <w:r>
        <w:rPr>
          <w:rFonts w:hint="default" w:ascii="仿宋" w:hAnsi="仿宋" w:eastAsia="仿宋" w:cs="仿宋"/>
          <w:i w:val="0"/>
          <w:iCs w:val="0"/>
          <w:caps w:val="0"/>
          <w:color w:val="auto"/>
          <w:spacing w:val="11"/>
          <w:kern w:val="0"/>
          <w:sz w:val="32"/>
          <w:szCs w:val="32"/>
          <w:shd w:val="clear" w:color="auto" w:fill="FFFFFF"/>
          <w:lang w:eastAsia="zh-CN" w:bidi="ar"/>
        </w:rPr>
        <w:t>；四是</w:t>
      </w:r>
      <w:r>
        <w:rPr>
          <w:rFonts w:hint="eastAsia" w:ascii="仿宋" w:hAnsi="仿宋" w:eastAsia="仿宋" w:cs="仿宋"/>
          <w:i w:val="0"/>
          <w:iCs w:val="0"/>
          <w:caps w:val="0"/>
          <w:color w:val="auto"/>
          <w:spacing w:val="11"/>
          <w:kern w:val="0"/>
          <w:sz w:val="32"/>
          <w:szCs w:val="32"/>
          <w:shd w:val="clear" w:color="auto" w:fill="FFFFFF"/>
          <w:lang w:val="en-US" w:eastAsia="zh-CN" w:bidi="ar"/>
        </w:rPr>
        <w:t>强化反馈与改进机制</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①建立反馈渠道</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②加强监督与评估</w:t>
      </w:r>
      <w:r>
        <w:rPr>
          <w:rFonts w:hint="default" w:ascii="仿宋" w:hAnsi="仿宋" w:eastAsia="仿宋" w:cs="仿宋"/>
          <w:i w:val="0"/>
          <w:iCs w:val="0"/>
          <w:caps w:val="0"/>
          <w:color w:val="auto"/>
          <w:spacing w:val="11"/>
          <w:kern w:val="0"/>
          <w:sz w:val="32"/>
          <w:szCs w:val="32"/>
          <w:shd w:val="clear" w:color="auto" w:fill="FFFFFF"/>
          <w:lang w:eastAsia="zh-CN" w:bidi="ar"/>
        </w:rPr>
        <w:t>、</w:t>
      </w:r>
      <w:r>
        <w:rPr>
          <w:rFonts w:hint="eastAsia" w:ascii="仿宋" w:hAnsi="仿宋" w:eastAsia="仿宋" w:cs="仿宋"/>
          <w:i w:val="0"/>
          <w:iCs w:val="0"/>
          <w:caps w:val="0"/>
          <w:color w:val="auto"/>
          <w:spacing w:val="11"/>
          <w:kern w:val="0"/>
          <w:sz w:val="32"/>
          <w:szCs w:val="32"/>
          <w:shd w:val="clear" w:color="auto" w:fill="FFFFFF"/>
          <w:lang w:val="en-US" w:eastAsia="zh-CN" w:bidi="ar"/>
        </w:rPr>
        <w:t>③鼓励创新与实践。</w:t>
      </w:r>
      <w:r>
        <w:rPr>
          <w:rFonts w:ascii="Times New Roman" w:hAnsi="Times New Roman" w:eastAsia="仿宋_GB2312" w:cs="Times New Roman"/>
          <w:b/>
          <w:bCs/>
          <w:color w:val="auto"/>
          <w:kern w:val="0"/>
          <w:sz w:val="32"/>
          <w:szCs w:val="32"/>
        </w:rPr>
        <w:t>二是部门评价结果（如有，一级预算部门填写）。</w:t>
      </w:r>
      <w:r>
        <w:rPr>
          <w:rFonts w:ascii="Times New Roman" w:hAnsi="Times New Roman" w:eastAsia="仿宋_GB2312" w:cs="Times New Roman"/>
          <w:color w:val="auto"/>
          <w:sz w:val="32"/>
          <w:szCs w:val="32"/>
        </w:rPr>
        <w:t>后扶维稳工作经费项目全年预算数</w:t>
      </w:r>
      <w:r>
        <w:rPr>
          <w:rFonts w:hint="default" w:ascii="Times New Roman" w:hAnsi="Times New Roman" w:eastAsia="仿宋_GB2312" w:cs="Times New Roman"/>
          <w:color w:val="auto"/>
          <w:sz w:val="32"/>
          <w:szCs w:val="32"/>
        </w:rPr>
        <w:t>34.38</w:t>
      </w:r>
      <w:r>
        <w:rPr>
          <w:rFonts w:ascii="Times New Roman" w:hAnsi="Times New Roman" w:eastAsia="仿宋_GB2312" w:cs="Times New Roman"/>
          <w:color w:val="auto"/>
          <w:sz w:val="32"/>
          <w:szCs w:val="32"/>
        </w:rPr>
        <w:t>万元，执行数</w:t>
      </w:r>
      <w:r>
        <w:rPr>
          <w:rFonts w:hint="default" w:ascii="Times New Roman" w:hAnsi="Times New Roman" w:eastAsia="仿宋_GB2312" w:cs="Times New Roman"/>
          <w:color w:val="auto"/>
          <w:sz w:val="32"/>
          <w:szCs w:val="32"/>
        </w:rPr>
        <w:t>34.38</w:t>
      </w:r>
      <w:r>
        <w:rPr>
          <w:rFonts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default" w:ascii="Times New Roman" w:hAnsi="Times New Roman" w:eastAsia="仿宋_GB2312" w:cs="Times New Roman"/>
          <w:color w:val="auto"/>
          <w:sz w:val="32"/>
          <w:szCs w:val="32"/>
        </w:rPr>
        <w:t>98</w:t>
      </w:r>
      <w:r>
        <w:rPr>
          <w:rFonts w:ascii="Times New Roman" w:hAnsi="Times New Roman" w:eastAsia="仿宋_GB2312" w:cs="Times New Roman"/>
          <w:color w:val="auto"/>
          <w:sz w:val="32"/>
          <w:szCs w:val="32"/>
        </w:rPr>
        <w:t>分，评价等级为“良好”；中央大中型水库移民后期扶持资金项目全年预算数</w:t>
      </w:r>
      <w:r>
        <w:rPr>
          <w:rFonts w:hint="default" w:ascii="Times New Roman" w:hAnsi="Times New Roman" w:eastAsia="仿宋_GB2312" w:cs="Times New Roman"/>
          <w:color w:val="auto"/>
          <w:sz w:val="32"/>
          <w:szCs w:val="32"/>
        </w:rPr>
        <w:t>58.6</w:t>
      </w:r>
      <w:r>
        <w:rPr>
          <w:rFonts w:ascii="Times New Roman" w:hAnsi="Times New Roman" w:eastAsia="仿宋_GB2312" w:cs="Times New Roman"/>
          <w:color w:val="auto"/>
          <w:sz w:val="32"/>
          <w:szCs w:val="32"/>
        </w:rPr>
        <w:t>万元，执行数</w:t>
      </w:r>
      <w:r>
        <w:rPr>
          <w:rFonts w:hint="default" w:ascii="Times New Roman" w:hAnsi="Times New Roman" w:eastAsia="仿宋_GB2312" w:cs="Times New Roman"/>
          <w:color w:val="auto"/>
          <w:sz w:val="32"/>
          <w:szCs w:val="32"/>
        </w:rPr>
        <w:t>58.6</w:t>
      </w:r>
      <w:r>
        <w:rPr>
          <w:rFonts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default" w:ascii="Times New Roman" w:hAnsi="Times New Roman" w:eastAsia="仿宋_GB2312" w:cs="Times New Roman"/>
          <w:color w:val="auto"/>
          <w:sz w:val="32"/>
          <w:szCs w:val="32"/>
        </w:rPr>
        <w:t>98</w:t>
      </w:r>
      <w:r>
        <w:rPr>
          <w:rFonts w:ascii="Times New Roman" w:hAnsi="Times New Roman" w:eastAsia="仿宋_GB2312" w:cs="Times New Roman"/>
          <w:color w:val="auto"/>
          <w:sz w:val="32"/>
          <w:szCs w:val="32"/>
        </w:rPr>
        <w:t>分，评价等级为“良好”；移民工作经费补助资金项目全年预算数</w:t>
      </w:r>
      <w:r>
        <w:rPr>
          <w:rFonts w:hint="default" w:ascii="Times New Roman" w:hAnsi="Times New Roman" w:eastAsia="仿宋_GB2312" w:cs="Times New Roman"/>
          <w:color w:val="auto"/>
          <w:sz w:val="32"/>
          <w:szCs w:val="32"/>
        </w:rPr>
        <w:t>10.66</w:t>
      </w:r>
      <w:r>
        <w:rPr>
          <w:rFonts w:ascii="Times New Roman" w:hAnsi="Times New Roman" w:eastAsia="仿宋_GB2312" w:cs="Times New Roman"/>
          <w:color w:val="auto"/>
          <w:sz w:val="32"/>
          <w:szCs w:val="32"/>
        </w:rPr>
        <w:t>万元，执行数</w:t>
      </w:r>
      <w:r>
        <w:rPr>
          <w:rFonts w:hint="default" w:ascii="Times New Roman" w:hAnsi="Times New Roman" w:eastAsia="仿宋_GB2312" w:cs="Times New Roman"/>
          <w:color w:val="auto"/>
          <w:sz w:val="32"/>
          <w:szCs w:val="32"/>
        </w:rPr>
        <w:t>10.66</w:t>
      </w:r>
      <w:r>
        <w:rPr>
          <w:rFonts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default" w:ascii="Times New Roman" w:hAnsi="Times New Roman" w:eastAsia="仿宋_GB2312" w:cs="Times New Roman"/>
          <w:color w:val="auto"/>
          <w:sz w:val="32"/>
          <w:szCs w:val="32"/>
        </w:rPr>
        <w:t>98</w:t>
      </w:r>
      <w:r>
        <w:rPr>
          <w:rFonts w:ascii="Times New Roman" w:hAnsi="Times New Roman" w:eastAsia="仿宋_GB2312" w:cs="Times New Roman"/>
          <w:color w:val="auto"/>
          <w:sz w:val="32"/>
          <w:szCs w:val="32"/>
        </w:rPr>
        <w:t>分，评价等级为“良好”；全市移民存量资金监督检查工作经费项目全年预算数</w:t>
      </w:r>
      <w:r>
        <w:rPr>
          <w:rFonts w:hint="default" w:ascii="Times New Roman" w:hAnsi="Times New Roman" w:eastAsia="仿宋_GB2312" w:cs="Times New Roman"/>
          <w:color w:val="auto"/>
          <w:sz w:val="32"/>
          <w:szCs w:val="32"/>
        </w:rPr>
        <w:t>8.46</w:t>
      </w:r>
      <w:r>
        <w:rPr>
          <w:rFonts w:ascii="Times New Roman" w:hAnsi="Times New Roman" w:eastAsia="仿宋_GB2312" w:cs="Times New Roman"/>
          <w:color w:val="auto"/>
          <w:sz w:val="32"/>
          <w:szCs w:val="32"/>
        </w:rPr>
        <w:t>万元，执行数</w:t>
      </w:r>
      <w:r>
        <w:rPr>
          <w:rFonts w:hint="default" w:ascii="Times New Roman" w:hAnsi="Times New Roman" w:eastAsia="仿宋_GB2312" w:cs="Times New Roman"/>
          <w:color w:val="auto"/>
          <w:sz w:val="32"/>
          <w:szCs w:val="32"/>
        </w:rPr>
        <w:t>8.46</w:t>
      </w:r>
      <w:r>
        <w:rPr>
          <w:rFonts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default" w:ascii="Times New Roman" w:hAnsi="Times New Roman" w:eastAsia="仿宋_GB2312" w:cs="Times New Roman"/>
          <w:color w:val="auto"/>
          <w:sz w:val="32"/>
          <w:szCs w:val="32"/>
        </w:rPr>
        <w:t>98</w:t>
      </w:r>
      <w:r>
        <w:rPr>
          <w:rFonts w:ascii="Times New Roman" w:hAnsi="Times New Roman" w:eastAsia="仿宋_GB2312" w:cs="Times New Roman"/>
          <w:color w:val="auto"/>
          <w:sz w:val="32"/>
          <w:szCs w:val="32"/>
        </w:rPr>
        <w:t>分，评价等级为“良好”。以上四个项目都是一些共性问题，他们发现的主要问题及原因：一是</w:t>
      </w:r>
      <w:r>
        <w:rPr>
          <w:rFonts w:hint="eastAsia" w:ascii="仿宋" w:hAnsi="仿宋" w:eastAsia="仿宋" w:cs="仿宋"/>
          <w:i w:val="0"/>
          <w:iCs w:val="0"/>
          <w:caps w:val="0"/>
          <w:color w:val="auto"/>
          <w:spacing w:val="11"/>
          <w:kern w:val="0"/>
          <w:sz w:val="32"/>
          <w:szCs w:val="32"/>
          <w:shd w:val="clear" w:color="auto" w:fill="FFFFFF"/>
          <w:lang w:val="en-US" w:eastAsia="zh-CN" w:bidi="ar"/>
        </w:rPr>
        <w:t>评价体系有待完善</w:t>
      </w:r>
      <w:r>
        <w:rPr>
          <w:rFonts w:ascii="Times New Roman" w:hAnsi="Times New Roman" w:eastAsia="仿宋_GB2312" w:cs="Times New Roman"/>
          <w:color w:val="auto"/>
          <w:sz w:val="32"/>
          <w:szCs w:val="32"/>
        </w:rPr>
        <w:t>；二是</w:t>
      </w:r>
      <w:r>
        <w:rPr>
          <w:rFonts w:hint="eastAsia" w:ascii="仿宋" w:hAnsi="仿宋" w:eastAsia="仿宋" w:cs="仿宋"/>
          <w:i w:val="0"/>
          <w:iCs w:val="0"/>
          <w:caps w:val="0"/>
          <w:color w:val="auto"/>
          <w:spacing w:val="11"/>
          <w:kern w:val="0"/>
          <w:sz w:val="32"/>
          <w:szCs w:val="32"/>
          <w:shd w:val="clear" w:color="auto" w:fill="FFFFFF"/>
          <w:lang w:val="en-US" w:eastAsia="zh-CN" w:bidi="ar"/>
        </w:rPr>
        <w:t>数据收集与分析存在局限性</w:t>
      </w:r>
      <w:r>
        <w:rPr>
          <w:rFonts w:hint="default" w:ascii="仿宋" w:hAnsi="仿宋" w:eastAsia="仿宋" w:cs="仿宋"/>
          <w:i w:val="0"/>
          <w:iCs w:val="0"/>
          <w:caps w:val="0"/>
          <w:color w:val="auto"/>
          <w:spacing w:val="11"/>
          <w:kern w:val="0"/>
          <w:sz w:val="32"/>
          <w:szCs w:val="32"/>
          <w:shd w:val="clear" w:color="auto" w:fill="FFFFFF"/>
          <w:lang w:eastAsia="zh-CN" w:bidi="ar"/>
        </w:rPr>
        <w:t>；三是</w:t>
      </w:r>
      <w:r>
        <w:rPr>
          <w:rFonts w:hint="eastAsia" w:ascii="仿宋" w:hAnsi="仿宋" w:eastAsia="仿宋" w:cs="仿宋"/>
          <w:i w:val="0"/>
          <w:iCs w:val="0"/>
          <w:caps w:val="0"/>
          <w:color w:val="auto"/>
          <w:spacing w:val="11"/>
          <w:kern w:val="0"/>
          <w:sz w:val="32"/>
          <w:szCs w:val="32"/>
          <w:shd w:val="clear" w:color="auto" w:fill="FFFFFF"/>
          <w:lang w:val="en-US" w:eastAsia="zh-CN" w:bidi="ar"/>
        </w:rPr>
        <w:t>部门间协作与沟通不够顺畅</w:t>
      </w:r>
      <w:r>
        <w:rPr>
          <w:rFonts w:hint="default" w:ascii="仿宋" w:hAnsi="仿宋" w:eastAsia="仿宋" w:cs="仿宋"/>
          <w:i w:val="0"/>
          <w:iCs w:val="0"/>
          <w:caps w:val="0"/>
          <w:color w:val="auto"/>
          <w:spacing w:val="11"/>
          <w:kern w:val="0"/>
          <w:sz w:val="32"/>
          <w:szCs w:val="32"/>
          <w:shd w:val="clear" w:color="auto" w:fill="FFFFFF"/>
          <w:lang w:eastAsia="zh-CN" w:bidi="ar"/>
        </w:rPr>
        <w:t>；四是</w:t>
      </w:r>
      <w:r>
        <w:rPr>
          <w:rFonts w:hint="eastAsia" w:ascii="仿宋" w:hAnsi="仿宋" w:eastAsia="仿宋" w:cs="仿宋"/>
          <w:i w:val="0"/>
          <w:iCs w:val="0"/>
          <w:caps w:val="0"/>
          <w:color w:val="auto"/>
          <w:spacing w:val="11"/>
          <w:kern w:val="0"/>
          <w:sz w:val="32"/>
          <w:szCs w:val="32"/>
          <w:shd w:val="clear" w:color="auto" w:fill="FFFFFF"/>
          <w:lang w:val="en-US" w:eastAsia="zh-CN" w:bidi="ar"/>
        </w:rPr>
        <w:t>反馈与改进机制尚需加强</w:t>
      </w:r>
      <w:r>
        <w:rPr>
          <w:rFonts w:ascii="Times New Roman" w:hAnsi="Times New Roman" w:eastAsia="仿宋_GB2312" w:cs="Times New Roman"/>
          <w:color w:val="auto"/>
          <w:sz w:val="32"/>
          <w:szCs w:val="32"/>
        </w:rPr>
        <w:t>。下一步改进措施：</w:t>
      </w:r>
      <w:r>
        <w:rPr>
          <w:rFonts w:hint="eastAsia" w:ascii="仿宋" w:hAnsi="仿宋" w:eastAsia="仿宋" w:cs="仿宋"/>
          <w:color w:val="auto"/>
          <w:sz w:val="32"/>
          <w:szCs w:val="32"/>
        </w:rPr>
        <w:t>加强对绩效评价工作的培训与指导，进一步优化项目绩效考核指标体系，做到合理性和可操作性的有机统一。</w:t>
      </w:r>
      <w:r>
        <w:rPr>
          <w:rFonts w:ascii="Times New Roman" w:hAnsi="Times New Roman" w:eastAsia="仿宋_GB2312" w:cs="Times New Roman"/>
          <w:b/>
          <w:bCs/>
          <w:color w:val="auto"/>
          <w:kern w:val="0"/>
          <w:sz w:val="32"/>
          <w:szCs w:val="32"/>
        </w:rPr>
        <w:t>三是事前绩效评估结果。</w:t>
      </w:r>
      <w:r>
        <w:rPr>
          <w:rFonts w:ascii="Times New Roman" w:hAnsi="Times New Roman" w:eastAsia="仿宋_GB2312" w:cs="Times New Roman"/>
          <w:color w:val="auto"/>
          <w:kern w:val="0"/>
          <w:sz w:val="32"/>
          <w:szCs w:val="32"/>
        </w:rPr>
        <w:t>2024年度</w:t>
      </w:r>
      <w:r>
        <w:rPr>
          <w:rFonts w:hint="default" w:ascii="Times New Roman" w:hAnsi="Times New Roman" w:eastAsia="仿宋_GB2312" w:cs="Times New Roman"/>
          <w:color w:val="auto"/>
          <w:sz w:val="32"/>
          <w:szCs w:val="32"/>
        </w:rPr>
        <w:t>4</w:t>
      </w:r>
      <w:r>
        <w:rPr>
          <w:rFonts w:ascii="Times New Roman" w:hAnsi="Times New Roman" w:eastAsia="仿宋_GB2312" w:cs="Times New Roman"/>
          <w:color w:val="auto"/>
          <w:kern w:val="0"/>
          <w:sz w:val="32"/>
          <w:szCs w:val="32"/>
        </w:rPr>
        <w:t>个重大项目事前绩效评估，其中，</w:t>
      </w:r>
      <w:r>
        <w:rPr>
          <w:rFonts w:hint="default" w:ascii="Times New Roman" w:hAnsi="Times New Roman" w:eastAsia="仿宋_GB2312" w:cs="Times New Roman"/>
          <w:color w:val="auto"/>
          <w:sz w:val="32"/>
          <w:szCs w:val="32"/>
        </w:rPr>
        <w:t>4</w:t>
      </w:r>
      <w:r>
        <w:rPr>
          <w:rFonts w:ascii="Times New Roman" w:hAnsi="Times New Roman" w:eastAsia="仿宋_GB2312" w:cs="Times New Roman"/>
          <w:color w:val="auto"/>
          <w:kern w:val="0"/>
          <w:sz w:val="32"/>
          <w:szCs w:val="32"/>
        </w:rPr>
        <w:t>个项目评估通过，涉及资金</w:t>
      </w:r>
      <w:r>
        <w:rPr>
          <w:rFonts w:hint="default" w:ascii="Times New Roman" w:hAnsi="Times New Roman" w:eastAsia="仿宋_GB2312" w:cs="Times New Roman"/>
          <w:color w:val="auto"/>
          <w:sz w:val="32"/>
          <w:szCs w:val="32"/>
        </w:rPr>
        <w:t>112.11</w:t>
      </w:r>
      <w:r>
        <w:rPr>
          <w:rFonts w:ascii="Times New Roman" w:hAnsi="Times New Roman" w:eastAsia="仿宋_GB2312" w:cs="Times New Roman"/>
          <w:color w:val="auto"/>
          <w:kern w:val="0"/>
          <w:sz w:val="32"/>
          <w:szCs w:val="32"/>
        </w:rPr>
        <w:t>万元，</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kern w:val="0"/>
          <w:sz w:val="32"/>
          <w:szCs w:val="32"/>
        </w:rPr>
        <w:t>个项目评估不通过，涉及资金</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kern w:val="0"/>
          <w:sz w:val="32"/>
          <w:szCs w:val="32"/>
        </w:rPr>
        <w:t>万元。</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Chars="0" w:right="0" w:firstLine="640" w:firstLineChars="200"/>
        <w:jc w:val="both"/>
        <w:textAlignment w:val="auto"/>
        <w:rPr>
          <w:rFonts w:hint="eastAsia" w:ascii="仿宋" w:hAnsi="仿宋" w:eastAsia="仿宋" w:cs="仿宋"/>
          <w:i w:val="0"/>
          <w:iCs w:val="0"/>
          <w:caps w:val="0"/>
          <w:color w:val="auto"/>
          <w:spacing w:val="11"/>
          <w:kern w:val="0"/>
          <w:sz w:val="32"/>
          <w:szCs w:val="32"/>
          <w:shd w:val="clear" w:color="auto" w:fill="FFFFFF"/>
          <w:lang w:val="en-US" w:eastAsia="zh-CN" w:bidi="ar"/>
        </w:rPr>
      </w:pPr>
      <w:r>
        <w:rPr>
          <w:rFonts w:ascii="Times New Roman" w:hAnsi="Times New Roman" w:eastAsia="楷体_GB2312" w:cs="Times New Roman"/>
          <w:b/>
          <w:bCs/>
          <w:color w:val="auto"/>
          <w:kern w:val="2"/>
          <w:sz w:val="32"/>
          <w:szCs w:val="32"/>
        </w:rPr>
        <w:t>（三）评价结果应用情况。</w:t>
      </w:r>
      <w:r>
        <w:rPr>
          <w:rFonts w:hint="eastAsia" w:ascii="仿宋" w:hAnsi="仿宋" w:eastAsia="仿宋" w:cs="仿宋"/>
          <w:i w:val="0"/>
          <w:iCs w:val="0"/>
          <w:caps w:val="0"/>
          <w:color w:val="auto"/>
          <w:spacing w:val="11"/>
          <w:kern w:val="0"/>
          <w:sz w:val="32"/>
          <w:szCs w:val="32"/>
          <w:shd w:val="clear" w:color="auto" w:fill="FFFFFF"/>
          <w:lang w:val="en-US" w:eastAsia="zh-CN" w:bidi="ar"/>
        </w:rPr>
        <w:t>（1）后扶维稳工作经费项目绩效目标:库区移民安置区社会稳定，基础设施配套完善，移民安居乐业，生活水平进一步提高，全年无群体性上访案件。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Chars="0" w:right="0" w:firstLine="684" w:firstLineChars="200"/>
        <w:jc w:val="both"/>
        <w:textAlignment w:val="auto"/>
        <w:rPr>
          <w:rFonts w:hint="eastAsia" w:ascii="仿宋" w:hAnsi="仿宋" w:eastAsia="仿宋" w:cs="仿宋"/>
          <w:i w:val="0"/>
          <w:iCs w:val="0"/>
          <w:caps w:val="0"/>
          <w:color w:val="auto"/>
          <w:spacing w:val="11"/>
          <w:kern w:val="0"/>
          <w:sz w:val="32"/>
          <w:szCs w:val="32"/>
          <w:shd w:val="clear" w:color="auto" w:fill="FFFFFF"/>
          <w:lang w:val="en-US" w:eastAsia="zh-CN" w:bidi="ar"/>
        </w:rPr>
      </w:pPr>
      <w:r>
        <w:rPr>
          <w:rFonts w:hint="eastAsia" w:ascii="仿宋" w:hAnsi="仿宋" w:eastAsia="仿宋" w:cs="仿宋"/>
          <w:i w:val="0"/>
          <w:iCs w:val="0"/>
          <w:caps w:val="0"/>
          <w:color w:val="auto"/>
          <w:spacing w:val="11"/>
          <w:kern w:val="0"/>
          <w:sz w:val="32"/>
          <w:szCs w:val="32"/>
          <w:shd w:val="clear" w:color="auto" w:fill="FFFFFF"/>
          <w:lang w:val="en-US" w:eastAsia="zh-CN" w:bidi="ar"/>
        </w:rPr>
        <w:t>（2）中央大中型水库移民后期扶持资金项目绩效目标：通过开展移民工作信息系统建设，提升移民工作效率。通过开展2023年监督检查和绩效评价工作，发现移民工作中的问题，且各县市区已提交整改报告。</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Chars="0" w:right="0" w:firstLine="684" w:firstLineChars="200"/>
        <w:jc w:val="both"/>
        <w:textAlignment w:val="auto"/>
        <w:rPr>
          <w:rFonts w:hint="eastAsia" w:ascii="仿宋" w:hAnsi="仿宋" w:eastAsia="仿宋" w:cs="仿宋"/>
          <w:i w:val="0"/>
          <w:iCs w:val="0"/>
          <w:caps w:val="0"/>
          <w:color w:val="auto"/>
          <w:spacing w:val="11"/>
          <w:kern w:val="0"/>
          <w:sz w:val="32"/>
          <w:szCs w:val="32"/>
          <w:shd w:val="clear" w:color="auto" w:fill="FFFFFF"/>
          <w:lang w:val="en-US" w:eastAsia="zh-CN" w:bidi="ar"/>
        </w:rPr>
      </w:pPr>
      <w:r>
        <w:rPr>
          <w:rFonts w:hint="eastAsia" w:ascii="仿宋" w:hAnsi="仿宋" w:eastAsia="仿宋" w:cs="仿宋"/>
          <w:i w:val="0"/>
          <w:iCs w:val="0"/>
          <w:caps w:val="0"/>
          <w:color w:val="auto"/>
          <w:spacing w:val="11"/>
          <w:kern w:val="0"/>
          <w:sz w:val="32"/>
          <w:szCs w:val="32"/>
          <w:shd w:val="clear" w:color="auto" w:fill="FFFFFF"/>
          <w:lang w:val="en-US" w:eastAsia="zh-CN" w:bidi="ar"/>
        </w:rPr>
        <w:t>（3）移民工作经费补助资金项目绩效目标：维持库区移民安置区社会稳定，保证基础设施配套完善，使移民安居乐业，生活水平进一步提高，全年无群体性上访案件。　</w:t>
      </w:r>
    </w:p>
    <w:p>
      <w:pPr>
        <w:pStyle w:val="14"/>
        <w:overflowPunct w:val="0"/>
        <w:autoSpaceDE/>
        <w:autoSpaceDN/>
        <w:spacing w:line="600" w:lineRule="exact"/>
        <w:ind w:firstLine="684" w:firstLineChars="200"/>
        <w:jc w:val="both"/>
        <w:rPr>
          <w:rFonts w:ascii="Times New Roman" w:hAnsi="Times New Roman" w:eastAsia="仿宋_GB2312" w:cs="Times New Roman"/>
          <w:color w:val="auto"/>
          <w:sz w:val="72"/>
          <w:szCs w:val="72"/>
        </w:rPr>
      </w:pPr>
      <w:r>
        <w:rPr>
          <w:rFonts w:hint="eastAsia" w:ascii="仿宋" w:hAnsi="仿宋" w:eastAsia="仿宋" w:cs="仿宋"/>
          <w:i w:val="0"/>
          <w:iCs w:val="0"/>
          <w:caps w:val="0"/>
          <w:color w:val="auto"/>
          <w:spacing w:val="11"/>
          <w:kern w:val="0"/>
          <w:sz w:val="32"/>
          <w:szCs w:val="32"/>
          <w:shd w:val="clear" w:color="auto" w:fill="FFFFFF"/>
          <w:lang w:val="en-US" w:eastAsia="zh-CN" w:bidi="ar"/>
        </w:rPr>
        <w:t>（4）全市移民存量资金监督检查工作经费项目绩效目标：开展存量资金督查工作，促进怀化市存量资金消减。</w:t>
      </w:r>
    </w:p>
    <w:p>
      <w:pPr>
        <w:pStyle w:val="14"/>
        <w:jc w:val="center"/>
        <w:rPr>
          <w:rFonts w:ascii="Times New Roman" w:hAnsi="Times New Roman" w:cs="Times New Roman"/>
          <w:color w:val="auto"/>
          <w:sz w:val="72"/>
          <w:szCs w:val="72"/>
        </w:rPr>
      </w:pPr>
    </w:p>
    <w:p>
      <w:pPr>
        <w:pStyle w:val="14"/>
        <w:jc w:val="both"/>
        <w:rPr>
          <w:rFonts w:ascii="Times New Roman" w:hAnsi="Times New Roman" w:cs="Times New Roman"/>
          <w:color w:val="auto"/>
          <w:sz w:val="72"/>
          <w:szCs w:val="72"/>
        </w:rPr>
      </w:pPr>
    </w:p>
    <w:p>
      <w:pPr>
        <w:pStyle w:val="14"/>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第四部分    名词解释</w:t>
      </w:r>
    </w:p>
    <w:p>
      <w:pPr>
        <w:widowControl/>
        <w:jc w:val="left"/>
        <w:rPr>
          <w:rFonts w:ascii="Times New Roman" w:hAnsi="Times New Roman" w:cs="Times New Roman"/>
          <w:color w:val="auto"/>
          <w:kern w:val="0"/>
          <w:sz w:val="32"/>
          <w:szCs w:val="32"/>
        </w:rPr>
      </w:pPr>
    </w:p>
    <w:p>
      <w:pPr>
        <w:pStyle w:val="14"/>
        <w:ind w:firstLine="640" w:firstLineChars="200"/>
        <w:rPr>
          <w:rFonts w:hint="eastAsia" w:cs="黑体" w:asciiTheme="minorEastAsia" w:hAnsiTheme="minorEastAsia"/>
          <w:color w:val="auto"/>
          <w:kern w:val="0"/>
          <w:sz w:val="32"/>
          <w:szCs w:val="32"/>
        </w:rPr>
      </w:pPr>
      <w:r>
        <w:rPr>
          <w:rFonts w:hint="eastAsia" w:cs="黑体" w:asciiTheme="minorEastAsia" w:hAnsiTheme="minorEastAsia"/>
          <w:color w:val="auto"/>
          <w:kern w:val="0"/>
          <w:sz w:val="32"/>
          <w:szCs w:val="32"/>
        </w:rPr>
        <w:t>一、财政拨款收入：</w:t>
      </w:r>
      <w:r>
        <w:rPr>
          <w:rFonts w:hint="eastAsia" w:ascii="Times New Roman" w:hAnsi="Times New Roman" w:eastAsia="仿宋_GB2312"/>
          <w:color w:val="auto"/>
          <w:sz w:val="32"/>
          <w:szCs w:val="32"/>
        </w:rPr>
        <w:t>指单位本年度从市级财政部门取得的财政拨款。</w:t>
      </w:r>
    </w:p>
    <w:p>
      <w:pPr>
        <w:pStyle w:val="14"/>
        <w:ind w:firstLine="640" w:firstLineChars="200"/>
        <w:rPr>
          <w:rFonts w:hint="eastAsia" w:ascii="Times New Roman" w:hAnsi="Times New Roman" w:eastAsia="仿宋_GB2312"/>
          <w:color w:val="auto"/>
          <w:sz w:val="32"/>
          <w:szCs w:val="32"/>
        </w:rPr>
      </w:pPr>
      <w:r>
        <w:rPr>
          <w:rFonts w:hint="eastAsia" w:cs="黑体" w:asciiTheme="minorEastAsia" w:hAnsiTheme="minorEastAsia"/>
          <w:color w:val="auto"/>
          <w:kern w:val="0"/>
          <w:sz w:val="32"/>
          <w:szCs w:val="32"/>
        </w:rPr>
        <w:t>二、上级补助收入：</w:t>
      </w:r>
      <w:r>
        <w:rPr>
          <w:rFonts w:hint="eastAsia" w:ascii="Times New Roman" w:hAnsi="Times New Roman" w:eastAsia="仿宋_GB2312"/>
          <w:color w:val="auto"/>
          <w:sz w:val="32"/>
          <w:szCs w:val="32"/>
        </w:rPr>
        <w:t>指事业单位从主管部门和上级单位取得的非财政补助收入。</w:t>
      </w:r>
    </w:p>
    <w:p>
      <w:pPr>
        <w:pStyle w:val="14"/>
        <w:ind w:firstLine="640" w:firstLineChars="200"/>
        <w:rPr>
          <w:rFonts w:hint="eastAsia" w:cs="黑体" w:asciiTheme="minorEastAsia" w:hAnsiTheme="minorEastAsia"/>
          <w:color w:val="auto"/>
          <w:kern w:val="0"/>
          <w:sz w:val="32"/>
          <w:szCs w:val="32"/>
        </w:rPr>
      </w:pPr>
      <w:r>
        <w:rPr>
          <w:rFonts w:hint="eastAsia" w:cs="黑体" w:asciiTheme="minorEastAsia" w:hAnsiTheme="minorEastAsia"/>
          <w:color w:val="auto"/>
          <w:kern w:val="0"/>
          <w:sz w:val="32"/>
          <w:szCs w:val="32"/>
        </w:rPr>
        <w:t>三、年初结转和结余：</w:t>
      </w:r>
      <w:r>
        <w:rPr>
          <w:rFonts w:hint="eastAsia" w:ascii="Times New Roman" w:hAnsi="Times New Roman" w:eastAsia="仿宋_GB2312"/>
          <w:color w:val="auto"/>
          <w:sz w:val="32"/>
          <w:szCs w:val="32"/>
        </w:rPr>
        <w:t>指单位上年结转本年使用的基本支出结转、项目支出结转和结余和经营结余。</w:t>
      </w:r>
    </w:p>
    <w:p>
      <w:pPr>
        <w:pStyle w:val="14"/>
        <w:ind w:firstLine="640" w:firstLineChars="200"/>
        <w:rPr>
          <w:rFonts w:hint="eastAsia" w:ascii="Times New Roman" w:hAnsi="Times New Roman" w:eastAsia="仿宋_GB2312"/>
          <w:color w:val="auto"/>
          <w:sz w:val="32"/>
          <w:szCs w:val="32"/>
        </w:rPr>
      </w:pPr>
      <w:r>
        <w:rPr>
          <w:rFonts w:hint="eastAsia" w:cs="黑体" w:asciiTheme="minorEastAsia" w:hAnsiTheme="minorEastAsia"/>
          <w:color w:val="auto"/>
          <w:kern w:val="0"/>
          <w:sz w:val="32"/>
          <w:szCs w:val="32"/>
        </w:rPr>
        <w:t>四、年末结转和结余资金：</w:t>
      </w:r>
      <w:r>
        <w:rPr>
          <w:rFonts w:hint="eastAsia" w:ascii="Times New Roman" w:hAnsi="Times New Roman" w:eastAsia="仿宋_GB2312"/>
          <w:color w:val="auto"/>
          <w:sz w:val="32"/>
          <w:szCs w:val="32"/>
        </w:rPr>
        <w:t>指本年度或以前年度预算安排、因客观条件发生变化无法按原计划实施，需要延迟到以后年度按有关规定继续使用的资金。</w:t>
      </w:r>
    </w:p>
    <w:p>
      <w:pPr>
        <w:pStyle w:val="14"/>
        <w:ind w:firstLine="640" w:firstLineChars="200"/>
        <w:rPr>
          <w:rFonts w:hint="eastAsia" w:ascii="Times New Roman" w:hAnsi="Times New Roman" w:eastAsia="仿宋_GB2312"/>
          <w:color w:val="auto"/>
          <w:sz w:val="32"/>
          <w:szCs w:val="32"/>
        </w:rPr>
      </w:pPr>
      <w:r>
        <w:rPr>
          <w:rFonts w:hint="eastAsia" w:cs="黑体" w:asciiTheme="minorEastAsia" w:hAnsiTheme="minorEastAsia"/>
          <w:color w:val="auto"/>
          <w:kern w:val="0"/>
          <w:sz w:val="32"/>
          <w:szCs w:val="32"/>
        </w:rPr>
        <w:t>五、基本支出：</w:t>
      </w:r>
      <w:r>
        <w:rPr>
          <w:rFonts w:hint="eastAsia" w:ascii="Times New Roman" w:hAnsi="Times New Roman" w:eastAsia="仿宋_GB2312"/>
          <w:color w:val="auto"/>
          <w:sz w:val="32"/>
          <w:szCs w:val="32"/>
        </w:rPr>
        <w:t>指为保障机构正常运转、完成日常工作任务而发生的人员支出和公用支出。</w:t>
      </w:r>
    </w:p>
    <w:p>
      <w:pPr>
        <w:pStyle w:val="14"/>
        <w:ind w:firstLine="640" w:firstLineChars="200"/>
        <w:rPr>
          <w:rFonts w:hint="eastAsia" w:ascii="Times New Roman" w:hAnsi="Times New Roman" w:eastAsia="仿宋_GB2312"/>
          <w:color w:val="auto"/>
          <w:sz w:val="32"/>
          <w:szCs w:val="32"/>
        </w:rPr>
      </w:pPr>
      <w:r>
        <w:rPr>
          <w:rFonts w:hint="eastAsia" w:cs="黑体" w:asciiTheme="minorEastAsia" w:hAnsiTheme="minorEastAsia"/>
          <w:color w:val="auto"/>
          <w:kern w:val="0"/>
          <w:sz w:val="32"/>
          <w:szCs w:val="32"/>
        </w:rPr>
        <w:t>六、项目支出：</w:t>
      </w:r>
      <w:r>
        <w:rPr>
          <w:rFonts w:hint="eastAsia" w:ascii="Times New Roman" w:hAnsi="Times New Roman" w:eastAsia="仿宋_GB2312"/>
          <w:color w:val="auto"/>
          <w:sz w:val="32"/>
          <w:szCs w:val="32"/>
        </w:rPr>
        <w:t>指在基本支出之外为完成特定的行政任务或事业发展目标所发生的支出。</w:t>
      </w:r>
    </w:p>
    <w:p>
      <w:pPr>
        <w:pStyle w:val="14"/>
        <w:ind w:firstLine="640" w:firstLineChars="200"/>
        <w:rPr>
          <w:rFonts w:hint="eastAsia" w:ascii="Times New Roman" w:hAnsi="Times New Roman" w:eastAsia="仿宋_GB2312"/>
          <w:color w:val="auto"/>
          <w:sz w:val="32"/>
          <w:szCs w:val="32"/>
        </w:rPr>
      </w:pPr>
      <w:r>
        <w:rPr>
          <w:rFonts w:hint="eastAsia" w:cs="黑体" w:asciiTheme="minorEastAsia" w:hAnsiTheme="minorEastAsia"/>
          <w:color w:val="auto"/>
          <w:kern w:val="0"/>
          <w:sz w:val="32"/>
          <w:szCs w:val="32"/>
        </w:rPr>
        <w:t>七、“三公”经费：</w:t>
      </w:r>
      <w:r>
        <w:rPr>
          <w:rFonts w:hint="eastAsia" w:ascii="Times New Roman" w:hAnsi="Times New Roman" w:eastAsia="仿宋_GB2312"/>
          <w:color w:val="auto"/>
          <w:sz w:val="32"/>
          <w:szCs w:val="32"/>
        </w:rPr>
        <w:t>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14"/>
        <w:jc w:val="left"/>
        <w:rPr>
          <w:rFonts w:ascii="Times New Roman" w:hAnsi="Times New Roman" w:cs="Times New Roman"/>
          <w:color w:val="auto"/>
          <w:sz w:val="72"/>
          <w:szCs w:val="72"/>
        </w:rPr>
      </w:pPr>
      <w:r>
        <w:rPr>
          <w:rFonts w:hint="default" w:cs="黑体" w:asciiTheme="minorEastAsia" w:hAnsiTheme="minorEastAsia"/>
          <w:color w:val="auto"/>
          <w:kern w:val="0"/>
          <w:sz w:val="32"/>
          <w:szCs w:val="32"/>
        </w:rPr>
        <w:t xml:space="preserve">    </w:t>
      </w:r>
      <w:r>
        <w:rPr>
          <w:rFonts w:hint="eastAsia" w:cs="黑体" w:asciiTheme="minorEastAsia" w:hAnsiTheme="minorEastAsia"/>
          <w:color w:val="auto"/>
          <w:kern w:val="0"/>
          <w:sz w:val="32"/>
          <w:szCs w:val="32"/>
        </w:rPr>
        <w:t>八、机关运行经费：</w:t>
      </w:r>
      <w:r>
        <w:rPr>
          <w:rFonts w:hint="eastAsia" w:ascii="Times New Roman" w:hAnsi="Times New Roman" w:eastAsia="仿宋_GB2312"/>
          <w:color w:val="auto"/>
          <w:sz w:val="32"/>
          <w:szCs w:val="32"/>
        </w:rPr>
        <w:t>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pPr>
        <w:pStyle w:val="14"/>
        <w:jc w:val="center"/>
        <w:rPr>
          <w:rFonts w:ascii="Times New Roman" w:hAnsi="Times New Roman" w:cs="Times New Roman"/>
          <w:color w:val="auto"/>
          <w:sz w:val="72"/>
          <w:szCs w:val="72"/>
        </w:rPr>
      </w:pPr>
    </w:p>
    <w:p>
      <w:pPr>
        <w:pStyle w:val="14"/>
        <w:jc w:val="center"/>
        <w:rPr>
          <w:rFonts w:hint="default" w:ascii="Times New Roman" w:hAnsi="Times New Roman" w:cs="Times New Roman"/>
          <w:color w:val="auto"/>
          <w:sz w:val="72"/>
          <w:szCs w:val="72"/>
        </w:rPr>
      </w:pPr>
      <w:r>
        <w:rPr>
          <w:rFonts w:hint="default" w:ascii="Times New Roman" w:hAnsi="Times New Roman" w:cs="Times New Roman"/>
          <w:color w:val="auto"/>
          <w:sz w:val="72"/>
          <w:szCs w:val="72"/>
        </w:rPr>
        <w:t xml:space="preserve">   </w:t>
      </w:r>
    </w:p>
    <w:p>
      <w:pPr>
        <w:pStyle w:val="14"/>
        <w:jc w:val="center"/>
        <w:rPr>
          <w:rFonts w:hint="default" w:ascii="Times New Roman" w:hAnsi="Times New Roman" w:cs="Times New Roman"/>
          <w:color w:val="auto"/>
          <w:sz w:val="72"/>
          <w:szCs w:val="72"/>
        </w:rPr>
      </w:pPr>
    </w:p>
    <w:p>
      <w:pPr>
        <w:pStyle w:val="14"/>
        <w:jc w:val="center"/>
        <w:rPr>
          <w:rFonts w:hint="default" w:ascii="Times New Roman" w:hAnsi="Times New Roman" w:cs="Times New Roman"/>
          <w:color w:val="auto"/>
          <w:sz w:val="72"/>
          <w:szCs w:val="72"/>
        </w:rPr>
      </w:pPr>
    </w:p>
    <w:p>
      <w:pPr>
        <w:pStyle w:val="14"/>
        <w:jc w:val="center"/>
        <w:rPr>
          <w:rFonts w:hint="default" w:ascii="Times New Roman" w:hAnsi="Times New Roman" w:cs="Times New Roman"/>
          <w:color w:val="auto"/>
          <w:sz w:val="72"/>
          <w:szCs w:val="72"/>
        </w:rPr>
      </w:pPr>
    </w:p>
    <w:p>
      <w:pPr>
        <w:pStyle w:val="14"/>
        <w:jc w:val="center"/>
        <w:rPr>
          <w:rFonts w:hint="default" w:ascii="Times New Roman" w:hAnsi="Times New Roman" w:cs="Times New Roman"/>
          <w:color w:val="auto"/>
          <w:sz w:val="72"/>
          <w:szCs w:val="72"/>
        </w:rPr>
      </w:pPr>
    </w:p>
    <w:p>
      <w:pPr>
        <w:pStyle w:val="14"/>
        <w:jc w:val="center"/>
        <w:rPr>
          <w:rFonts w:ascii="Times New Roman" w:hAnsi="Times New Roman" w:cs="Times New Roman"/>
          <w:color w:val="auto"/>
          <w:sz w:val="72"/>
          <w:szCs w:val="72"/>
        </w:rPr>
      </w:pPr>
    </w:p>
    <w:p>
      <w:pPr>
        <w:pStyle w:val="14"/>
        <w:jc w:val="center"/>
        <w:rPr>
          <w:rFonts w:ascii="Times New Roman" w:hAnsi="Times New Roman" w:cs="Times New Roman"/>
          <w:color w:val="auto"/>
          <w:sz w:val="72"/>
          <w:szCs w:val="72"/>
        </w:rPr>
      </w:pPr>
    </w:p>
    <w:p>
      <w:pPr>
        <w:pStyle w:val="14"/>
        <w:jc w:val="center"/>
        <w:rPr>
          <w:rFonts w:ascii="Times New Roman" w:hAnsi="Times New Roman" w:cs="Times New Roman"/>
          <w:color w:val="auto"/>
          <w:sz w:val="72"/>
          <w:szCs w:val="72"/>
        </w:rPr>
      </w:pPr>
    </w:p>
    <w:p>
      <w:pPr>
        <w:pStyle w:val="14"/>
        <w:jc w:val="center"/>
        <w:rPr>
          <w:rFonts w:ascii="Times New Roman" w:hAnsi="Times New Roman" w:cs="Times New Roman"/>
          <w:color w:val="auto"/>
          <w:sz w:val="72"/>
          <w:szCs w:val="72"/>
        </w:rPr>
      </w:pPr>
    </w:p>
    <w:p>
      <w:pPr>
        <w:pStyle w:val="14"/>
        <w:jc w:val="both"/>
        <w:rPr>
          <w:rFonts w:ascii="Times New Roman" w:hAnsi="Times New Roman" w:cs="Times New Roman"/>
          <w:color w:val="auto"/>
          <w:sz w:val="72"/>
          <w:szCs w:val="72"/>
        </w:rPr>
      </w:pPr>
    </w:p>
    <w:p>
      <w:pPr>
        <w:pStyle w:val="14"/>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第五部分   附 件</w:t>
      </w:r>
    </w:p>
    <w:p>
      <w:pPr>
        <w:rPr>
          <w:rFonts w:ascii="Times New Roman" w:hAnsi="Times New Roman" w:cs="Times New Roman"/>
          <w:color w:val="auto"/>
          <w:sz w:val="72"/>
          <w:szCs w:val="72"/>
        </w:rPr>
      </w:pPr>
    </w:p>
    <w:p>
      <w:pPr>
        <w:pStyle w:val="14"/>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b/>
          <w:bCs/>
          <w:color w:val="auto"/>
          <w:sz w:val="32"/>
          <w:szCs w:val="32"/>
        </w:rPr>
        <w:t>一、</w:t>
      </w:r>
      <w:r>
        <w:rPr>
          <w:rFonts w:ascii="Times New Roman" w:hAnsi="Times New Roman" w:eastAsia="仿宋_GB2312" w:cs="Times New Roman"/>
          <w:color w:val="auto"/>
          <w:sz w:val="32"/>
          <w:szCs w:val="32"/>
        </w:rPr>
        <w:t>2024年度怀化市库区移民事务中心整体支出绩效自评报告。</w:t>
      </w:r>
    </w:p>
    <w:p>
      <w:pPr>
        <w:pStyle w:val="14"/>
        <w:spacing w:line="600" w:lineRule="exact"/>
        <w:ind w:firstLine="640" w:firstLineChars="200"/>
        <w:rPr>
          <w:rFonts w:ascii="Times New Roman" w:hAnsi="Times New Roman" w:eastAsia="仿宋_GB2312" w:cs="Times New Roman"/>
          <w:color w:val="auto"/>
          <w:sz w:val="32"/>
          <w:szCs w:val="32"/>
        </w:rPr>
      </w:pPr>
    </w:p>
    <w:p>
      <w:pPr>
        <w:spacing w:line="600" w:lineRule="exact"/>
        <w:rPr>
          <w:rFonts w:ascii="Times New Roman" w:hAnsi="Times New Roman" w:eastAsia="黑体" w:cs="Times New Roman"/>
          <w:color w:val="auto"/>
          <w:sz w:val="32"/>
          <w:szCs w:val="32"/>
        </w:rPr>
      </w:pPr>
    </w:p>
    <w:p>
      <w:pPr>
        <w:spacing w:line="600" w:lineRule="exact"/>
        <w:rPr>
          <w:rFonts w:ascii="Times New Roman" w:hAnsi="Times New Roman" w:eastAsia="黑体" w:cs="Times New Roman"/>
          <w:color w:val="auto"/>
          <w:sz w:val="32"/>
          <w:szCs w:val="32"/>
        </w:rPr>
      </w:pPr>
    </w:p>
    <w:p>
      <w:pPr>
        <w:spacing w:line="600" w:lineRule="exact"/>
        <w:rPr>
          <w:rFonts w:ascii="Times New Roman" w:hAnsi="Times New Roman" w:eastAsia="黑体" w:cs="Times New Roman"/>
          <w:color w:val="auto"/>
          <w:sz w:val="32"/>
          <w:szCs w:val="32"/>
        </w:rPr>
      </w:pPr>
    </w:p>
    <w:p>
      <w:pPr>
        <w:jc w:val="center"/>
        <w:rPr>
          <w:rFonts w:hint="eastAsia" w:ascii="方正小标宋简体" w:hAnsi="方正小标宋简体" w:eastAsia="方正小标宋简体" w:cs="方正小标宋简体"/>
          <w:color w:val="auto"/>
          <w:sz w:val="52"/>
          <w:szCs w:val="52"/>
          <w:highlight w:val="none"/>
          <w:lang w:eastAsia="zh-CN"/>
        </w:rPr>
      </w:pPr>
      <w:r>
        <w:rPr>
          <w:rFonts w:hint="eastAsia" w:ascii="方正小标宋简体" w:hAnsi="方正小标宋简体" w:eastAsia="方正小标宋简体" w:cs="方正小标宋简体"/>
          <w:color w:val="auto"/>
          <w:sz w:val="52"/>
          <w:szCs w:val="52"/>
        </w:rPr>
        <w:t>202</w:t>
      </w:r>
      <w:r>
        <w:rPr>
          <w:rFonts w:hint="eastAsia" w:ascii="方正小标宋简体" w:hAnsi="方正小标宋简体" w:eastAsia="方正小标宋简体" w:cs="方正小标宋简体"/>
          <w:color w:val="auto"/>
          <w:sz w:val="52"/>
          <w:szCs w:val="52"/>
          <w:lang w:val="en-US" w:eastAsia="zh-CN"/>
        </w:rPr>
        <w:t>4</w:t>
      </w:r>
      <w:r>
        <w:rPr>
          <w:rFonts w:hint="eastAsia" w:ascii="方正小标宋简体" w:hAnsi="方正小标宋简体" w:eastAsia="方正小标宋简体" w:cs="方正小标宋简体"/>
          <w:color w:val="auto"/>
          <w:sz w:val="52"/>
          <w:szCs w:val="52"/>
        </w:rPr>
        <w:t>年度</w:t>
      </w:r>
      <w:r>
        <w:rPr>
          <w:rFonts w:hint="eastAsia" w:ascii="方正小标宋简体" w:hAnsi="方正小标宋简体" w:eastAsia="方正小标宋简体" w:cs="方正小标宋简体"/>
          <w:color w:val="auto"/>
          <w:sz w:val="52"/>
          <w:szCs w:val="52"/>
          <w:highlight w:val="none"/>
          <w:lang w:eastAsia="zh-CN"/>
        </w:rPr>
        <w:t>怀化市库区移民事务中心</w:t>
      </w:r>
    </w:p>
    <w:p>
      <w:pPr>
        <w:jc w:val="center"/>
        <w:rPr>
          <w:rFonts w:ascii="Times New Roman" w:hAnsi="Times New Roman" w:eastAsia="方正小标宋_GBK" w:cs="Times New Roman"/>
          <w:color w:val="auto"/>
          <w:sz w:val="52"/>
          <w:szCs w:val="52"/>
        </w:rPr>
      </w:pPr>
      <w:r>
        <w:rPr>
          <w:rFonts w:hint="eastAsia" w:ascii="方正小标宋简体" w:hAnsi="方正小标宋简体" w:eastAsia="方正小标宋简体" w:cs="方正小标宋简体"/>
          <w:color w:val="auto"/>
          <w:sz w:val="52"/>
          <w:szCs w:val="52"/>
        </w:rPr>
        <w:t>部门整体支出绩效自评报告</w:t>
      </w:r>
    </w:p>
    <w:p>
      <w:pPr>
        <w:jc w:val="both"/>
        <w:rPr>
          <w:rFonts w:ascii="Times New Roman" w:hAnsi="Times New Roman" w:eastAsia="楷体_GB2312" w:cs="Times New Roman"/>
          <w:b/>
          <w:color w:val="auto"/>
          <w:sz w:val="32"/>
          <w:szCs w:val="32"/>
        </w:rPr>
      </w:pPr>
    </w:p>
    <w:p>
      <w:pPr>
        <w:jc w:val="center"/>
        <w:rPr>
          <w:rFonts w:ascii="Times New Roman" w:hAnsi="Times New Roman" w:eastAsia="黑体" w:cs="Times New Roman"/>
          <w:color w:val="auto"/>
          <w:sz w:val="32"/>
          <w:szCs w:val="32"/>
        </w:rPr>
      </w:pPr>
    </w:p>
    <w:p>
      <w:pPr>
        <w:jc w:val="center"/>
        <w:rPr>
          <w:rFonts w:ascii="Times New Roman" w:hAnsi="Times New Roman" w:eastAsia="黑体" w:cs="Times New Roman"/>
          <w:color w:val="auto"/>
          <w:sz w:val="32"/>
          <w:szCs w:val="32"/>
        </w:rPr>
      </w:pPr>
    </w:p>
    <w:p>
      <w:pPr>
        <w:jc w:val="center"/>
        <w:rPr>
          <w:rFonts w:ascii="Times New Roman" w:hAnsi="Times New Roman" w:eastAsia="黑体" w:cs="Times New Roman"/>
          <w:color w:val="auto"/>
          <w:sz w:val="32"/>
          <w:szCs w:val="32"/>
        </w:rPr>
      </w:pPr>
    </w:p>
    <w:p>
      <w:pPr>
        <w:jc w:val="center"/>
        <w:rPr>
          <w:rFonts w:ascii="Times New Roman" w:hAnsi="Times New Roman" w:eastAsia="黑体" w:cs="Times New Roman"/>
          <w:color w:val="auto"/>
          <w:sz w:val="32"/>
          <w:szCs w:val="32"/>
        </w:rPr>
      </w:pPr>
    </w:p>
    <w:p>
      <w:pPr>
        <w:jc w:val="both"/>
        <w:rPr>
          <w:rFonts w:ascii="Times New Roman" w:hAnsi="Times New Roman" w:eastAsia="黑体" w:cs="Times New Roman"/>
          <w:color w:val="auto"/>
          <w:sz w:val="32"/>
          <w:szCs w:val="32"/>
        </w:rPr>
      </w:pPr>
    </w:p>
    <w:p>
      <w:pPr>
        <w:jc w:val="center"/>
        <w:rPr>
          <w:rFonts w:ascii="Times New Roman" w:hAnsi="Times New Roman" w:eastAsia="黑体" w:cs="Times New Roman"/>
          <w:color w:val="auto"/>
          <w:sz w:val="32"/>
          <w:szCs w:val="32"/>
        </w:rPr>
      </w:pPr>
    </w:p>
    <w:p>
      <w:pPr>
        <w:spacing w:line="600" w:lineRule="exact"/>
        <w:ind w:firstLine="1920" w:firstLineChars="600"/>
        <w:rPr>
          <w:rFonts w:ascii="Times New Roman" w:hAnsi="Times New Roman" w:eastAsia="仿宋_GB2312" w:cs="Times New Roman"/>
          <w:color w:val="auto"/>
          <w:sz w:val="32"/>
          <w:szCs w:val="32"/>
          <w:u w:val="single"/>
        </w:rPr>
      </w:pPr>
      <w:r>
        <w:rPr>
          <w:rFonts w:ascii="Times New Roman" w:hAnsi="Times New Roman" w:eastAsia="仿宋_GB2312" w:cs="Times New Roman"/>
          <w:color w:val="auto"/>
          <w:sz w:val="32"/>
          <w:szCs w:val="32"/>
        </w:rPr>
        <w:t>单位名称：</w:t>
      </w:r>
      <w:r>
        <w:rPr>
          <w:rFonts w:hint="default" w:eastAsia="仿宋_GB2312" w:cs="Times New Roman"/>
          <w:color w:val="auto"/>
          <w:sz w:val="32"/>
          <w:szCs w:val="32"/>
          <w:u w:val="single"/>
        </w:rPr>
        <w:t xml:space="preserve"> </w:t>
      </w:r>
      <w:r>
        <w:rPr>
          <w:rFonts w:eastAsia="仿宋_GB2312" w:cs="Times New Roman"/>
          <w:color w:val="auto"/>
          <w:sz w:val="32"/>
          <w:szCs w:val="32"/>
          <w:u w:val="single"/>
        </w:rPr>
        <w:t>怀化市库区移民事务中心</w:t>
      </w:r>
      <w:r>
        <w:rPr>
          <w:rFonts w:ascii="Times New Roman" w:hAnsi="Times New Roman" w:eastAsia="仿宋_GB2312" w:cs="Times New Roman"/>
          <w:color w:val="auto"/>
          <w:sz w:val="32"/>
          <w:szCs w:val="32"/>
          <w:u w:val="single"/>
        </w:rPr>
        <w:t xml:space="preserve"> </w:t>
      </w:r>
    </w:p>
    <w:p>
      <w:pPr>
        <w:spacing w:line="600" w:lineRule="exact"/>
        <w:jc w:val="center"/>
        <w:rPr>
          <w:rFonts w:ascii="Times New Roman" w:hAnsi="Times New Roman" w:eastAsia="黑体" w:cs="Times New Roman"/>
          <w:color w:val="auto"/>
          <w:sz w:val="32"/>
          <w:szCs w:val="32"/>
        </w:rPr>
      </w:pPr>
      <w:r>
        <w:rPr>
          <w:rFonts w:hint="default" w:ascii="Times New Roman" w:hAnsi="Times New Roman" w:eastAsia="楷体_GB2312" w:cs="Times New Roman"/>
          <w:color w:val="auto"/>
          <w:sz w:val="32"/>
          <w:szCs w:val="32"/>
        </w:rPr>
        <w:t>202</w:t>
      </w:r>
      <w:r>
        <w:rPr>
          <w:rFonts w:hint="eastAsia" w:ascii="Times New Roman" w:hAnsi="Times New Roman" w:eastAsia="楷体_GB2312" w:cs="Times New Roman"/>
          <w:color w:val="auto"/>
          <w:sz w:val="32"/>
          <w:szCs w:val="32"/>
          <w:lang w:val="en-US" w:eastAsia="zh-CN"/>
        </w:rPr>
        <w:t>5</w:t>
      </w:r>
      <w:r>
        <w:rPr>
          <w:rFonts w:ascii="Times New Roman" w:hAnsi="Times New Roman" w:eastAsia="楷体_GB2312" w:cs="Times New Roman"/>
          <w:color w:val="auto"/>
          <w:sz w:val="32"/>
          <w:szCs w:val="32"/>
        </w:rPr>
        <w:t>年</w:t>
      </w:r>
      <w:r>
        <w:rPr>
          <w:rFonts w:hint="eastAsia" w:ascii="Times New Roman" w:hAnsi="Times New Roman" w:eastAsia="楷体_GB2312" w:cs="Times New Roman"/>
          <w:color w:val="auto"/>
          <w:sz w:val="32"/>
          <w:szCs w:val="32"/>
          <w:lang w:val="en-US" w:eastAsia="zh-CN"/>
        </w:rPr>
        <w:t>4</w:t>
      </w:r>
      <w:r>
        <w:rPr>
          <w:rFonts w:ascii="Times New Roman" w:hAnsi="Times New Roman" w:eastAsia="楷体_GB2312" w:cs="Times New Roman"/>
          <w:color w:val="auto"/>
          <w:sz w:val="32"/>
          <w:szCs w:val="32"/>
        </w:rPr>
        <w:t>月</w:t>
      </w:r>
      <w:r>
        <w:rPr>
          <w:rFonts w:hint="default" w:ascii="Times New Roman" w:hAnsi="Times New Roman" w:eastAsia="楷体_GB2312" w:cs="Times New Roman"/>
          <w:color w:val="auto"/>
          <w:sz w:val="32"/>
          <w:szCs w:val="32"/>
        </w:rPr>
        <w:t>2</w:t>
      </w:r>
      <w:r>
        <w:rPr>
          <w:rFonts w:hint="eastAsia" w:ascii="Times New Roman" w:hAnsi="Times New Roman" w:eastAsia="楷体_GB2312" w:cs="Times New Roman"/>
          <w:color w:val="auto"/>
          <w:sz w:val="32"/>
          <w:szCs w:val="32"/>
          <w:lang w:val="en-US" w:eastAsia="zh-CN"/>
        </w:rPr>
        <w:t>1</w:t>
      </w:r>
      <w:r>
        <w:rPr>
          <w:rFonts w:ascii="Times New Roman" w:hAnsi="Times New Roman" w:eastAsia="楷体_GB2312" w:cs="Times New Roman"/>
          <w:color w:val="auto"/>
          <w:sz w:val="32"/>
          <w:szCs w:val="32"/>
        </w:rPr>
        <w:t>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方正小标宋_GBK" w:hAnsi="方正小标宋_GBK" w:eastAsia="方正小标宋_GBK" w:cs="方正小标宋_GBK"/>
          <w:i w:val="0"/>
          <w:iCs w:val="0"/>
          <w:caps w:val="0"/>
          <w:color w:val="auto"/>
          <w:spacing w:val="0"/>
          <w:sz w:val="32"/>
          <w:szCs w:val="32"/>
          <w:shd w:val="clear" w:fill="FFFFFF"/>
          <w:lang w:val="en-US" w:eastAsia="zh-CN"/>
        </w:rPr>
      </w:pPr>
      <w:r>
        <w:rPr>
          <w:rFonts w:ascii="Times New Roman" w:hAnsi="Times New Roman" w:eastAsia="仿宋_GB2312" w:cs="Times New Roman"/>
          <w:color w:val="auto"/>
          <w:sz w:val="32"/>
          <w:szCs w:val="32"/>
        </w:rPr>
        <w:br w:type="page"/>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auto"/>
          <w:spacing w:val="0"/>
          <w:sz w:val="44"/>
          <w:szCs w:val="44"/>
          <w:shd w:val="clear" w:fill="FFFFFF"/>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auto"/>
          <w:spacing w:val="0"/>
          <w:sz w:val="44"/>
          <w:szCs w:val="44"/>
        </w:rPr>
      </w:pPr>
      <w:r>
        <w:rPr>
          <w:rFonts w:hint="eastAsia" w:ascii="方正小标宋_GBK" w:hAnsi="方正小标宋_GBK" w:eastAsia="方正小标宋_GBK" w:cs="方正小标宋_GBK"/>
          <w:i w:val="0"/>
          <w:iCs w:val="0"/>
          <w:caps w:val="0"/>
          <w:color w:val="auto"/>
          <w:spacing w:val="0"/>
          <w:sz w:val="44"/>
          <w:szCs w:val="44"/>
          <w:shd w:val="clear" w:fill="FFFFFF"/>
        </w:rPr>
        <w:t>部门整体支出绩效自评报告</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auto"/>
          <w:spacing w:val="0"/>
          <w:sz w:val="24"/>
          <w:szCs w:val="24"/>
        </w:rPr>
      </w:pP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黑体" w:hAnsi="黑体" w:eastAsia="黑体" w:cs="黑体"/>
          <w:b w:val="0"/>
          <w:bCs w:val="0"/>
          <w:i w:val="0"/>
          <w:iCs w:val="0"/>
          <w:caps w:val="0"/>
          <w:color w:val="auto"/>
          <w:spacing w:val="11"/>
          <w:sz w:val="32"/>
          <w:szCs w:val="32"/>
          <w:lang w:eastAsia="zh-CN"/>
        </w:rPr>
      </w:pPr>
      <w:r>
        <w:rPr>
          <w:rFonts w:hint="eastAsia" w:ascii="黑体" w:hAnsi="黑体" w:eastAsia="黑体" w:cs="黑体"/>
          <w:b w:val="0"/>
          <w:bCs w:val="0"/>
          <w:i w:val="0"/>
          <w:iCs w:val="0"/>
          <w:caps w:val="0"/>
          <w:color w:val="auto"/>
          <w:spacing w:val="11"/>
          <w:sz w:val="32"/>
          <w:szCs w:val="32"/>
          <w:shd w:val="clear" w:fill="FFFFFF"/>
        </w:rPr>
        <w:t>一、部门</w:t>
      </w:r>
      <w:r>
        <w:rPr>
          <w:rFonts w:hint="eastAsia" w:ascii="黑体" w:hAnsi="黑体" w:eastAsia="黑体" w:cs="黑体"/>
          <w:b w:val="0"/>
          <w:bCs w:val="0"/>
          <w:i w:val="0"/>
          <w:iCs w:val="0"/>
          <w:caps w:val="0"/>
          <w:color w:val="auto"/>
          <w:spacing w:val="11"/>
          <w:sz w:val="32"/>
          <w:szCs w:val="32"/>
          <w:shd w:val="clear" w:fill="FFFFFF"/>
          <w:lang w:eastAsia="zh-CN"/>
        </w:rPr>
        <w:t>概况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ascii="楷体_GB2312" w:eastAsia="楷体_GB2312" w:cs="楷体_GB2312"/>
          <w:b/>
          <w:bCs/>
          <w:i w:val="0"/>
          <w:iCs w:val="0"/>
          <w:caps w:val="0"/>
          <w:color w:val="auto"/>
          <w:spacing w:val="11"/>
          <w:sz w:val="32"/>
          <w:szCs w:val="32"/>
        </w:rPr>
      </w:pPr>
      <w:r>
        <w:rPr>
          <w:rFonts w:hint="default" w:ascii="楷体_GB2312" w:eastAsia="楷体_GB2312" w:cs="楷体_GB2312"/>
          <w:b/>
          <w:bCs/>
          <w:i w:val="0"/>
          <w:iCs w:val="0"/>
          <w:caps w:val="0"/>
          <w:color w:val="auto"/>
          <w:spacing w:val="11"/>
          <w:sz w:val="32"/>
          <w:szCs w:val="32"/>
          <w:shd w:val="clear" w:fill="FFFFFF"/>
        </w:rPr>
        <w:t>（一）机构设置</w:t>
      </w:r>
      <w:r>
        <w:rPr>
          <w:rFonts w:hint="eastAsia" w:ascii="楷体_GB2312" w:eastAsia="楷体_GB2312" w:cs="楷体_GB2312"/>
          <w:b/>
          <w:bCs/>
          <w:i w:val="0"/>
          <w:iCs w:val="0"/>
          <w:caps w:val="0"/>
          <w:color w:val="auto"/>
          <w:spacing w:val="11"/>
          <w:sz w:val="32"/>
          <w:szCs w:val="32"/>
          <w:shd w:val="clear" w:fill="FFFFFF"/>
          <w:lang w:eastAsia="zh-CN"/>
        </w:rPr>
        <w:t>、人员编制</w:t>
      </w:r>
      <w:r>
        <w:rPr>
          <w:rFonts w:hint="default" w:ascii="楷体_GB2312" w:eastAsia="楷体_GB2312" w:cs="楷体_GB2312"/>
          <w:b/>
          <w:bCs/>
          <w:i w:val="0"/>
          <w:iCs w:val="0"/>
          <w:caps w:val="0"/>
          <w:color w:val="auto"/>
          <w:spacing w:val="11"/>
          <w:sz w:val="32"/>
          <w:szCs w:val="32"/>
          <w:shd w:val="clear" w:fill="FFFFFF"/>
        </w:rPr>
        <w:t>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仿宋" w:hAnsi="仿宋" w:eastAsia="仿宋" w:cs="仿宋"/>
          <w:b w:val="0"/>
          <w:bCs w:val="0"/>
          <w:i w:val="0"/>
          <w:iCs w:val="0"/>
          <w:caps w:val="0"/>
          <w:color w:val="auto"/>
          <w:spacing w:val="11"/>
          <w:sz w:val="32"/>
          <w:szCs w:val="32"/>
          <w:shd w:val="clear" w:fill="FFFFFF"/>
        </w:rPr>
      </w:pPr>
      <w:r>
        <w:rPr>
          <w:rFonts w:hint="eastAsia" w:ascii="仿宋" w:hAnsi="仿宋" w:eastAsia="仿宋" w:cs="仿宋"/>
          <w:b w:val="0"/>
          <w:bCs w:val="0"/>
          <w:color w:val="auto"/>
          <w:spacing w:val="11"/>
          <w:sz w:val="32"/>
          <w:szCs w:val="32"/>
          <w:highlight w:val="none"/>
          <w:lang w:eastAsia="zh-CN"/>
        </w:rPr>
        <w:t>怀化市</w:t>
      </w:r>
      <w:r>
        <w:rPr>
          <w:rFonts w:hint="eastAsia" w:ascii="仿宋" w:hAnsi="仿宋" w:eastAsia="仿宋" w:cs="仿宋"/>
          <w:b w:val="0"/>
          <w:bCs w:val="0"/>
          <w:color w:val="auto"/>
          <w:spacing w:val="11"/>
          <w:sz w:val="32"/>
          <w:szCs w:val="32"/>
          <w:highlight w:val="none"/>
          <w:lang w:val="en-US" w:eastAsia="zh-CN"/>
        </w:rPr>
        <w:t>库区移民事务中心为市水利局所属正处级公益一类事业单位，设置5个</w:t>
      </w:r>
      <w:r>
        <w:rPr>
          <w:rFonts w:hint="eastAsia" w:ascii="仿宋" w:hAnsi="仿宋" w:eastAsia="仿宋" w:cs="仿宋"/>
          <w:b w:val="0"/>
          <w:bCs w:val="0"/>
          <w:color w:val="auto"/>
          <w:spacing w:val="11"/>
          <w:sz w:val="32"/>
          <w:szCs w:val="32"/>
          <w:highlight w:val="none"/>
          <w:lang w:eastAsia="zh-CN"/>
        </w:rPr>
        <w:t>内设</w:t>
      </w:r>
      <w:r>
        <w:rPr>
          <w:rFonts w:hint="eastAsia" w:ascii="仿宋" w:hAnsi="仿宋" w:eastAsia="仿宋" w:cs="仿宋"/>
          <w:b w:val="0"/>
          <w:bCs w:val="0"/>
          <w:color w:val="auto"/>
          <w:spacing w:val="11"/>
          <w:sz w:val="32"/>
          <w:szCs w:val="32"/>
          <w:highlight w:val="none"/>
          <w:lang w:val="en-US" w:eastAsia="zh-CN"/>
        </w:rPr>
        <w:t>机构</w:t>
      </w:r>
      <w:r>
        <w:rPr>
          <w:rFonts w:hint="eastAsia" w:ascii="仿宋" w:hAnsi="仿宋" w:eastAsia="仿宋" w:cs="仿宋"/>
          <w:b w:val="0"/>
          <w:bCs w:val="0"/>
          <w:color w:val="auto"/>
          <w:spacing w:val="11"/>
          <w:sz w:val="32"/>
          <w:szCs w:val="32"/>
          <w:highlight w:val="none"/>
          <w:lang w:eastAsia="zh-CN"/>
        </w:rPr>
        <w:t>：办公室（</w:t>
      </w:r>
      <w:r>
        <w:rPr>
          <w:rFonts w:hint="eastAsia" w:ascii="仿宋" w:hAnsi="仿宋" w:eastAsia="仿宋" w:cs="仿宋"/>
          <w:b w:val="0"/>
          <w:bCs w:val="0"/>
          <w:color w:val="auto"/>
          <w:spacing w:val="11"/>
          <w:sz w:val="32"/>
          <w:szCs w:val="32"/>
          <w:highlight w:val="none"/>
          <w:lang w:val="en-US" w:eastAsia="zh-CN"/>
        </w:rPr>
        <w:t>人事部</w:t>
      </w:r>
      <w:r>
        <w:rPr>
          <w:rFonts w:hint="eastAsia" w:ascii="仿宋" w:hAnsi="仿宋" w:eastAsia="仿宋" w:cs="仿宋"/>
          <w:b w:val="0"/>
          <w:bCs w:val="0"/>
          <w:color w:val="auto"/>
          <w:spacing w:val="11"/>
          <w:sz w:val="32"/>
          <w:szCs w:val="32"/>
          <w:highlight w:val="none"/>
          <w:lang w:eastAsia="zh-CN"/>
        </w:rPr>
        <w:t>）、搬迁安置</w:t>
      </w:r>
      <w:r>
        <w:rPr>
          <w:rFonts w:hint="eastAsia" w:ascii="仿宋" w:hAnsi="仿宋" w:eastAsia="仿宋" w:cs="仿宋"/>
          <w:b w:val="0"/>
          <w:bCs w:val="0"/>
          <w:color w:val="auto"/>
          <w:spacing w:val="11"/>
          <w:sz w:val="32"/>
          <w:szCs w:val="32"/>
          <w:highlight w:val="none"/>
          <w:lang w:val="en-US" w:eastAsia="zh-CN"/>
        </w:rPr>
        <w:t>部</w:t>
      </w:r>
      <w:r>
        <w:rPr>
          <w:rFonts w:hint="eastAsia" w:ascii="仿宋" w:hAnsi="仿宋" w:eastAsia="仿宋" w:cs="仿宋"/>
          <w:b w:val="0"/>
          <w:bCs w:val="0"/>
          <w:color w:val="auto"/>
          <w:spacing w:val="11"/>
          <w:sz w:val="32"/>
          <w:szCs w:val="32"/>
          <w:highlight w:val="none"/>
          <w:lang w:eastAsia="zh-CN"/>
        </w:rPr>
        <w:t>、后期扶持</w:t>
      </w:r>
      <w:r>
        <w:rPr>
          <w:rFonts w:hint="eastAsia" w:ascii="仿宋" w:hAnsi="仿宋" w:eastAsia="仿宋" w:cs="仿宋"/>
          <w:b w:val="0"/>
          <w:bCs w:val="0"/>
          <w:color w:val="auto"/>
          <w:spacing w:val="11"/>
          <w:sz w:val="32"/>
          <w:szCs w:val="32"/>
          <w:highlight w:val="none"/>
          <w:lang w:val="en-US" w:eastAsia="zh-CN"/>
        </w:rPr>
        <w:t>部</w:t>
      </w:r>
      <w:r>
        <w:rPr>
          <w:rFonts w:hint="eastAsia" w:ascii="仿宋" w:hAnsi="仿宋" w:eastAsia="仿宋" w:cs="仿宋"/>
          <w:b w:val="0"/>
          <w:bCs w:val="0"/>
          <w:color w:val="auto"/>
          <w:spacing w:val="11"/>
          <w:sz w:val="32"/>
          <w:szCs w:val="32"/>
          <w:highlight w:val="none"/>
          <w:lang w:eastAsia="zh-CN"/>
        </w:rPr>
        <w:t>、</w:t>
      </w:r>
      <w:r>
        <w:rPr>
          <w:rFonts w:hint="eastAsia" w:ascii="仿宋" w:hAnsi="仿宋" w:eastAsia="仿宋" w:cs="仿宋"/>
          <w:b w:val="0"/>
          <w:bCs w:val="0"/>
          <w:color w:val="auto"/>
          <w:spacing w:val="11"/>
          <w:sz w:val="32"/>
          <w:szCs w:val="32"/>
          <w:highlight w:val="none"/>
          <w:lang w:val="en-US" w:eastAsia="zh-CN"/>
        </w:rPr>
        <w:t>资金财务部、信访维权部</w:t>
      </w:r>
      <w:r>
        <w:rPr>
          <w:rFonts w:hint="eastAsia" w:ascii="仿宋" w:hAnsi="仿宋" w:eastAsia="仿宋" w:cs="仿宋"/>
          <w:b w:val="0"/>
          <w:bCs w:val="0"/>
          <w:color w:val="auto"/>
          <w:spacing w:val="11"/>
          <w:sz w:val="32"/>
          <w:szCs w:val="32"/>
          <w:highlight w:val="none"/>
          <w:lang w:eastAsia="zh-CN"/>
        </w:rPr>
        <w:t>。</w:t>
      </w:r>
    </w:p>
    <w:p>
      <w:pPr>
        <w:keepNext w:val="0"/>
        <w:keepLines w:val="0"/>
        <w:pageBreakBefore w:val="0"/>
        <w:kinsoku/>
        <w:wordWrap/>
        <w:overflowPunct/>
        <w:topLinePunct w:val="0"/>
        <w:autoSpaceDE/>
        <w:autoSpaceDN/>
        <w:bidi w:val="0"/>
        <w:adjustRightInd/>
        <w:snapToGrid w:val="0"/>
        <w:spacing w:line="580" w:lineRule="exact"/>
        <w:ind w:left="0" w:firstLine="684" w:firstLineChars="200"/>
        <w:jc w:val="both"/>
        <w:textAlignment w:val="auto"/>
        <w:rPr>
          <w:rFonts w:hint="eastAsia" w:ascii="仿宋" w:hAnsi="仿宋" w:eastAsia="仿宋" w:cs="仿宋"/>
          <w:b w:val="0"/>
          <w:bCs w:val="0"/>
          <w:i w:val="0"/>
          <w:iCs w:val="0"/>
          <w:caps w:val="0"/>
          <w:color w:val="auto"/>
          <w:spacing w:val="11"/>
          <w:sz w:val="32"/>
          <w:szCs w:val="32"/>
          <w:shd w:val="clear" w:fill="FFFFFF"/>
        </w:rPr>
      </w:pPr>
      <w:r>
        <w:rPr>
          <w:rFonts w:hint="eastAsia" w:ascii="仿宋" w:hAnsi="仿宋" w:eastAsia="仿宋" w:cs="仿宋"/>
          <w:b w:val="0"/>
          <w:bCs w:val="0"/>
          <w:color w:val="auto"/>
          <w:spacing w:val="11"/>
          <w:sz w:val="32"/>
          <w:szCs w:val="32"/>
        </w:rPr>
        <w:t>202</w:t>
      </w:r>
      <w:r>
        <w:rPr>
          <w:rFonts w:hint="eastAsia" w:ascii="仿宋" w:hAnsi="仿宋" w:eastAsia="仿宋" w:cs="仿宋"/>
          <w:b w:val="0"/>
          <w:bCs w:val="0"/>
          <w:color w:val="auto"/>
          <w:spacing w:val="11"/>
          <w:sz w:val="32"/>
          <w:szCs w:val="32"/>
          <w:lang w:val="en-US" w:eastAsia="zh-CN"/>
        </w:rPr>
        <w:t>4</w:t>
      </w:r>
      <w:r>
        <w:rPr>
          <w:rFonts w:hint="eastAsia" w:ascii="仿宋" w:hAnsi="仿宋" w:eastAsia="仿宋" w:cs="仿宋"/>
          <w:b w:val="0"/>
          <w:bCs w:val="0"/>
          <w:color w:val="auto"/>
          <w:spacing w:val="11"/>
          <w:sz w:val="32"/>
          <w:szCs w:val="32"/>
        </w:rPr>
        <w:t>年编制人数22名，年末实有在职人数</w:t>
      </w:r>
      <w:r>
        <w:rPr>
          <w:rFonts w:hint="eastAsia" w:ascii="仿宋" w:hAnsi="仿宋" w:eastAsia="仿宋" w:cs="仿宋"/>
          <w:b w:val="0"/>
          <w:bCs w:val="0"/>
          <w:color w:val="auto"/>
          <w:spacing w:val="11"/>
          <w:sz w:val="32"/>
          <w:szCs w:val="32"/>
          <w:lang w:val="en-US" w:eastAsia="zh-CN"/>
        </w:rPr>
        <w:t>19</w:t>
      </w:r>
      <w:r>
        <w:rPr>
          <w:rFonts w:hint="eastAsia" w:ascii="仿宋" w:hAnsi="仿宋" w:eastAsia="仿宋" w:cs="仿宋"/>
          <w:b w:val="0"/>
          <w:bCs w:val="0"/>
          <w:color w:val="auto"/>
          <w:spacing w:val="11"/>
          <w:sz w:val="32"/>
          <w:szCs w:val="32"/>
        </w:rPr>
        <w:t>人，同比去年</w:t>
      </w:r>
      <w:r>
        <w:rPr>
          <w:rFonts w:hint="eastAsia" w:ascii="仿宋" w:hAnsi="仿宋" w:eastAsia="仿宋" w:cs="仿宋"/>
          <w:b w:val="0"/>
          <w:bCs w:val="0"/>
          <w:color w:val="auto"/>
          <w:spacing w:val="11"/>
          <w:sz w:val="32"/>
          <w:szCs w:val="32"/>
          <w:lang w:eastAsia="zh-CN"/>
        </w:rPr>
        <w:t>减少</w:t>
      </w:r>
      <w:r>
        <w:rPr>
          <w:rFonts w:hint="eastAsia" w:ascii="仿宋" w:hAnsi="仿宋" w:eastAsia="仿宋" w:cs="仿宋"/>
          <w:b w:val="0"/>
          <w:bCs w:val="0"/>
          <w:color w:val="auto"/>
          <w:spacing w:val="11"/>
          <w:sz w:val="32"/>
          <w:szCs w:val="32"/>
          <w:lang w:val="en-US" w:eastAsia="zh-CN"/>
        </w:rPr>
        <w:t>1</w:t>
      </w:r>
      <w:r>
        <w:rPr>
          <w:rFonts w:hint="eastAsia" w:ascii="仿宋" w:hAnsi="仿宋" w:eastAsia="仿宋" w:cs="仿宋"/>
          <w:b w:val="0"/>
          <w:bCs w:val="0"/>
          <w:color w:val="auto"/>
          <w:spacing w:val="11"/>
          <w:sz w:val="32"/>
          <w:szCs w:val="32"/>
        </w:rPr>
        <w:t>人，</w:t>
      </w:r>
      <w:r>
        <w:rPr>
          <w:rFonts w:hint="eastAsia" w:ascii="仿宋" w:hAnsi="仿宋" w:eastAsia="仿宋" w:cs="仿宋"/>
          <w:b w:val="0"/>
          <w:bCs w:val="0"/>
          <w:color w:val="auto"/>
          <w:spacing w:val="11"/>
          <w:sz w:val="32"/>
          <w:szCs w:val="32"/>
          <w:lang w:val="en-US" w:eastAsia="zh-CN"/>
        </w:rPr>
        <w:t>原因是本年度到龄办理正常退休1人</w:t>
      </w:r>
      <w:r>
        <w:rPr>
          <w:rFonts w:hint="eastAsia" w:ascii="仿宋" w:hAnsi="仿宋" w:eastAsia="仿宋" w:cs="仿宋"/>
          <w:b w:val="0"/>
          <w:bCs w:val="0"/>
          <w:color w:val="auto"/>
          <w:spacing w:val="11"/>
          <w:sz w:val="32"/>
          <w:szCs w:val="32"/>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default" w:ascii="楷体_GB2312" w:eastAsia="楷体_GB2312" w:cs="楷体_GB2312"/>
          <w:b/>
          <w:bCs/>
          <w:i w:val="0"/>
          <w:iCs w:val="0"/>
          <w:caps w:val="0"/>
          <w:color w:val="auto"/>
          <w:spacing w:val="11"/>
          <w:sz w:val="32"/>
          <w:szCs w:val="32"/>
          <w:shd w:val="clear" w:fill="FFFFFF"/>
        </w:rPr>
      </w:pPr>
      <w:r>
        <w:rPr>
          <w:rFonts w:hint="default" w:ascii="楷体_GB2312" w:eastAsia="楷体_GB2312" w:cs="楷体_GB2312"/>
          <w:b/>
          <w:bCs/>
          <w:i w:val="0"/>
          <w:iCs w:val="0"/>
          <w:caps w:val="0"/>
          <w:color w:val="auto"/>
          <w:spacing w:val="11"/>
          <w:sz w:val="32"/>
          <w:szCs w:val="32"/>
          <w:shd w:val="clear" w:fill="FFFFFF"/>
        </w:rPr>
        <w:t>（</w:t>
      </w:r>
      <w:r>
        <w:rPr>
          <w:rFonts w:hint="eastAsia" w:ascii="楷体_GB2312" w:eastAsia="楷体_GB2312" w:cs="楷体_GB2312"/>
          <w:b/>
          <w:bCs/>
          <w:i w:val="0"/>
          <w:iCs w:val="0"/>
          <w:caps w:val="0"/>
          <w:color w:val="auto"/>
          <w:spacing w:val="11"/>
          <w:sz w:val="32"/>
          <w:szCs w:val="32"/>
          <w:shd w:val="clear" w:fill="FFFFFF"/>
          <w:lang w:eastAsia="zh-CN"/>
        </w:rPr>
        <w:t>二</w:t>
      </w:r>
      <w:r>
        <w:rPr>
          <w:rFonts w:hint="default" w:ascii="楷体_GB2312" w:eastAsia="楷体_GB2312" w:cs="楷体_GB2312"/>
          <w:b/>
          <w:bCs/>
          <w:i w:val="0"/>
          <w:iCs w:val="0"/>
          <w:caps w:val="0"/>
          <w:color w:val="auto"/>
          <w:spacing w:val="11"/>
          <w:sz w:val="32"/>
          <w:szCs w:val="32"/>
          <w:shd w:val="clear" w:fill="FFFFFF"/>
        </w:rPr>
        <w:t>）主要职能职责</w:t>
      </w:r>
    </w:p>
    <w:p>
      <w:pPr>
        <w:keepNext w:val="0"/>
        <w:keepLines w:val="0"/>
        <w:pageBreakBefore w:val="0"/>
        <w:widowControl/>
        <w:shd w:val="clear" w:color="auto" w:fill="FFFFFF"/>
        <w:kinsoku/>
        <w:wordWrap/>
        <w:overflowPunct/>
        <w:topLinePunct w:val="0"/>
        <w:autoSpaceDE/>
        <w:autoSpaceDN/>
        <w:bidi w:val="0"/>
        <w:adjustRightInd/>
        <w:spacing w:line="550" w:lineRule="exact"/>
        <w:ind w:left="0" w:firstLine="684" w:firstLineChars="200"/>
        <w:jc w:val="both"/>
        <w:textAlignment w:val="auto"/>
        <w:rPr>
          <w:rFonts w:hint="eastAsia" w:ascii="仿宋" w:hAnsi="仿宋" w:eastAsia="仿宋" w:cs="仿宋"/>
          <w:b w:val="0"/>
          <w:bCs w:val="0"/>
          <w:color w:val="auto"/>
          <w:spacing w:val="6"/>
          <w:sz w:val="32"/>
          <w:szCs w:val="32"/>
          <w:highlight w:val="none"/>
          <w:lang w:eastAsia="zh-CN"/>
        </w:rPr>
      </w:pPr>
      <w:r>
        <w:rPr>
          <w:rFonts w:hint="eastAsia" w:ascii="仿宋" w:hAnsi="仿宋" w:eastAsia="仿宋" w:cs="仿宋"/>
          <w:b w:val="0"/>
          <w:bCs w:val="0"/>
          <w:color w:val="auto"/>
          <w:spacing w:val="11"/>
          <w:sz w:val="32"/>
          <w:szCs w:val="32"/>
          <w:highlight w:val="none"/>
          <w:lang w:eastAsia="zh-CN"/>
        </w:rPr>
        <w:t>（</w:t>
      </w:r>
      <w:r>
        <w:rPr>
          <w:rFonts w:hint="eastAsia" w:ascii="仿宋" w:hAnsi="仿宋" w:eastAsia="仿宋" w:cs="仿宋"/>
          <w:b w:val="0"/>
          <w:bCs w:val="0"/>
          <w:color w:val="auto"/>
          <w:spacing w:val="11"/>
          <w:sz w:val="32"/>
          <w:szCs w:val="32"/>
          <w:highlight w:val="none"/>
          <w:lang w:val="en-US" w:eastAsia="zh-CN"/>
        </w:rPr>
        <w:t>1</w:t>
      </w:r>
      <w:r>
        <w:rPr>
          <w:rFonts w:hint="eastAsia" w:ascii="仿宋" w:hAnsi="仿宋" w:eastAsia="仿宋" w:cs="仿宋"/>
          <w:b w:val="0"/>
          <w:bCs w:val="0"/>
          <w:color w:val="auto"/>
          <w:spacing w:val="11"/>
          <w:sz w:val="32"/>
          <w:szCs w:val="32"/>
          <w:highlight w:val="none"/>
          <w:lang w:eastAsia="zh-CN"/>
        </w:rPr>
        <w:t>）</w:t>
      </w:r>
      <w:r>
        <w:rPr>
          <w:rFonts w:hint="eastAsia" w:ascii="仿宋" w:hAnsi="仿宋" w:eastAsia="仿宋" w:cs="仿宋"/>
          <w:b w:val="0"/>
          <w:bCs w:val="0"/>
          <w:color w:val="auto"/>
          <w:spacing w:val="6"/>
          <w:sz w:val="32"/>
          <w:szCs w:val="32"/>
          <w:highlight w:val="none"/>
          <w:lang w:eastAsia="zh-CN"/>
        </w:rPr>
        <w:t>为大中型水库工程建设征地实物调查细则、移民安置</w:t>
      </w:r>
      <w:r>
        <w:rPr>
          <w:rFonts w:hint="eastAsia" w:ascii="仿宋" w:hAnsi="仿宋" w:eastAsia="仿宋" w:cs="仿宋"/>
          <w:b w:val="0"/>
          <w:bCs w:val="0"/>
          <w:color w:val="auto"/>
          <w:spacing w:val="6"/>
          <w:sz w:val="32"/>
          <w:szCs w:val="32"/>
          <w:highlight w:val="none"/>
          <w:lang w:val="en-US" w:eastAsia="zh-CN"/>
        </w:rPr>
        <w:t>规划大纲、</w:t>
      </w:r>
      <w:r>
        <w:rPr>
          <w:rFonts w:hint="eastAsia" w:ascii="仿宋" w:hAnsi="仿宋" w:eastAsia="仿宋" w:cs="仿宋"/>
          <w:b w:val="0"/>
          <w:bCs w:val="0"/>
          <w:color w:val="auto"/>
          <w:spacing w:val="6"/>
          <w:sz w:val="32"/>
          <w:szCs w:val="32"/>
          <w:highlight w:val="none"/>
          <w:lang w:eastAsia="zh-CN"/>
        </w:rPr>
        <w:t>移民安置规划、移民后期扶持规划审査提供技术支持;</w:t>
      </w:r>
      <w:r>
        <w:rPr>
          <w:rFonts w:hint="eastAsia" w:ascii="仿宋" w:hAnsi="仿宋" w:eastAsia="仿宋" w:cs="仿宋"/>
          <w:b w:val="0"/>
          <w:bCs w:val="0"/>
          <w:color w:val="auto"/>
          <w:spacing w:val="6"/>
          <w:sz w:val="32"/>
          <w:szCs w:val="32"/>
          <w:highlight w:val="none"/>
          <w:lang w:val="en-US" w:eastAsia="zh-CN"/>
        </w:rPr>
        <w:t>承担</w:t>
      </w:r>
      <w:r>
        <w:rPr>
          <w:rFonts w:hint="eastAsia" w:ascii="仿宋" w:hAnsi="仿宋" w:eastAsia="仿宋" w:cs="仿宋"/>
          <w:b w:val="0"/>
          <w:bCs w:val="0"/>
          <w:color w:val="auto"/>
          <w:spacing w:val="6"/>
          <w:sz w:val="32"/>
          <w:szCs w:val="32"/>
          <w:highlight w:val="none"/>
          <w:lang w:eastAsia="zh-CN"/>
        </w:rPr>
        <w:t>大中型水库移民安置阶段验收及竣工验收的事务性工作。</w:t>
      </w:r>
    </w:p>
    <w:p>
      <w:pPr>
        <w:keepNext w:val="0"/>
        <w:keepLines w:val="0"/>
        <w:pageBreakBefore w:val="0"/>
        <w:widowControl/>
        <w:shd w:val="clear" w:color="auto" w:fill="FFFFFF"/>
        <w:kinsoku/>
        <w:wordWrap/>
        <w:overflowPunct/>
        <w:topLinePunct w:val="0"/>
        <w:autoSpaceDE/>
        <w:autoSpaceDN/>
        <w:bidi w:val="0"/>
        <w:adjustRightInd/>
        <w:spacing w:line="550" w:lineRule="exact"/>
        <w:ind w:left="0" w:firstLine="664" w:firstLineChars="200"/>
        <w:jc w:val="both"/>
        <w:textAlignment w:val="auto"/>
        <w:rPr>
          <w:rFonts w:hint="eastAsia" w:ascii="仿宋" w:hAnsi="仿宋" w:eastAsia="仿宋" w:cs="仿宋"/>
          <w:b w:val="0"/>
          <w:bCs w:val="0"/>
          <w:color w:val="auto"/>
          <w:spacing w:val="6"/>
          <w:sz w:val="32"/>
          <w:szCs w:val="32"/>
          <w:highlight w:val="none"/>
          <w:lang w:eastAsia="zh-CN"/>
        </w:rPr>
      </w:pPr>
      <w:r>
        <w:rPr>
          <w:rFonts w:hint="eastAsia" w:ascii="仿宋" w:hAnsi="仿宋" w:eastAsia="仿宋" w:cs="仿宋"/>
          <w:b w:val="0"/>
          <w:bCs w:val="0"/>
          <w:color w:val="auto"/>
          <w:spacing w:val="6"/>
          <w:sz w:val="32"/>
          <w:szCs w:val="32"/>
          <w:highlight w:val="none"/>
          <w:lang w:eastAsia="zh-CN"/>
        </w:rPr>
        <w:t>（</w:t>
      </w:r>
      <w:r>
        <w:rPr>
          <w:rFonts w:hint="eastAsia" w:ascii="仿宋" w:hAnsi="仿宋" w:eastAsia="仿宋" w:cs="仿宋"/>
          <w:b w:val="0"/>
          <w:bCs w:val="0"/>
          <w:color w:val="auto"/>
          <w:spacing w:val="6"/>
          <w:sz w:val="32"/>
          <w:szCs w:val="32"/>
          <w:highlight w:val="none"/>
          <w:lang w:val="en-US" w:eastAsia="zh-CN"/>
        </w:rPr>
        <w:t>2</w:t>
      </w:r>
      <w:r>
        <w:rPr>
          <w:rFonts w:hint="eastAsia" w:ascii="仿宋" w:hAnsi="仿宋" w:eastAsia="仿宋" w:cs="仿宋"/>
          <w:b w:val="0"/>
          <w:bCs w:val="0"/>
          <w:color w:val="auto"/>
          <w:spacing w:val="6"/>
          <w:sz w:val="32"/>
          <w:szCs w:val="32"/>
          <w:highlight w:val="none"/>
          <w:lang w:eastAsia="zh-CN"/>
        </w:rPr>
        <w:t>）承担移民系统信息化管理和综合统计工作。</w:t>
      </w:r>
    </w:p>
    <w:p>
      <w:pPr>
        <w:keepNext w:val="0"/>
        <w:keepLines w:val="0"/>
        <w:pageBreakBefore w:val="0"/>
        <w:widowControl/>
        <w:shd w:val="clear" w:color="auto" w:fill="FFFFFF"/>
        <w:kinsoku/>
        <w:wordWrap/>
        <w:overflowPunct/>
        <w:topLinePunct w:val="0"/>
        <w:autoSpaceDE/>
        <w:autoSpaceDN/>
        <w:bidi w:val="0"/>
        <w:adjustRightInd/>
        <w:spacing w:line="550" w:lineRule="exact"/>
        <w:ind w:left="0" w:firstLine="664" w:firstLineChars="200"/>
        <w:jc w:val="both"/>
        <w:textAlignment w:val="auto"/>
        <w:rPr>
          <w:rFonts w:hint="eastAsia" w:ascii="仿宋" w:hAnsi="仿宋" w:eastAsia="仿宋" w:cs="仿宋"/>
          <w:b w:val="0"/>
          <w:bCs w:val="0"/>
          <w:color w:val="auto"/>
          <w:spacing w:val="6"/>
          <w:sz w:val="32"/>
          <w:szCs w:val="32"/>
          <w:highlight w:val="none"/>
          <w:lang w:eastAsia="zh-CN"/>
        </w:rPr>
      </w:pPr>
      <w:r>
        <w:rPr>
          <w:rFonts w:hint="eastAsia" w:ascii="仿宋" w:hAnsi="仿宋" w:eastAsia="仿宋" w:cs="仿宋"/>
          <w:b w:val="0"/>
          <w:bCs w:val="0"/>
          <w:color w:val="auto"/>
          <w:spacing w:val="6"/>
          <w:sz w:val="32"/>
          <w:szCs w:val="32"/>
          <w:highlight w:val="none"/>
          <w:lang w:eastAsia="zh-CN"/>
        </w:rPr>
        <w:t>（</w:t>
      </w:r>
      <w:r>
        <w:rPr>
          <w:rFonts w:hint="eastAsia" w:ascii="仿宋" w:hAnsi="仿宋" w:eastAsia="仿宋" w:cs="仿宋"/>
          <w:b w:val="0"/>
          <w:bCs w:val="0"/>
          <w:color w:val="auto"/>
          <w:spacing w:val="6"/>
          <w:sz w:val="32"/>
          <w:szCs w:val="32"/>
          <w:highlight w:val="none"/>
          <w:lang w:val="en-US" w:eastAsia="zh-CN"/>
        </w:rPr>
        <w:t>3</w:t>
      </w:r>
      <w:r>
        <w:rPr>
          <w:rFonts w:hint="eastAsia" w:ascii="仿宋" w:hAnsi="仿宋" w:eastAsia="仿宋" w:cs="仿宋"/>
          <w:b w:val="0"/>
          <w:bCs w:val="0"/>
          <w:color w:val="auto"/>
          <w:spacing w:val="6"/>
          <w:sz w:val="32"/>
          <w:szCs w:val="32"/>
          <w:highlight w:val="none"/>
          <w:lang w:eastAsia="zh-CN"/>
        </w:rPr>
        <w:t>）</w:t>
      </w:r>
      <w:r>
        <w:rPr>
          <w:rFonts w:hint="eastAsia" w:ascii="仿宋" w:hAnsi="仿宋" w:eastAsia="仿宋" w:cs="仿宋"/>
          <w:b w:val="0"/>
          <w:bCs w:val="0"/>
          <w:color w:val="auto"/>
          <w:spacing w:val="6"/>
          <w:sz w:val="32"/>
          <w:szCs w:val="32"/>
          <w:highlight w:val="none"/>
          <w:lang w:val="en-US" w:eastAsia="zh-CN"/>
        </w:rPr>
        <w:t>承担</w:t>
      </w:r>
      <w:r>
        <w:rPr>
          <w:rFonts w:hint="eastAsia" w:ascii="仿宋" w:hAnsi="仿宋" w:eastAsia="仿宋" w:cs="仿宋"/>
          <w:b w:val="0"/>
          <w:bCs w:val="0"/>
          <w:color w:val="auto"/>
          <w:spacing w:val="6"/>
          <w:sz w:val="32"/>
          <w:szCs w:val="32"/>
          <w:highlight w:val="none"/>
          <w:lang w:eastAsia="zh-CN"/>
        </w:rPr>
        <w:t>大中型水库移民安置和后期扶持的事务性工作。</w:t>
      </w:r>
    </w:p>
    <w:p>
      <w:pPr>
        <w:keepNext w:val="0"/>
        <w:keepLines w:val="0"/>
        <w:pageBreakBefore w:val="0"/>
        <w:widowControl/>
        <w:shd w:val="clear" w:color="auto" w:fill="FFFFFF"/>
        <w:kinsoku/>
        <w:wordWrap/>
        <w:overflowPunct/>
        <w:topLinePunct w:val="0"/>
        <w:autoSpaceDE/>
        <w:autoSpaceDN/>
        <w:bidi w:val="0"/>
        <w:adjustRightInd/>
        <w:spacing w:line="550" w:lineRule="exact"/>
        <w:ind w:left="0" w:firstLine="664" w:firstLineChars="200"/>
        <w:jc w:val="both"/>
        <w:textAlignment w:val="auto"/>
        <w:rPr>
          <w:rFonts w:hint="eastAsia" w:ascii="仿宋" w:hAnsi="仿宋" w:eastAsia="仿宋" w:cs="仿宋"/>
          <w:b w:val="0"/>
          <w:bCs w:val="0"/>
          <w:color w:val="auto"/>
          <w:spacing w:val="6"/>
          <w:sz w:val="32"/>
          <w:szCs w:val="32"/>
          <w:highlight w:val="none"/>
          <w:lang w:eastAsia="zh-CN"/>
        </w:rPr>
      </w:pPr>
      <w:r>
        <w:rPr>
          <w:rFonts w:hint="eastAsia" w:ascii="仿宋" w:hAnsi="仿宋" w:eastAsia="仿宋" w:cs="仿宋"/>
          <w:b w:val="0"/>
          <w:bCs w:val="0"/>
          <w:color w:val="auto"/>
          <w:spacing w:val="6"/>
          <w:sz w:val="32"/>
          <w:szCs w:val="32"/>
          <w:highlight w:val="none"/>
          <w:lang w:eastAsia="zh-CN"/>
        </w:rPr>
        <w:t>（</w:t>
      </w:r>
      <w:r>
        <w:rPr>
          <w:rFonts w:hint="eastAsia" w:ascii="仿宋" w:hAnsi="仿宋" w:eastAsia="仿宋" w:cs="仿宋"/>
          <w:b w:val="0"/>
          <w:bCs w:val="0"/>
          <w:color w:val="auto"/>
          <w:spacing w:val="6"/>
          <w:sz w:val="32"/>
          <w:szCs w:val="32"/>
          <w:highlight w:val="none"/>
          <w:lang w:val="en-US" w:eastAsia="zh-CN"/>
        </w:rPr>
        <w:t>4</w:t>
      </w:r>
      <w:r>
        <w:rPr>
          <w:rFonts w:hint="eastAsia" w:ascii="仿宋" w:hAnsi="仿宋" w:eastAsia="仿宋" w:cs="仿宋"/>
          <w:b w:val="0"/>
          <w:bCs w:val="0"/>
          <w:color w:val="auto"/>
          <w:spacing w:val="6"/>
          <w:sz w:val="32"/>
          <w:szCs w:val="32"/>
          <w:highlight w:val="none"/>
          <w:lang w:eastAsia="zh-CN"/>
        </w:rPr>
        <w:t>）</w:t>
      </w:r>
      <w:r>
        <w:rPr>
          <w:rFonts w:hint="eastAsia" w:ascii="仿宋" w:hAnsi="仿宋" w:eastAsia="仿宋" w:cs="仿宋"/>
          <w:b w:val="0"/>
          <w:bCs w:val="0"/>
          <w:color w:val="auto"/>
          <w:spacing w:val="6"/>
          <w:sz w:val="32"/>
          <w:szCs w:val="32"/>
          <w:highlight w:val="none"/>
          <w:lang w:val="en-US" w:eastAsia="zh-CN"/>
        </w:rPr>
        <w:t>协</w:t>
      </w:r>
      <w:r>
        <w:rPr>
          <w:rFonts w:hint="eastAsia" w:ascii="仿宋" w:hAnsi="仿宋" w:eastAsia="仿宋" w:cs="仿宋"/>
          <w:b w:val="0"/>
          <w:bCs w:val="0"/>
          <w:color w:val="auto"/>
          <w:spacing w:val="6"/>
          <w:sz w:val="32"/>
          <w:szCs w:val="32"/>
          <w:highlight w:val="none"/>
          <w:lang w:eastAsia="zh-CN"/>
        </w:rPr>
        <w:t>助有关部门拟</w:t>
      </w:r>
      <w:r>
        <w:rPr>
          <w:rFonts w:hint="eastAsia" w:ascii="仿宋" w:hAnsi="仿宋" w:eastAsia="仿宋" w:cs="仿宋"/>
          <w:b w:val="0"/>
          <w:bCs w:val="0"/>
          <w:color w:val="auto"/>
          <w:spacing w:val="6"/>
          <w:sz w:val="32"/>
          <w:szCs w:val="32"/>
          <w:highlight w:val="none"/>
          <w:lang w:val="en-US" w:eastAsia="zh-CN"/>
        </w:rPr>
        <w:t>订</w:t>
      </w:r>
      <w:r>
        <w:rPr>
          <w:rFonts w:hint="eastAsia" w:ascii="仿宋" w:hAnsi="仿宋" w:eastAsia="仿宋" w:cs="仿宋"/>
          <w:b w:val="0"/>
          <w:bCs w:val="0"/>
          <w:color w:val="auto"/>
          <w:spacing w:val="6"/>
          <w:sz w:val="32"/>
          <w:szCs w:val="32"/>
          <w:highlight w:val="none"/>
          <w:lang w:eastAsia="zh-CN"/>
        </w:rPr>
        <w:t>市本级水库移民资金年度预算方案</w:t>
      </w:r>
      <w:r>
        <w:rPr>
          <w:rFonts w:hint="eastAsia" w:ascii="仿宋" w:hAnsi="仿宋" w:eastAsia="仿宋" w:cs="仿宋"/>
          <w:b w:val="0"/>
          <w:bCs w:val="0"/>
          <w:color w:val="auto"/>
          <w:spacing w:val="6"/>
          <w:sz w:val="32"/>
          <w:szCs w:val="32"/>
          <w:highlight w:val="none"/>
          <w:lang w:val="en-US" w:eastAsia="zh-CN"/>
        </w:rPr>
        <w:t>和安排方案；承担</w:t>
      </w:r>
      <w:r>
        <w:rPr>
          <w:rFonts w:hint="eastAsia" w:ascii="仿宋" w:hAnsi="仿宋" w:eastAsia="仿宋" w:cs="仿宋"/>
          <w:b w:val="0"/>
          <w:bCs w:val="0"/>
          <w:color w:val="auto"/>
          <w:spacing w:val="6"/>
          <w:sz w:val="32"/>
          <w:szCs w:val="32"/>
          <w:highlight w:val="none"/>
          <w:lang w:eastAsia="zh-CN"/>
        </w:rPr>
        <w:t>移民资金内部审计和绩效评价的事务性工作;承担水库移民后期扶持政策实施情况监测评估、稽察的事务性工作;为水库移民资金管理提供服务保障。</w:t>
      </w:r>
    </w:p>
    <w:p>
      <w:pPr>
        <w:keepNext w:val="0"/>
        <w:keepLines w:val="0"/>
        <w:pageBreakBefore w:val="0"/>
        <w:widowControl/>
        <w:shd w:val="clear" w:color="auto" w:fill="FFFFFF"/>
        <w:kinsoku/>
        <w:wordWrap/>
        <w:overflowPunct/>
        <w:topLinePunct w:val="0"/>
        <w:autoSpaceDE/>
        <w:autoSpaceDN/>
        <w:bidi w:val="0"/>
        <w:adjustRightInd/>
        <w:spacing w:line="550" w:lineRule="exact"/>
        <w:ind w:left="0" w:firstLine="664" w:firstLineChars="200"/>
        <w:jc w:val="both"/>
        <w:textAlignment w:val="auto"/>
        <w:rPr>
          <w:rFonts w:hint="eastAsia" w:ascii="仿宋" w:hAnsi="仿宋" w:eastAsia="仿宋" w:cs="仿宋"/>
          <w:b w:val="0"/>
          <w:bCs w:val="0"/>
          <w:color w:val="auto"/>
          <w:spacing w:val="6"/>
          <w:sz w:val="32"/>
          <w:szCs w:val="32"/>
          <w:highlight w:val="none"/>
          <w:lang w:eastAsia="zh-CN"/>
        </w:rPr>
      </w:pPr>
      <w:r>
        <w:rPr>
          <w:rFonts w:hint="eastAsia" w:ascii="仿宋" w:hAnsi="仿宋" w:eastAsia="仿宋" w:cs="仿宋"/>
          <w:b w:val="0"/>
          <w:bCs w:val="0"/>
          <w:color w:val="auto"/>
          <w:spacing w:val="6"/>
          <w:sz w:val="32"/>
          <w:szCs w:val="32"/>
          <w:highlight w:val="none"/>
          <w:lang w:eastAsia="zh-CN"/>
        </w:rPr>
        <w:t>（</w:t>
      </w:r>
      <w:r>
        <w:rPr>
          <w:rFonts w:hint="eastAsia" w:ascii="仿宋" w:hAnsi="仿宋" w:eastAsia="仿宋" w:cs="仿宋"/>
          <w:b w:val="0"/>
          <w:bCs w:val="0"/>
          <w:color w:val="auto"/>
          <w:spacing w:val="6"/>
          <w:sz w:val="32"/>
          <w:szCs w:val="32"/>
          <w:highlight w:val="none"/>
          <w:lang w:val="en-US" w:eastAsia="zh-CN"/>
        </w:rPr>
        <w:t>5</w:t>
      </w:r>
      <w:r>
        <w:rPr>
          <w:rFonts w:hint="eastAsia" w:ascii="仿宋" w:hAnsi="仿宋" w:eastAsia="仿宋" w:cs="仿宋"/>
          <w:b w:val="0"/>
          <w:bCs w:val="0"/>
          <w:color w:val="auto"/>
          <w:spacing w:val="6"/>
          <w:sz w:val="32"/>
          <w:szCs w:val="32"/>
          <w:highlight w:val="none"/>
          <w:lang w:eastAsia="zh-CN"/>
        </w:rPr>
        <w:t>）协助开展水库移民工作法规、规章的研究和起草工作;承担大中型水库移民信访维权、行政复议、行政诉讼的事务性工作。</w:t>
      </w:r>
    </w:p>
    <w:p>
      <w:pPr>
        <w:keepNext w:val="0"/>
        <w:keepLines w:val="0"/>
        <w:pageBreakBefore w:val="0"/>
        <w:widowControl/>
        <w:shd w:val="clear" w:color="auto" w:fill="FFFFFF"/>
        <w:kinsoku/>
        <w:wordWrap/>
        <w:overflowPunct/>
        <w:topLinePunct w:val="0"/>
        <w:autoSpaceDE/>
        <w:autoSpaceDN/>
        <w:bidi w:val="0"/>
        <w:adjustRightInd/>
        <w:spacing w:line="550" w:lineRule="exact"/>
        <w:ind w:left="0" w:firstLine="664" w:firstLineChars="200"/>
        <w:jc w:val="both"/>
        <w:textAlignment w:val="auto"/>
        <w:rPr>
          <w:rFonts w:hint="eastAsia" w:ascii="仿宋" w:hAnsi="仿宋" w:eastAsia="仿宋" w:cs="仿宋"/>
          <w:b w:val="0"/>
          <w:bCs w:val="0"/>
          <w:color w:val="auto"/>
          <w:spacing w:val="6"/>
          <w:sz w:val="32"/>
          <w:szCs w:val="32"/>
          <w:highlight w:val="none"/>
          <w:lang w:eastAsia="zh-CN"/>
        </w:rPr>
      </w:pPr>
      <w:r>
        <w:rPr>
          <w:rFonts w:hint="eastAsia" w:ascii="仿宋" w:hAnsi="仿宋" w:eastAsia="仿宋" w:cs="仿宋"/>
          <w:b w:val="0"/>
          <w:bCs w:val="0"/>
          <w:color w:val="auto"/>
          <w:spacing w:val="6"/>
          <w:sz w:val="32"/>
          <w:szCs w:val="32"/>
          <w:highlight w:val="none"/>
          <w:lang w:eastAsia="zh-CN"/>
        </w:rPr>
        <w:t>（</w:t>
      </w:r>
      <w:r>
        <w:rPr>
          <w:rFonts w:hint="eastAsia" w:ascii="仿宋" w:hAnsi="仿宋" w:eastAsia="仿宋" w:cs="仿宋"/>
          <w:b w:val="0"/>
          <w:bCs w:val="0"/>
          <w:color w:val="auto"/>
          <w:spacing w:val="6"/>
          <w:sz w:val="32"/>
          <w:szCs w:val="32"/>
          <w:highlight w:val="none"/>
          <w:lang w:val="en-US" w:eastAsia="zh-CN"/>
        </w:rPr>
        <w:t>6</w:t>
      </w:r>
      <w:r>
        <w:rPr>
          <w:rFonts w:hint="eastAsia" w:ascii="仿宋" w:hAnsi="仿宋" w:eastAsia="仿宋" w:cs="仿宋"/>
          <w:b w:val="0"/>
          <w:bCs w:val="0"/>
          <w:color w:val="auto"/>
          <w:spacing w:val="6"/>
          <w:sz w:val="32"/>
          <w:szCs w:val="32"/>
          <w:highlight w:val="none"/>
          <w:lang w:eastAsia="zh-CN"/>
        </w:rPr>
        <w:t>）协助推动水库移民对口帮扶工作;承担水库移民计划生育、综合治理、扶贫攻坚、安全生产的事务性工作。</w:t>
      </w:r>
    </w:p>
    <w:p>
      <w:pPr>
        <w:keepNext w:val="0"/>
        <w:keepLines w:val="0"/>
        <w:pageBreakBefore w:val="0"/>
        <w:widowControl/>
        <w:shd w:val="clear" w:color="auto" w:fill="FFFFFF"/>
        <w:kinsoku/>
        <w:wordWrap/>
        <w:overflowPunct/>
        <w:topLinePunct w:val="0"/>
        <w:autoSpaceDE/>
        <w:autoSpaceDN/>
        <w:bidi w:val="0"/>
        <w:adjustRightInd/>
        <w:spacing w:line="550" w:lineRule="exact"/>
        <w:ind w:left="0" w:firstLine="664" w:firstLineChars="200"/>
        <w:jc w:val="both"/>
        <w:textAlignment w:val="auto"/>
        <w:rPr>
          <w:rFonts w:hint="eastAsia" w:ascii="仿宋" w:hAnsi="仿宋" w:eastAsia="仿宋" w:cs="仿宋"/>
          <w:b w:val="0"/>
          <w:bCs w:val="0"/>
          <w:color w:val="auto"/>
          <w:spacing w:val="6"/>
          <w:sz w:val="32"/>
          <w:szCs w:val="32"/>
          <w:highlight w:val="none"/>
          <w:lang w:eastAsia="zh-CN"/>
        </w:rPr>
      </w:pPr>
      <w:r>
        <w:rPr>
          <w:rFonts w:hint="eastAsia" w:ascii="仿宋" w:hAnsi="仿宋" w:eastAsia="仿宋" w:cs="仿宋"/>
          <w:b w:val="0"/>
          <w:bCs w:val="0"/>
          <w:color w:val="auto"/>
          <w:spacing w:val="6"/>
          <w:sz w:val="32"/>
          <w:szCs w:val="32"/>
          <w:highlight w:val="none"/>
          <w:lang w:eastAsia="zh-CN"/>
        </w:rPr>
        <w:t>（</w:t>
      </w:r>
      <w:r>
        <w:rPr>
          <w:rFonts w:hint="eastAsia" w:ascii="仿宋" w:hAnsi="仿宋" w:eastAsia="仿宋" w:cs="仿宋"/>
          <w:b w:val="0"/>
          <w:bCs w:val="0"/>
          <w:color w:val="auto"/>
          <w:spacing w:val="6"/>
          <w:sz w:val="32"/>
          <w:szCs w:val="32"/>
          <w:highlight w:val="none"/>
          <w:lang w:val="en-US" w:eastAsia="zh-CN"/>
        </w:rPr>
        <w:t>7</w:t>
      </w:r>
      <w:r>
        <w:rPr>
          <w:rFonts w:hint="eastAsia" w:ascii="仿宋" w:hAnsi="仿宋" w:eastAsia="仿宋" w:cs="仿宋"/>
          <w:b w:val="0"/>
          <w:bCs w:val="0"/>
          <w:color w:val="auto"/>
          <w:spacing w:val="6"/>
          <w:sz w:val="32"/>
          <w:szCs w:val="32"/>
          <w:highlight w:val="none"/>
          <w:lang w:eastAsia="zh-CN"/>
        </w:rPr>
        <w:t>）协助协调三峡移民工作。</w:t>
      </w:r>
    </w:p>
    <w:p>
      <w:pPr>
        <w:keepNext w:val="0"/>
        <w:keepLines w:val="0"/>
        <w:pageBreakBefore w:val="0"/>
        <w:widowControl/>
        <w:shd w:val="clear" w:color="auto" w:fill="FFFFFF"/>
        <w:kinsoku/>
        <w:wordWrap/>
        <w:overflowPunct/>
        <w:topLinePunct w:val="0"/>
        <w:autoSpaceDE/>
        <w:autoSpaceDN/>
        <w:bidi w:val="0"/>
        <w:adjustRightInd/>
        <w:spacing w:line="550" w:lineRule="exact"/>
        <w:ind w:left="0" w:firstLine="664" w:firstLineChars="200"/>
        <w:jc w:val="both"/>
        <w:textAlignment w:val="auto"/>
        <w:rPr>
          <w:rFonts w:hint="eastAsia" w:ascii="仿宋" w:hAnsi="仿宋" w:eastAsia="仿宋" w:cs="仿宋"/>
          <w:b w:val="0"/>
          <w:bCs w:val="0"/>
          <w:color w:val="auto"/>
          <w:spacing w:val="6"/>
          <w:sz w:val="32"/>
          <w:szCs w:val="32"/>
          <w:highlight w:val="none"/>
          <w:lang w:eastAsia="zh-CN"/>
        </w:rPr>
      </w:pPr>
      <w:r>
        <w:rPr>
          <w:rFonts w:hint="eastAsia" w:ascii="仿宋" w:hAnsi="仿宋" w:eastAsia="仿宋" w:cs="仿宋"/>
          <w:b w:val="0"/>
          <w:bCs w:val="0"/>
          <w:color w:val="auto"/>
          <w:spacing w:val="6"/>
          <w:sz w:val="32"/>
          <w:szCs w:val="32"/>
          <w:highlight w:val="none"/>
          <w:lang w:eastAsia="zh-CN"/>
        </w:rPr>
        <w:t>（</w:t>
      </w:r>
      <w:r>
        <w:rPr>
          <w:rFonts w:hint="eastAsia" w:ascii="仿宋" w:hAnsi="仿宋" w:eastAsia="仿宋" w:cs="仿宋"/>
          <w:b w:val="0"/>
          <w:bCs w:val="0"/>
          <w:color w:val="auto"/>
          <w:spacing w:val="6"/>
          <w:sz w:val="32"/>
          <w:szCs w:val="32"/>
          <w:highlight w:val="none"/>
          <w:lang w:val="en-US" w:eastAsia="zh-CN"/>
        </w:rPr>
        <w:t>8</w:t>
      </w:r>
      <w:r>
        <w:rPr>
          <w:rFonts w:hint="eastAsia" w:ascii="仿宋" w:hAnsi="仿宋" w:eastAsia="仿宋" w:cs="仿宋"/>
          <w:b w:val="0"/>
          <w:bCs w:val="0"/>
          <w:color w:val="auto"/>
          <w:spacing w:val="6"/>
          <w:sz w:val="32"/>
          <w:szCs w:val="32"/>
          <w:highlight w:val="none"/>
          <w:lang w:eastAsia="zh-CN"/>
        </w:rPr>
        <w:t>）承担大中型水库移民培训的事务性工作。</w:t>
      </w:r>
    </w:p>
    <w:p>
      <w:pPr>
        <w:keepNext w:val="0"/>
        <w:keepLines w:val="0"/>
        <w:pageBreakBefore w:val="0"/>
        <w:widowControl/>
        <w:shd w:val="clear" w:color="auto" w:fill="FFFFFF"/>
        <w:kinsoku/>
        <w:wordWrap/>
        <w:overflowPunct/>
        <w:topLinePunct w:val="0"/>
        <w:autoSpaceDE/>
        <w:autoSpaceDN/>
        <w:bidi w:val="0"/>
        <w:adjustRightInd/>
        <w:spacing w:line="550" w:lineRule="exact"/>
        <w:ind w:left="0" w:firstLine="664" w:firstLineChars="200"/>
        <w:jc w:val="both"/>
        <w:textAlignment w:val="auto"/>
        <w:rPr>
          <w:rFonts w:hint="eastAsia" w:ascii="仿宋" w:hAnsi="仿宋" w:eastAsia="仿宋" w:cs="仿宋"/>
          <w:b w:val="0"/>
          <w:bCs w:val="0"/>
          <w:i w:val="0"/>
          <w:iCs w:val="0"/>
          <w:caps w:val="0"/>
          <w:color w:val="auto"/>
          <w:spacing w:val="11"/>
          <w:sz w:val="32"/>
          <w:szCs w:val="32"/>
          <w:shd w:val="clear" w:fill="FFFFFF"/>
        </w:rPr>
      </w:pPr>
      <w:r>
        <w:rPr>
          <w:rFonts w:hint="eastAsia" w:ascii="仿宋" w:hAnsi="仿宋" w:eastAsia="仿宋" w:cs="仿宋"/>
          <w:b w:val="0"/>
          <w:bCs w:val="0"/>
          <w:color w:val="auto"/>
          <w:spacing w:val="6"/>
          <w:sz w:val="32"/>
          <w:szCs w:val="32"/>
          <w:highlight w:val="none"/>
          <w:lang w:eastAsia="zh-CN"/>
        </w:rPr>
        <w:t>（</w:t>
      </w:r>
      <w:r>
        <w:rPr>
          <w:rFonts w:hint="eastAsia" w:ascii="仿宋" w:hAnsi="仿宋" w:eastAsia="仿宋" w:cs="仿宋"/>
          <w:b w:val="0"/>
          <w:bCs w:val="0"/>
          <w:color w:val="auto"/>
          <w:spacing w:val="6"/>
          <w:sz w:val="32"/>
          <w:szCs w:val="32"/>
          <w:highlight w:val="none"/>
          <w:lang w:val="en-US" w:eastAsia="zh-CN"/>
        </w:rPr>
        <w:t>9</w:t>
      </w:r>
      <w:r>
        <w:rPr>
          <w:rFonts w:hint="eastAsia" w:ascii="仿宋" w:hAnsi="仿宋" w:eastAsia="仿宋" w:cs="仿宋"/>
          <w:b w:val="0"/>
          <w:bCs w:val="0"/>
          <w:color w:val="auto"/>
          <w:spacing w:val="6"/>
          <w:sz w:val="32"/>
          <w:szCs w:val="32"/>
          <w:highlight w:val="none"/>
          <w:lang w:eastAsia="zh-CN"/>
        </w:rPr>
        <w:t>）承担市水</w:t>
      </w:r>
      <w:r>
        <w:rPr>
          <w:rFonts w:hint="eastAsia" w:ascii="仿宋" w:hAnsi="仿宋" w:eastAsia="仿宋" w:cs="仿宋"/>
          <w:b w:val="0"/>
          <w:bCs w:val="0"/>
          <w:color w:val="auto"/>
          <w:spacing w:val="11"/>
          <w:sz w:val="32"/>
          <w:szCs w:val="32"/>
          <w:highlight w:val="none"/>
          <w:lang w:eastAsia="zh-CN"/>
        </w:rPr>
        <w:t>利局交办的其他工作。</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left="0" w:right="0" w:firstLine="684" w:firstLineChars="200"/>
        <w:jc w:val="both"/>
        <w:textAlignment w:val="auto"/>
        <w:rPr>
          <w:rFonts w:hint="default" w:ascii="楷体_GB2312" w:eastAsia="楷体_GB2312" w:cs="楷体_GB2312"/>
          <w:b/>
          <w:bCs/>
          <w:i w:val="0"/>
          <w:iCs w:val="0"/>
          <w:caps w:val="0"/>
          <w:color w:val="auto"/>
          <w:spacing w:val="11"/>
          <w:sz w:val="32"/>
          <w:szCs w:val="32"/>
          <w:shd w:val="clear" w:fill="FFFFFF"/>
        </w:rPr>
      </w:pPr>
      <w:r>
        <w:rPr>
          <w:rFonts w:hint="default" w:ascii="楷体_GB2312" w:eastAsia="楷体_GB2312" w:cs="楷体_GB2312"/>
          <w:b/>
          <w:bCs/>
          <w:i w:val="0"/>
          <w:iCs w:val="0"/>
          <w:caps w:val="0"/>
          <w:color w:val="auto"/>
          <w:spacing w:val="11"/>
          <w:sz w:val="32"/>
          <w:szCs w:val="32"/>
          <w:shd w:val="clear" w:fill="FFFFFF"/>
        </w:rPr>
        <w:t>（</w:t>
      </w:r>
      <w:r>
        <w:rPr>
          <w:rFonts w:hint="eastAsia" w:ascii="楷体_GB2312" w:eastAsia="楷体_GB2312" w:cs="楷体_GB2312"/>
          <w:b/>
          <w:bCs/>
          <w:i w:val="0"/>
          <w:iCs w:val="0"/>
          <w:caps w:val="0"/>
          <w:color w:val="auto"/>
          <w:spacing w:val="11"/>
          <w:sz w:val="32"/>
          <w:szCs w:val="32"/>
          <w:shd w:val="clear" w:fill="FFFFFF"/>
          <w:lang w:eastAsia="zh-CN"/>
        </w:rPr>
        <w:t>三</w:t>
      </w:r>
      <w:r>
        <w:rPr>
          <w:rFonts w:hint="default" w:ascii="楷体_GB2312" w:eastAsia="楷体_GB2312" w:cs="楷体_GB2312"/>
          <w:b/>
          <w:bCs/>
          <w:i w:val="0"/>
          <w:iCs w:val="0"/>
          <w:caps w:val="0"/>
          <w:color w:val="auto"/>
          <w:spacing w:val="11"/>
          <w:sz w:val="32"/>
          <w:szCs w:val="32"/>
          <w:shd w:val="clear" w:fill="FFFFFF"/>
        </w:rPr>
        <w:t>）绩效目标设定情况</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val="en-US" w:eastAsia="zh-CN"/>
        </w:rPr>
      </w:pPr>
      <w:r>
        <w:rPr>
          <w:rFonts w:hint="eastAsia" w:ascii="仿宋" w:hAnsi="仿宋" w:eastAsia="仿宋" w:cs="仿宋"/>
          <w:b w:val="0"/>
          <w:bCs w:val="0"/>
          <w:color w:val="auto"/>
          <w:spacing w:val="11"/>
          <w:sz w:val="32"/>
          <w:szCs w:val="32"/>
          <w:highlight w:val="none"/>
          <w:lang w:val="en-US" w:eastAsia="zh-CN"/>
        </w:rPr>
        <w:t>按照市本级预算绩效管理工作的总体要求，2024年我单位整体支出</w:t>
      </w:r>
      <w:r>
        <w:rPr>
          <w:rFonts w:hint="eastAsia" w:ascii="仿宋" w:hAnsi="仿宋" w:eastAsia="仿宋" w:cs="仿宋"/>
          <w:b w:val="0"/>
          <w:bCs w:val="0"/>
          <w:color w:val="auto"/>
          <w:spacing w:val="11"/>
          <w:sz w:val="32"/>
          <w:szCs w:val="32"/>
          <w:highlight w:val="none"/>
          <w:lang w:val="en-US" w:eastAsia="zh-CN"/>
        </w:rPr>
        <w:t>533.33万元，全部实行整体支出绩效目标管理</w:t>
      </w:r>
      <w:r>
        <w:rPr>
          <w:rFonts w:hint="eastAsia" w:ascii="仿宋" w:hAnsi="仿宋" w:eastAsia="仿宋" w:cs="仿宋"/>
          <w:b w:val="0"/>
          <w:bCs w:val="0"/>
          <w:color w:val="auto"/>
          <w:spacing w:val="11"/>
          <w:sz w:val="32"/>
          <w:szCs w:val="32"/>
          <w:highlight w:val="none"/>
          <w:lang w:eastAsia="zh-CN"/>
        </w:rPr>
        <w:t>。</w:t>
      </w:r>
      <w:r>
        <w:rPr>
          <w:rFonts w:hint="eastAsia" w:ascii="仿宋" w:hAnsi="仿宋" w:eastAsia="仿宋" w:cs="仿宋"/>
          <w:b w:val="0"/>
          <w:bCs w:val="0"/>
          <w:color w:val="auto"/>
          <w:spacing w:val="11"/>
          <w:sz w:val="32"/>
          <w:szCs w:val="32"/>
          <w:highlight w:val="none"/>
          <w:lang w:val="en-US" w:eastAsia="zh-CN"/>
        </w:rPr>
        <w:t>编报绩效目标的项目4个，涉及的项目支出112.11万元，其中：</w:t>
      </w:r>
      <w:r>
        <w:rPr>
          <w:rFonts w:hint="eastAsia" w:ascii="仿宋" w:hAnsi="仿宋" w:eastAsia="仿宋" w:cs="仿宋"/>
          <w:b w:val="0"/>
          <w:bCs w:val="0"/>
          <w:color w:val="auto"/>
          <w:spacing w:val="11"/>
          <w:sz w:val="32"/>
          <w:szCs w:val="32"/>
          <w:highlight w:val="none"/>
          <w:lang w:eastAsia="zh-CN"/>
        </w:rPr>
        <w:t>后扶维稳</w:t>
      </w:r>
      <w:r>
        <w:rPr>
          <w:rFonts w:hint="eastAsia" w:ascii="仿宋" w:hAnsi="仿宋" w:eastAsia="仿宋" w:cs="仿宋"/>
          <w:b w:val="0"/>
          <w:bCs w:val="0"/>
          <w:color w:val="auto"/>
          <w:spacing w:val="11"/>
          <w:sz w:val="32"/>
          <w:szCs w:val="32"/>
          <w:highlight w:val="none"/>
          <w:lang w:val="en-US" w:eastAsia="zh-CN"/>
        </w:rPr>
        <w:t>工作经费34.38万元，中央</w:t>
      </w:r>
      <w:r>
        <w:rPr>
          <w:rFonts w:hint="eastAsia" w:ascii="仿宋" w:hAnsi="仿宋" w:eastAsia="仿宋" w:cs="仿宋"/>
          <w:b w:val="0"/>
          <w:bCs w:val="0"/>
          <w:color w:val="auto"/>
          <w:spacing w:val="11"/>
          <w:sz w:val="32"/>
          <w:szCs w:val="32"/>
          <w:highlight w:val="none"/>
          <w:lang w:val="en-US" w:eastAsia="zh-CN"/>
        </w:rPr>
        <w:t>大中型水库移民后期扶持资金58.60万元，移民工作经费补助资金10.66万元，全市移民存量资金监督检查工作经费8.46万元，全部实行项目支出绩效目标管理。</w:t>
      </w:r>
    </w:p>
    <w:p>
      <w:pPr>
        <w:keepNext w:val="0"/>
        <w:keepLines w:val="0"/>
        <w:pageBreakBefore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黑体" w:hAnsi="黑体" w:eastAsia="黑体" w:cs="黑体"/>
          <w:b w:val="0"/>
          <w:bCs w:val="0"/>
          <w:i w:val="0"/>
          <w:iCs w:val="0"/>
          <w:caps w:val="0"/>
          <w:color w:val="auto"/>
          <w:spacing w:val="11"/>
          <w:kern w:val="0"/>
          <w:sz w:val="32"/>
          <w:szCs w:val="32"/>
          <w:shd w:val="clear" w:fill="FFFFFF"/>
          <w:lang w:val="en-US" w:eastAsia="zh-CN" w:bidi="ar"/>
        </w:rPr>
      </w:pPr>
      <w:r>
        <w:rPr>
          <w:rFonts w:hint="eastAsia" w:ascii="黑体" w:hAnsi="黑体" w:eastAsia="黑体" w:cs="黑体"/>
          <w:b w:val="0"/>
          <w:bCs w:val="0"/>
          <w:i w:val="0"/>
          <w:iCs w:val="0"/>
          <w:caps w:val="0"/>
          <w:color w:val="auto"/>
          <w:spacing w:val="11"/>
          <w:kern w:val="0"/>
          <w:sz w:val="32"/>
          <w:szCs w:val="32"/>
          <w:shd w:val="clear" w:fill="FFFFFF"/>
          <w:lang w:val="en-US" w:eastAsia="zh-CN" w:bidi="ar"/>
        </w:rPr>
        <w:t>二、部门整体支出管理及使用情况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left="0" w:right="0" w:firstLine="684" w:firstLineChars="200"/>
        <w:jc w:val="both"/>
        <w:textAlignment w:val="auto"/>
        <w:rPr>
          <w:rFonts w:hint="default" w:ascii="楷体_GB2312" w:eastAsia="楷体_GB2312" w:cs="楷体_GB2312"/>
          <w:b/>
          <w:bCs/>
          <w:i w:val="0"/>
          <w:iCs w:val="0"/>
          <w:caps w:val="0"/>
          <w:color w:val="auto"/>
          <w:spacing w:val="11"/>
          <w:sz w:val="32"/>
          <w:szCs w:val="32"/>
          <w:shd w:val="clear" w:fill="FFFFFF"/>
        </w:rPr>
      </w:pPr>
      <w:r>
        <w:rPr>
          <w:rFonts w:hint="default" w:ascii="楷体_GB2312" w:eastAsia="楷体_GB2312" w:cs="楷体_GB2312"/>
          <w:b/>
          <w:bCs/>
          <w:i w:val="0"/>
          <w:iCs w:val="0"/>
          <w:caps w:val="0"/>
          <w:color w:val="auto"/>
          <w:spacing w:val="11"/>
          <w:sz w:val="32"/>
          <w:szCs w:val="32"/>
          <w:shd w:val="clear" w:fill="FFFFFF"/>
        </w:rPr>
        <w:t>（一）</w:t>
      </w:r>
      <w:r>
        <w:rPr>
          <w:rFonts w:hint="eastAsia" w:ascii="楷体_GB2312" w:eastAsia="楷体_GB2312" w:cs="楷体_GB2312"/>
          <w:b/>
          <w:bCs/>
          <w:i w:val="0"/>
          <w:iCs w:val="0"/>
          <w:caps w:val="0"/>
          <w:color w:val="auto"/>
          <w:spacing w:val="11"/>
          <w:sz w:val="32"/>
          <w:szCs w:val="32"/>
          <w:shd w:val="clear" w:fill="FFFFFF"/>
        </w:rPr>
        <w:t>预算执行、使用、管理总体情况。</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val="en-US" w:eastAsia="zh-CN"/>
        </w:rPr>
      </w:pPr>
      <w:r>
        <w:rPr>
          <w:rFonts w:hint="eastAsia" w:ascii="仿宋" w:hAnsi="仿宋" w:eastAsia="仿宋" w:cs="仿宋"/>
          <w:b w:val="0"/>
          <w:bCs w:val="0"/>
          <w:color w:val="auto"/>
          <w:spacing w:val="11"/>
          <w:sz w:val="32"/>
          <w:szCs w:val="32"/>
          <w:highlight w:val="none"/>
          <w:lang w:val="en-US" w:eastAsia="zh-CN"/>
        </w:rPr>
        <w:t>2024年部门预算收入401.66</w:t>
      </w:r>
      <w:r>
        <w:rPr>
          <w:rFonts w:hint="eastAsia" w:ascii="仿宋" w:hAnsi="仿宋" w:eastAsia="仿宋" w:cs="仿宋"/>
          <w:b w:val="0"/>
          <w:bCs w:val="0"/>
          <w:color w:val="auto"/>
          <w:spacing w:val="11"/>
          <w:sz w:val="32"/>
          <w:szCs w:val="32"/>
          <w:highlight w:val="none"/>
          <w:lang w:eastAsia="zh-CN"/>
        </w:rPr>
        <w:t>万元，</w:t>
      </w:r>
      <w:r>
        <w:rPr>
          <w:rFonts w:hint="eastAsia" w:ascii="仿宋" w:hAnsi="仿宋" w:eastAsia="仿宋" w:cs="仿宋"/>
          <w:b w:val="0"/>
          <w:bCs w:val="0"/>
          <w:color w:val="auto"/>
          <w:spacing w:val="11"/>
          <w:sz w:val="32"/>
          <w:szCs w:val="32"/>
          <w:highlight w:val="none"/>
          <w:lang w:val="en-US" w:eastAsia="zh-CN"/>
        </w:rPr>
        <w:t>包括一般公共预算财政拨款收入389.66</w:t>
      </w:r>
      <w:r>
        <w:rPr>
          <w:rFonts w:hint="eastAsia" w:ascii="仿宋" w:hAnsi="仿宋" w:eastAsia="仿宋" w:cs="仿宋"/>
          <w:b w:val="0"/>
          <w:bCs w:val="0"/>
          <w:color w:val="auto"/>
          <w:spacing w:val="11"/>
          <w:sz w:val="32"/>
          <w:szCs w:val="32"/>
          <w:highlight w:val="none"/>
          <w:lang w:eastAsia="zh-CN"/>
        </w:rPr>
        <w:t>万元、</w:t>
      </w:r>
      <w:r>
        <w:rPr>
          <w:rFonts w:hint="eastAsia" w:ascii="仿宋" w:hAnsi="仿宋" w:eastAsia="仿宋" w:cs="仿宋"/>
          <w:b w:val="0"/>
          <w:bCs w:val="0"/>
          <w:color w:val="auto"/>
          <w:spacing w:val="11"/>
          <w:sz w:val="32"/>
          <w:szCs w:val="32"/>
          <w:highlight w:val="none"/>
          <w:lang w:val="en-US" w:eastAsia="zh-CN"/>
        </w:rPr>
        <w:t>其他资</w:t>
      </w:r>
      <w:r>
        <w:rPr>
          <w:rFonts w:hint="eastAsia" w:ascii="仿宋" w:hAnsi="仿宋" w:eastAsia="仿宋" w:cs="仿宋"/>
          <w:b w:val="0"/>
          <w:bCs w:val="0"/>
          <w:color w:val="auto"/>
          <w:spacing w:val="11"/>
          <w:sz w:val="32"/>
          <w:szCs w:val="32"/>
          <w:highlight w:val="none"/>
          <w:lang w:val="en-US" w:eastAsia="zh-CN"/>
        </w:rPr>
        <w:t>金12</w:t>
      </w:r>
      <w:r>
        <w:rPr>
          <w:rFonts w:hint="eastAsia" w:ascii="仿宋" w:hAnsi="仿宋" w:eastAsia="仿宋" w:cs="仿宋"/>
          <w:b w:val="0"/>
          <w:bCs w:val="0"/>
          <w:color w:val="auto"/>
          <w:spacing w:val="11"/>
          <w:sz w:val="32"/>
          <w:szCs w:val="32"/>
          <w:highlight w:val="none"/>
          <w:lang w:eastAsia="zh-CN"/>
        </w:rPr>
        <w:t>万元</w:t>
      </w:r>
      <w:r>
        <w:rPr>
          <w:rFonts w:hint="eastAsia" w:ascii="仿宋" w:hAnsi="仿宋" w:eastAsia="仿宋" w:cs="仿宋"/>
          <w:b w:val="0"/>
          <w:bCs w:val="0"/>
          <w:color w:val="auto"/>
          <w:spacing w:val="11"/>
          <w:sz w:val="32"/>
          <w:szCs w:val="32"/>
          <w:highlight w:val="none"/>
          <w:lang w:val="en-US" w:eastAsia="zh-CN"/>
        </w:rPr>
        <w:t>；支出包括基本支出359.66</w:t>
      </w:r>
      <w:r>
        <w:rPr>
          <w:rFonts w:hint="eastAsia" w:ascii="仿宋" w:hAnsi="仿宋" w:eastAsia="仿宋" w:cs="仿宋"/>
          <w:b w:val="0"/>
          <w:bCs w:val="0"/>
          <w:color w:val="auto"/>
          <w:spacing w:val="11"/>
          <w:sz w:val="32"/>
          <w:szCs w:val="32"/>
          <w:highlight w:val="none"/>
          <w:lang w:eastAsia="zh-CN"/>
        </w:rPr>
        <w:t>万元</w:t>
      </w:r>
      <w:r>
        <w:rPr>
          <w:rFonts w:hint="eastAsia" w:ascii="仿宋" w:hAnsi="仿宋" w:eastAsia="仿宋" w:cs="仿宋"/>
          <w:b w:val="0"/>
          <w:bCs w:val="0"/>
          <w:color w:val="auto"/>
          <w:spacing w:val="11"/>
          <w:sz w:val="32"/>
          <w:szCs w:val="32"/>
          <w:highlight w:val="none"/>
          <w:lang w:val="en-US" w:eastAsia="zh-CN"/>
        </w:rPr>
        <w:t>及项目支出42</w:t>
      </w:r>
      <w:r>
        <w:rPr>
          <w:rFonts w:hint="eastAsia" w:ascii="仿宋" w:hAnsi="仿宋" w:eastAsia="仿宋" w:cs="仿宋"/>
          <w:b w:val="0"/>
          <w:bCs w:val="0"/>
          <w:color w:val="auto"/>
          <w:spacing w:val="11"/>
          <w:sz w:val="32"/>
          <w:szCs w:val="32"/>
          <w:highlight w:val="none"/>
          <w:lang w:eastAsia="zh-CN"/>
        </w:rPr>
        <w:t>万元</w:t>
      </w:r>
      <w:r>
        <w:rPr>
          <w:rFonts w:hint="eastAsia" w:ascii="仿宋" w:hAnsi="仿宋" w:eastAsia="仿宋" w:cs="仿宋"/>
          <w:b w:val="0"/>
          <w:bCs w:val="0"/>
          <w:color w:val="auto"/>
          <w:spacing w:val="11"/>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val="en-US" w:eastAsia="zh-CN"/>
        </w:rPr>
      </w:pPr>
      <w:r>
        <w:rPr>
          <w:rFonts w:hint="eastAsia" w:ascii="仿宋" w:hAnsi="仿宋" w:eastAsia="仿宋" w:cs="仿宋"/>
          <w:b w:val="0"/>
          <w:bCs w:val="0"/>
          <w:color w:val="auto"/>
          <w:spacing w:val="11"/>
          <w:sz w:val="32"/>
          <w:szCs w:val="32"/>
          <w:highlight w:val="none"/>
          <w:lang w:val="en-US" w:eastAsia="zh-CN"/>
        </w:rPr>
        <w:t>本单位基本支出和项目支出全部实行绩效目标管理。</w:t>
      </w: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70" w:firstLineChars="196"/>
        <w:jc w:val="left"/>
        <w:textAlignment w:val="auto"/>
        <w:outlineLvl w:val="9"/>
        <w:rPr>
          <w:rFonts w:hint="eastAsia" w:ascii="仿宋" w:hAnsi="仿宋" w:eastAsia="仿宋" w:cs="仿宋"/>
          <w:b w:val="0"/>
          <w:bCs w:val="0"/>
          <w:color w:val="auto"/>
          <w:spacing w:val="11"/>
          <w:sz w:val="32"/>
          <w:szCs w:val="32"/>
          <w:highlight w:val="none"/>
          <w:lang w:val="en-US" w:eastAsia="zh-CN"/>
        </w:rPr>
      </w:pPr>
      <w:r>
        <w:rPr>
          <w:rFonts w:hint="eastAsia" w:ascii="仿宋" w:hAnsi="仿宋" w:eastAsia="仿宋" w:cs="仿宋"/>
          <w:b w:val="0"/>
          <w:bCs w:val="0"/>
          <w:color w:val="auto"/>
          <w:spacing w:val="11"/>
          <w:sz w:val="32"/>
          <w:szCs w:val="32"/>
          <w:highlight w:val="none"/>
          <w:lang w:eastAsia="zh-CN"/>
        </w:rPr>
        <w:t>1.</w:t>
      </w:r>
      <w:r>
        <w:rPr>
          <w:rFonts w:hint="eastAsia" w:ascii="仿宋" w:hAnsi="仿宋" w:eastAsia="仿宋" w:cs="仿宋"/>
          <w:b w:val="0"/>
          <w:bCs w:val="0"/>
          <w:color w:val="auto"/>
          <w:spacing w:val="11"/>
          <w:sz w:val="32"/>
          <w:szCs w:val="32"/>
          <w:highlight w:val="none"/>
          <w:lang w:val="en-US" w:eastAsia="zh-CN"/>
        </w:rPr>
        <w:t>收入预算，</w:t>
      </w:r>
      <w:r>
        <w:rPr>
          <w:rFonts w:hint="eastAsia" w:ascii="仿宋" w:hAnsi="仿宋" w:eastAsia="仿宋" w:cs="仿宋"/>
          <w:b w:val="0"/>
          <w:bCs w:val="0"/>
          <w:color w:val="auto"/>
          <w:spacing w:val="11"/>
          <w:sz w:val="32"/>
          <w:szCs w:val="32"/>
          <w:highlight w:val="none"/>
          <w:lang w:val="en-US" w:eastAsia="zh-CN"/>
        </w:rPr>
        <w:t>2024年年初预算数401.66万元，其中，一般公</w:t>
      </w:r>
      <w:r>
        <w:rPr>
          <w:rFonts w:hint="eastAsia" w:ascii="仿宋" w:hAnsi="仿宋" w:eastAsia="仿宋" w:cs="仿宋"/>
          <w:b w:val="0"/>
          <w:bCs w:val="0"/>
          <w:color w:val="auto"/>
          <w:spacing w:val="6"/>
          <w:sz w:val="32"/>
          <w:szCs w:val="32"/>
          <w:highlight w:val="none"/>
          <w:lang w:val="en-US" w:eastAsia="zh-CN"/>
        </w:rPr>
        <w:t>共预算拨款389.66万元，政府性基金预算拨款0万元，纳入财政专户管理的非税收入拨款0万元，国有资本经营预算拨款0万元。压减公用经费和专项支出后，同口径对比，收入较上年减少35.53万元，主要原因是</w:t>
      </w:r>
      <w:r>
        <w:rPr>
          <w:rFonts w:hint="eastAsia" w:ascii="仿宋" w:hAnsi="仿宋" w:eastAsia="仿宋" w:cs="仿宋"/>
          <w:color w:val="auto"/>
          <w:sz w:val="32"/>
          <w:szCs w:val="32"/>
          <w:lang w:eastAsia="zh-CN"/>
        </w:rPr>
        <w:t>本年度相比上</w:t>
      </w:r>
      <w:r>
        <w:rPr>
          <w:rFonts w:hint="eastAsia" w:ascii="仿宋" w:hAnsi="仿宋" w:eastAsia="仿宋" w:cs="仿宋"/>
          <w:color w:val="auto"/>
          <w:sz w:val="32"/>
          <w:szCs w:val="32"/>
          <w:lang w:eastAsia="zh-CN"/>
        </w:rPr>
        <w:t>年项目经费预算减少48万，同时人员类经费预算增加13.97万、公用经费预算增加3.6万导致</w:t>
      </w:r>
      <w:r>
        <w:rPr>
          <w:rFonts w:hint="eastAsia" w:ascii="仿宋" w:hAnsi="仿宋" w:eastAsia="仿宋" w:cs="仿宋"/>
          <w:b/>
          <w:bCs/>
          <w:color w:val="auto"/>
          <w:sz w:val="32"/>
          <w:szCs w:val="32"/>
        </w:rPr>
        <w:t>。</w:t>
      </w:r>
    </w:p>
    <w:p>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70" w:firstLineChars="196"/>
        <w:jc w:val="left"/>
        <w:textAlignment w:val="auto"/>
        <w:outlineLvl w:val="9"/>
        <w:rPr>
          <w:rFonts w:hint="eastAsia" w:ascii="仿宋" w:hAnsi="仿宋" w:eastAsia="仿宋" w:cs="仿宋"/>
          <w:b w:val="0"/>
          <w:bCs w:val="0"/>
          <w:color w:val="auto"/>
          <w:spacing w:val="11"/>
          <w:sz w:val="32"/>
          <w:szCs w:val="32"/>
          <w:highlight w:val="none"/>
          <w:lang w:val="en-US" w:eastAsia="zh-CN"/>
        </w:rPr>
      </w:pPr>
      <w:r>
        <w:rPr>
          <w:rFonts w:hint="eastAsia" w:ascii="仿宋" w:hAnsi="仿宋" w:eastAsia="仿宋" w:cs="仿宋"/>
          <w:b w:val="0"/>
          <w:bCs w:val="0"/>
          <w:color w:val="auto"/>
          <w:spacing w:val="11"/>
          <w:sz w:val="32"/>
          <w:szCs w:val="32"/>
          <w:highlight w:val="none"/>
          <w:lang w:val="en-US" w:eastAsia="zh-CN"/>
        </w:rPr>
        <w:t>2</w:t>
      </w:r>
      <w:r>
        <w:rPr>
          <w:rFonts w:hint="eastAsia" w:ascii="仿宋" w:hAnsi="仿宋" w:eastAsia="仿宋" w:cs="仿宋"/>
          <w:b w:val="0"/>
          <w:bCs w:val="0"/>
          <w:color w:val="auto"/>
          <w:spacing w:val="11"/>
          <w:sz w:val="32"/>
          <w:szCs w:val="32"/>
          <w:highlight w:val="none"/>
          <w:lang w:eastAsia="zh-CN"/>
        </w:rPr>
        <w:t>.</w:t>
      </w:r>
      <w:r>
        <w:rPr>
          <w:rFonts w:hint="eastAsia" w:ascii="仿宋" w:hAnsi="仿宋" w:eastAsia="仿宋" w:cs="仿宋"/>
          <w:b w:val="0"/>
          <w:bCs w:val="0"/>
          <w:color w:val="auto"/>
          <w:spacing w:val="11"/>
          <w:sz w:val="32"/>
          <w:szCs w:val="32"/>
          <w:highlight w:val="none"/>
          <w:lang w:val="en-US" w:eastAsia="zh-CN"/>
        </w:rPr>
        <w:t>支出预算，2024年年初预算数401.66万元，其中，主要是人员经费306.00万元、公用经费53.66万元、项目支出42万元。压减公用经费和专项支出后，同口径对比，支出较</w:t>
      </w:r>
      <w:r>
        <w:rPr>
          <w:rFonts w:hint="eastAsia" w:ascii="仿宋" w:hAnsi="仿宋" w:eastAsia="仿宋" w:cs="仿宋"/>
          <w:b w:val="0"/>
          <w:bCs w:val="0"/>
          <w:color w:val="auto"/>
          <w:spacing w:val="6"/>
          <w:sz w:val="32"/>
          <w:szCs w:val="32"/>
          <w:highlight w:val="none"/>
          <w:lang w:val="en-US" w:eastAsia="zh-CN"/>
        </w:rPr>
        <w:t>上年减少35.53万元，主要原因是</w:t>
      </w:r>
      <w:r>
        <w:rPr>
          <w:rFonts w:hint="eastAsia" w:ascii="仿宋" w:hAnsi="仿宋" w:eastAsia="仿宋" w:cs="仿宋"/>
          <w:color w:val="auto"/>
          <w:sz w:val="32"/>
          <w:szCs w:val="32"/>
          <w:lang w:eastAsia="zh-CN"/>
        </w:rPr>
        <w:t>本年度相比上</w:t>
      </w:r>
      <w:r>
        <w:rPr>
          <w:rFonts w:hint="eastAsia" w:ascii="仿宋" w:hAnsi="仿宋" w:eastAsia="仿宋" w:cs="仿宋"/>
          <w:color w:val="auto"/>
          <w:sz w:val="32"/>
          <w:szCs w:val="32"/>
          <w:lang w:eastAsia="zh-CN"/>
        </w:rPr>
        <w:t>年项目经费预算减少48万，同时人员类经费预算增加13.97万、公用经费预算增加3.6万导致</w:t>
      </w:r>
      <w:r>
        <w:rPr>
          <w:rFonts w:hint="eastAsia" w:ascii="仿宋" w:hAnsi="仿宋" w:eastAsia="仿宋" w:cs="仿宋"/>
          <w:b/>
          <w:bCs/>
          <w:color w:val="auto"/>
          <w:sz w:val="32"/>
          <w:szCs w:val="32"/>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default" w:ascii="楷体_GB2312" w:eastAsia="楷体_GB2312" w:cs="楷体_GB2312"/>
          <w:b/>
          <w:bCs/>
          <w:i w:val="0"/>
          <w:iCs w:val="0"/>
          <w:caps w:val="0"/>
          <w:color w:val="auto"/>
          <w:spacing w:val="11"/>
          <w:sz w:val="32"/>
          <w:szCs w:val="32"/>
          <w:shd w:val="clear" w:fill="FFFFFF"/>
        </w:rPr>
      </w:pPr>
      <w:r>
        <w:rPr>
          <w:rFonts w:hint="default" w:ascii="楷体_GB2312" w:eastAsia="楷体_GB2312" w:cs="楷体_GB2312"/>
          <w:b/>
          <w:bCs/>
          <w:i w:val="0"/>
          <w:iCs w:val="0"/>
          <w:caps w:val="0"/>
          <w:color w:val="auto"/>
          <w:spacing w:val="11"/>
          <w:sz w:val="32"/>
          <w:szCs w:val="32"/>
          <w:shd w:val="clear" w:fill="FFFFFF"/>
        </w:rPr>
        <w:t>（二）部门预算执行情况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仿宋" w:hAnsi="仿宋" w:eastAsia="仿宋" w:cs="仿宋"/>
          <w:b w:val="0"/>
          <w:bCs w:val="0"/>
          <w:i w:val="0"/>
          <w:iCs w:val="0"/>
          <w:caps w:val="0"/>
          <w:color w:val="auto"/>
          <w:spacing w:val="11"/>
          <w:sz w:val="32"/>
          <w:szCs w:val="32"/>
        </w:rPr>
      </w:pPr>
      <w:r>
        <w:rPr>
          <w:rFonts w:hint="eastAsia" w:ascii="仿宋" w:hAnsi="仿宋" w:eastAsia="仿宋" w:cs="仿宋"/>
          <w:b w:val="0"/>
          <w:bCs w:val="0"/>
          <w:i w:val="0"/>
          <w:iCs w:val="0"/>
          <w:caps w:val="0"/>
          <w:color w:val="auto"/>
          <w:spacing w:val="11"/>
          <w:sz w:val="32"/>
          <w:szCs w:val="32"/>
          <w:shd w:val="clear" w:fill="FFFFFF"/>
        </w:rPr>
        <w:t>1.基本支出情况</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val="en-US" w:eastAsia="zh-CN"/>
        </w:rPr>
      </w:pPr>
      <w:r>
        <w:rPr>
          <w:rFonts w:hint="eastAsia" w:ascii="仿宋" w:hAnsi="仿宋" w:eastAsia="仿宋" w:cs="仿宋"/>
          <w:b w:val="0"/>
          <w:bCs w:val="0"/>
          <w:color w:val="auto"/>
          <w:spacing w:val="11"/>
          <w:sz w:val="32"/>
          <w:szCs w:val="32"/>
          <w:highlight w:val="none"/>
          <w:lang w:val="en-US" w:eastAsia="zh-CN"/>
        </w:rPr>
        <w:t>202</w:t>
      </w:r>
      <w:r>
        <w:rPr>
          <w:rFonts w:hint="eastAsia" w:ascii="仿宋" w:hAnsi="仿宋" w:eastAsia="仿宋" w:cs="仿宋"/>
          <w:b w:val="0"/>
          <w:bCs w:val="0"/>
          <w:color w:val="auto"/>
          <w:spacing w:val="6"/>
          <w:sz w:val="32"/>
          <w:szCs w:val="32"/>
          <w:highlight w:val="none"/>
          <w:lang w:val="en-US" w:eastAsia="zh-CN"/>
        </w:rPr>
        <w:t>4年年初预算</w:t>
      </w:r>
      <w:r>
        <w:rPr>
          <w:rFonts w:hint="eastAsia" w:ascii="仿宋" w:hAnsi="仿宋" w:eastAsia="仿宋" w:cs="仿宋"/>
          <w:b w:val="0"/>
          <w:bCs w:val="0"/>
          <w:color w:val="auto"/>
          <w:spacing w:val="6"/>
          <w:sz w:val="32"/>
          <w:szCs w:val="32"/>
          <w:highlight w:val="none"/>
          <w:lang w:val="en-US" w:eastAsia="zh-CN"/>
        </w:rPr>
        <w:t>401.66</w:t>
      </w:r>
      <w:r>
        <w:rPr>
          <w:rFonts w:hint="eastAsia" w:ascii="仿宋" w:hAnsi="仿宋" w:eastAsia="仿宋" w:cs="仿宋"/>
          <w:b w:val="0"/>
          <w:bCs w:val="0"/>
          <w:color w:val="auto"/>
          <w:spacing w:val="6"/>
          <w:sz w:val="32"/>
          <w:szCs w:val="32"/>
          <w:highlight w:val="none"/>
          <w:lang w:val="en-US" w:eastAsia="zh-CN"/>
        </w:rPr>
        <w:t>万元，全年预算数533.33万元，实际支出533.33万元。基本支出是指为保障单位机构正常运转、完成日常工作任务而发生的各项支出，</w:t>
      </w:r>
      <w:r>
        <w:rPr>
          <w:rFonts w:hint="eastAsia" w:ascii="仿宋" w:hAnsi="仿宋" w:eastAsia="仿宋" w:cs="仿宋"/>
          <w:b w:val="0"/>
          <w:bCs w:val="0"/>
          <w:color w:val="auto"/>
          <w:spacing w:val="6"/>
          <w:sz w:val="32"/>
          <w:szCs w:val="32"/>
          <w:highlight w:val="none"/>
          <w:lang w:eastAsia="zh-CN"/>
        </w:rPr>
        <w:t>全年共计</w:t>
      </w:r>
      <w:r>
        <w:rPr>
          <w:rFonts w:hint="eastAsia" w:ascii="仿宋" w:hAnsi="仿宋" w:eastAsia="仿宋" w:cs="仿宋"/>
          <w:b w:val="0"/>
          <w:bCs w:val="0"/>
          <w:color w:val="auto"/>
          <w:spacing w:val="6"/>
          <w:sz w:val="32"/>
          <w:szCs w:val="32"/>
          <w:highlight w:val="none"/>
          <w:lang w:val="en-US" w:eastAsia="zh-CN"/>
        </w:rPr>
        <w:t>421.22</w:t>
      </w:r>
      <w:r>
        <w:rPr>
          <w:rFonts w:hint="eastAsia" w:ascii="仿宋" w:hAnsi="仿宋" w:eastAsia="仿宋" w:cs="仿宋"/>
          <w:b w:val="0"/>
          <w:bCs w:val="0"/>
          <w:color w:val="auto"/>
          <w:spacing w:val="6"/>
          <w:sz w:val="32"/>
          <w:szCs w:val="32"/>
          <w:highlight w:val="none"/>
          <w:lang w:eastAsia="zh-CN"/>
        </w:rPr>
        <w:t>万元，</w:t>
      </w:r>
      <w:r>
        <w:rPr>
          <w:rFonts w:hint="eastAsia" w:ascii="仿宋" w:hAnsi="仿宋" w:eastAsia="仿宋" w:cs="仿宋"/>
          <w:b w:val="0"/>
          <w:bCs w:val="0"/>
          <w:color w:val="auto"/>
          <w:spacing w:val="6"/>
          <w:sz w:val="32"/>
          <w:szCs w:val="32"/>
          <w:highlight w:val="none"/>
          <w:lang w:val="en-US" w:eastAsia="zh-CN"/>
        </w:rPr>
        <w:t>其中：基本工资</w:t>
      </w:r>
      <w:r>
        <w:rPr>
          <w:rFonts w:hint="eastAsia" w:ascii="仿宋" w:hAnsi="仿宋" w:eastAsia="仿宋" w:cs="仿宋"/>
          <w:b w:val="0"/>
          <w:bCs w:val="0"/>
          <w:color w:val="auto"/>
          <w:spacing w:val="6"/>
          <w:sz w:val="32"/>
          <w:szCs w:val="32"/>
          <w:highlight w:val="none"/>
          <w:lang w:val="en-US" w:eastAsia="zh-CN"/>
        </w:rPr>
        <w:t>99.90</w:t>
      </w:r>
      <w:r>
        <w:rPr>
          <w:rFonts w:hint="eastAsia" w:ascii="仿宋" w:hAnsi="仿宋" w:eastAsia="仿宋" w:cs="仿宋"/>
          <w:b w:val="0"/>
          <w:bCs w:val="0"/>
          <w:color w:val="auto"/>
          <w:spacing w:val="6"/>
          <w:sz w:val="32"/>
          <w:szCs w:val="32"/>
          <w:highlight w:val="none"/>
          <w:lang w:val="en-US" w:eastAsia="zh-CN"/>
        </w:rPr>
        <w:t>万元、津贴补贴</w:t>
      </w:r>
      <w:r>
        <w:rPr>
          <w:rFonts w:hint="eastAsia" w:ascii="仿宋" w:hAnsi="仿宋" w:eastAsia="仿宋" w:cs="仿宋"/>
          <w:b w:val="0"/>
          <w:bCs w:val="0"/>
          <w:color w:val="auto"/>
          <w:spacing w:val="6"/>
          <w:sz w:val="32"/>
          <w:szCs w:val="32"/>
          <w:highlight w:val="none"/>
          <w:lang w:val="en-US" w:eastAsia="zh-CN"/>
        </w:rPr>
        <w:t>51.52万元、奖金66.83万元、</w:t>
      </w:r>
      <w:r>
        <w:rPr>
          <w:rFonts w:hint="eastAsia" w:ascii="仿宋" w:hAnsi="仿宋" w:eastAsia="仿宋" w:cs="仿宋"/>
          <w:b w:val="0"/>
          <w:bCs w:val="0"/>
          <w:color w:val="auto"/>
          <w:spacing w:val="6"/>
          <w:sz w:val="32"/>
          <w:szCs w:val="32"/>
          <w:highlight w:val="none"/>
          <w:lang w:eastAsia="zh-CN"/>
        </w:rPr>
        <w:t>伙食补助费7.</w:t>
      </w:r>
      <w:r>
        <w:rPr>
          <w:rFonts w:hint="eastAsia" w:ascii="仿宋" w:hAnsi="仿宋" w:eastAsia="仿宋" w:cs="仿宋"/>
          <w:b w:val="0"/>
          <w:bCs w:val="0"/>
          <w:color w:val="auto"/>
          <w:spacing w:val="6"/>
          <w:sz w:val="32"/>
          <w:szCs w:val="32"/>
          <w:highlight w:val="none"/>
          <w:lang w:val="en-US" w:eastAsia="zh-CN"/>
        </w:rPr>
        <w:t>43</w:t>
      </w:r>
      <w:r>
        <w:rPr>
          <w:rFonts w:hint="eastAsia" w:ascii="仿宋" w:hAnsi="仿宋" w:eastAsia="仿宋" w:cs="仿宋"/>
          <w:b w:val="0"/>
          <w:bCs w:val="0"/>
          <w:color w:val="auto"/>
          <w:spacing w:val="6"/>
          <w:sz w:val="32"/>
          <w:szCs w:val="32"/>
          <w:highlight w:val="none"/>
          <w:lang w:eastAsia="zh-CN"/>
        </w:rPr>
        <w:t>万元、</w:t>
      </w:r>
      <w:r>
        <w:rPr>
          <w:rFonts w:hint="eastAsia" w:ascii="仿宋" w:hAnsi="仿宋" w:eastAsia="仿宋" w:cs="仿宋"/>
          <w:b w:val="0"/>
          <w:bCs w:val="0"/>
          <w:color w:val="auto"/>
          <w:spacing w:val="6"/>
          <w:sz w:val="32"/>
          <w:szCs w:val="32"/>
          <w:highlight w:val="none"/>
          <w:lang w:val="en-US" w:eastAsia="zh-CN"/>
        </w:rPr>
        <w:t>机关事业单位基本养老保险缴费</w:t>
      </w:r>
      <w:r>
        <w:rPr>
          <w:rFonts w:hint="eastAsia" w:ascii="仿宋" w:hAnsi="仿宋" w:eastAsia="仿宋" w:cs="仿宋"/>
          <w:b w:val="0"/>
          <w:bCs w:val="0"/>
          <w:color w:val="auto"/>
          <w:spacing w:val="6"/>
          <w:sz w:val="32"/>
          <w:szCs w:val="32"/>
          <w:highlight w:val="none"/>
          <w:lang w:val="en-US" w:eastAsia="zh-CN"/>
        </w:rPr>
        <w:t>37.19</w:t>
      </w:r>
      <w:r>
        <w:rPr>
          <w:rFonts w:hint="eastAsia" w:ascii="仿宋" w:hAnsi="仿宋" w:eastAsia="仿宋" w:cs="仿宋"/>
          <w:b w:val="0"/>
          <w:bCs w:val="0"/>
          <w:color w:val="auto"/>
          <w:spacing w:val="6"/>
          <w:sz w:val="32"/>
          <w:szCs w:val="32"/>
          <w:highlight w:val="none"/>
          <w:lang w:eastAsia="zh-CN"/>
        </w:rPr>
        <w:t>万元、</w:t>
      </w:r>
      <w:r>
        <w:rPr>
          <w:rFonts w:hint="eastAsia" w:ascii="仿宋" w:hAnsi="仿宋" w:eastAsia="仿宋" w:cs="仿宋"/>
          <w:b w:val="0"/>
          <w:bCs w:val="0"/>
          <w:color w:val="auto"/>
          <w:spacing w:val="6"/>
          <w:sz w:val="32"/>
          <w:szCs w:val="32"/>
          <w:highlight w:val="none"/>
          <w:lang w:val="en-US" w:eastAsia="zh-CN"/>
        </w:rPr>
        <w:t>职工基</w:t>
      </w:r>
      <w:r>
        <w:rPr>
          <w:rFonts w:hint="eastAsia" w:ascii="仿宋" w:hAnsi="仿宋" w:eastAsia="仿宋" w:cs="仿宋"/>
          <w:b w:val="0"/>
          <w:bCs w:val="0"/>
          <w:color w:val="auto"/>
          <w:spacing w:val="11"/>
          <w:sz w:val="32"/>
          <w:szCs w:val="32"/>
          <w:highlight w:val="none"/>
          <w:lang w:val="en-US" w:eastAsia="zh-CN"/>
        </w:rPr>
        <w:t>本医疗保险缴费</w:t>
      </w:r>
      <w:r>
        <w:rPr>
          <w:rFonts w:hint="eastAsia" w:ascii="仿宋" w:hAnsi="仿宋" w:eastAsia="仿宋" w:cs="仿宋"/>
          <w:b w:val="0"/>
          <w:bCs w:val="0"/>
          <w:color w:val="auto"/>
          <w:spacing w:val="11"/>
          <w:sz w:val="32"/>
          <w:szCs w:val="32"/>
          <w:highlight w:val="none"/>
          <w:lang w:val="en-US" w:eastAsia="zh-CN"/>
        </w:rPr>
        <w:t>13.05</w:t>
      </w:r>
      <w:r>
        <w:rPr>
          <w:rFonts w:hint="eastAsia" w:ascii="仿宋" w:hAnsi="仿宋" w:eastAsia="仿宋" w:cs="仿宋"/>
          <w:b w:val="0"/>
          <w:bCs w:val="0"/>
          <w:color w:val="auto"/>
          <w:spacing w:val="11"/>
          <w:sz w:val="32"/>
          <w:szCs w:val="32"/>
          <w:highlight w:val="none"/>
          <w:lang w:val="en-US" w:eastAsia="zh-CN"/>
        </w:rPr>
        <w:t>万元、公务员医疗补助缴费</w:t>
      </w:r>
      <w:r>
        <w:rPr>
          <w:rFonts w:hint="eastAsia" w:ascii="仿宋" w:hAnsi="仿宋" w:eastAsia="仿宋" w:cs="仿宋"/>
          <w:b w:val="0"/>
          <w:bCs w:val="0"/>
          <w:color w:val="auto"/>
          <w:spacing w:val="11"/>
          <w:sz w:val="32"/>
          <w:szCs w:val="32"/>
          <w:highlight w:val="none"/>
          <w:lang w:val="en-US" w:eastAsia="zh-CN"/>
        </w:rPr>
        <w:t>16.21</w:t>
      </w:r>
      <w:r>
        <w:rPr>
          <w:rFonts w:hint="eastAsia" w:ascii="仿宋" w:hAnsi="仿宋" w:eastAsia="仿宋" w:cs="仿宋"/>
          <w:b w:val="0"/>
          <w:bCs w:val="0"/>
          <w:color w:val="auto"/>
          <w:spacing w:val="11"/>
          <w:sz w:val="32"/>
          <w:szCs w:val="32"/>
          <w:highlight w:val="none"/>
          <w:lang w:eastAsia="zh-CN"/>
        </w:rPr>
        <w:t>万</w:t>
      </w:r>
      <w:r>
        <w:rPr>
          <w:rFonts w:hint="eastAsia" w:ascii="仿宋" w:hAnsi="仿宋" w:eastAsia="仿宋" w:cs="仿宋"/>
          <w:b w:val="0"/>
          <w:bCs w:val="0"/>
          <w:color w:val="auto"/>
          <w:spacing w:val="11"/>
          <w:sz w:val="32"/>
          <w:szCs w:val="32"/>
          <w:highlight w:val="none"/>
          <w:lang w:eastAsia="zh-CN"/>
        </w:rPr>
        <w:t>元、其他社会保障缴费</w:t>
      </w:r>
      <w:r>
        <w:rPr>
          <w:rFonts w:hint="eastAsia" w:ascii="仿宋" w:hAnsi="仿宋" w:eastAsia="仿宋" w:cs="仿宋"/>
          <w:b w:val="0"/>
          <w:bCs w:val="0"/>
          <w:color w:val="auto"/>
          <w:spacing w:val="11"/>
          <w:sz w:val="32"/>
          <w:szCs w:val="32"/>
          <w:highlight w:val="none"/>
          <w:lang w:val="en-US" w:eastAsia="zh-CN"/>
        </w:rPr>
        <w:t>2.16</w:t>
      </w:r>
      <w:r>
        <w:rPr>
          <w:rFonts w:hint="eastAsia" w:ascii="仿宋" w:hAnsi="仿宋" w:eastAsia="仿宋" w:cs="仿宋"/>
          <w:b w:val="0"/>
          <w:bCs w:val="0"/>
          <w:color w:val="auto"/>
          <w:spacing w:val="11"/>
          <w:sz w:val="32"/>
          <w:szCs w:val="32"/>
          <w:highlight w:val="none"/>
          <w:lang w:eastAsia="zh-CN"/>
        </w:rPr>
        <w:t>万元、住房公积金缴费</w:t>
      </w:r>
      <w:r>
        <w:rPr>
          <w:rFonts w:hint="eastAsia" w:ascii="仿宋" w:hAnsi="仿宋" w:eastAsia="仿宋" w:cs="仿宋"/>
          <w:b w:val="0"/>
          <w:bCs w:val="0"/>
          <w:color w:val="auto"/>
          <w:spacing w:val="11"/>
          <w:sz w:val="32"/>
          <w:szCs w:val="32"/>
          <w:highlight w:val="none"/>
          <w:lang w:val="en-US" w:eastAsia="zh-CN"/>
        </w:rPr>
        <w:t>26.19万元、对个人和家庭的补助</w:t>
      </w:r>
      <w:r>
        <w:rPr>
          <w:rFonts w:hint="eastAsia" w:ascii="仿宋" w:hAnsi="仿宋" w:eastAsia="仿宋" w:cs="仿宋"/>
          <w:b w:val="0"/>
          <w:bCs w:val="0"/>
          <w:color w:val="auto"/>
          <w:spacing w:val="11"/>
          <w:sz w:val="32"/>
          <w:szCs w:val="32"/>
          <w:highlight w:val="none"/>
          <w:lang w:val="en-US" w:eastAsia="zh-CN"/>
        </w:rPr>
        <w:t>33.</w:t>
      </w:r>
      <w:r>
        <w:rPr>
          <w:rFonts w:hint="eastAsia" w:ascii="仿宋" w:hAnsi="仿宋" w:eastAsia="仿宋" w:cs="仿宋"/>
          <w:b w:val="0"/>
          <w:bCs w:val="0"/>
          <w:color w:val="auto"/>
          <w:spacing w:val="11"/>
          <w:sz w:val="32"/>
          <w:szCs w:val="32"/>
          <w:highlight w:val="none"/>
          <w:lang w:eastAsia="zh-CN"/>
        </w:rPr>
        <w:t>33</w:t>
      </w:r>
      <w:r>
        <w:rPr>
          <w:rFonts w:hint="eastAsia" w:ascii="仿宋" w:hAnsi="仿宋" w:eastAsia="仿宋" w:cs="仿宋"/>
          <w:b w:val="0"/>
          <w:bCs w:val="0"/>
          <w:color w:val="auto"/>
          <w:spacing w:val="11"/>
          <w:sz w:val="32"/>
          <w:szCs w:val="32"/>
          <w:highlight w:val="none"/>
          <w:lang w:eastAsia="zh-CN"/>
        </w:rPr>
        <w:t>万元、</w:t>
      </w:r>
      <w:r>
        <w:rPr>
          <w:rFonts w:hint="eastAsia" w:ascii="仿宋" w:hAnsi="仿宋" w:eastAsia="仿宋" w:cs="仿宋"/>
          <w:b w:val="0"/>
          <w:bCs w:val="0"/>
          <w:color w:val="auto"/>
          <w:spacing w:val="11"/>
          <w:sz w:val="32"/>
          <w:szCs w:val="32"/>
          <w:highlight w:val="none"/>
          <w:lang w:val="en-US" w:eastAsia="zh-CN"/>
        </w:rPr>
        <w:t>商品服务支出</w:t>
      </w:r>
      <w:r>
        <w:rPr>
          <w:rFonts w:hint="eastAsia" w:ascii="仿宋" w:hAnsi="仿宋" w:eastAsia="仿宋" w:cs="仿宋"/>
          <w:b w:val="0"/>
          <w:bCs w:val="0"/>
          <w:color w:val="auto"/>
          <w:spacing w:val="11"/>
          <w:sz w:val="32"/>
          <w:szCs w:val="32"/>
          <w:highlight w:val="none"/>
          <w:lang w:val="en-US" w:eastAsia="zh-CN"/>
        </w:rPr>
        <w:t>54.11</w:t>
      </w:r>
      <w:r>
        <w:rPr>
          <w:rFonts w:hint="eastAsia" w:ascii="仿宋" w:hAnsi="仿宋" w:eastAsia="仿宋" w:cs="仿宋"/>
          <w:b w:val="0"/>
          <w:bCs w:val="0"/>
          <w:color w:val="auto"/>
          <w:spacing w:val="11"/>
          <w:sz w:val="32"/>
          <w:szCs w:val="32"/>
          <w:highlight w:val="none"/>
          <w:lang w:val="en-US" w:eastAsia="zh-CN"/>
        </w:rPr>
        <w:t>万元等。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left="0" w:right="0" w:firstLine="684" w:firstLineChars="200"/>
        <w:jc w:val="both"/>
        <w:textAlignment w:val="auto"/>
        <w:rPr>
          <w:rFonts w:hint="eastAsia" w:ascii="仿宋" w:hAnsi="仿宋" w:eastAsia="仿宋" w:cs="仿宋"/>
          <w:b w:val="0"/>
          <w:bCs w:val="0"/>
          <w:i w:val="0"/>
          <w:iCs w:val="0"/>
          <w:caps w:val="0"/>
          <w:color w:val="auto"/>
          <w:spacing w:val="11"/>
          <w:sz w:val="32"/>
          <w:szCs w:val="32"/>
        </w:rPr>
      </w:pPr>
      <w:r>
        <w:rPr>
          <w:rFonts w:hint="eastAsia" w:ascii="仿宋" w:hAnsi="仿宋" w:eastAsia="仿宋" w:cs="仿宋"/>
          <w:b w:val="0"/>
          <w:bCs w:val="0"/>
          <w:i w:val="0"/>
          <w:iCs w:val="0"/>
          <w:caps w:val="0"/>
          <w:color w:val="auto"/>
          <w:spacing w:val="11"/>
          <w:sz w:val="32"/>
          <w:szCs w:val="32"/>
          <w:shd w:val="clear" w:fill="FFFFFF"/>
        </w:rPr>
        <w:t>2.项目支出情况</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val="en-US" w:eastAsia="zh-CN"/>
        </w:rPr>
      </w:pPr>
      <w:r>
        <w:rPr>
          <w:rFonts w:hint="eastAsia" w:ascii="仿宋" w:hAnsi="仿宋" w:eastAsia="仿宋" w:cs="仿宋"/>
          <w:b w:val="0"/>
          <w:bCs w:val="0"/>
          <w:color w:val="auto"/>
          <w:spacing w:val="11"/>
          <w:sz w:val="32"/>
          <w:szCs w:val="32"/>
          <w:highlight w:val="none"/>
          <w:lang w:val="en-US" w:eastAsia="zh-CN"/>
        </w:rPr>
        <w:t>2024年年初预算</w:t>
      </w:r>
      <w:r>
        <w:rPr>
          <w:rFonts w:hint="eastAsia" w:ascii="仿宋" w:hAnsi="仿宋" w:eastAsia="仿宋" w:cs="仿宋"/>
          <w:b w:val="0"/>
          <w:bCs w:val="0"/>
          <w:color w:val="auto"/>
          <w:spacing w:val="11"/>
          <w:sz w:val="32"/>
          <w:szCs w:val="32"/>
          <w:highlight w:val="none"/>
          <w:lang w:val="en-US" w:eastAsia="zh-CN"/>
        </w:rPr>
        <w:t>42</w:t>
      </w:r>
      <w:r>
        <w:rPr>
          <w:rFonts w:hint="eastAsia" w:ascii="仿宋" w:hAnsi="仿宋" w:eastAsia="仿宋" w:cs="仿宋"/>
          <w:b w:val="0"/>
          <w:bCs w:val="0"/>
          <w:color w:val="auto"/>
          <w:spacing w:val="11"/>
          <w:sz w:val="32"/>
          <w:szCs w:val="32"/>
          <w:highlight w:val="none"/>
          <w:lang w:val="en-US" w:eastAsia="zh-CN"/>
        </w:rPr>
        <w:t>万元，年中追加预算</w:t>
      </w:r>
      <w:r>
        <w:rPr>
          <w:rFonts w:hint="eastAsia" w:ascii="仿宋" w:hAnsi="仿宋" w:eastAsia="仿宋" w:cs="仿宋"/>
          <w:b w:val="0"/>
          <w:bCs w:val="0"/>
          <w:color w:val="auto"/>
          <w:spacing w:val="11"/>
          <w:sz w:val="32"/>
          <w:szCs w:val="32"/>
          <w:highlight w:val="none"/>
          <w:lang w:val="en-US" w:eastAsia="zh-CN"/>
        </w:rPr>
        <w:t>70.11</w:t>
      </w:r>
      <w:r>
        <w:rPr>
          <w:rFonts w:hint="eastAsia" w:ascii="仿宋" w:hAnsi="仿宋" w:eastAsia="仿宋" w:cs="仿宋"/>
          <w:b w:val="0"/>
          <w:bCs w:val="0"/>
          <w:color w:val="auto"/>
          <w:spacing w:val="11"/>
          <w:sz w:val="32"/>
          <w:szCs w:val="32"/>
          <w:highlight w:val="none"/>
          <w:lang w:val="en-US" w:eastAsia="zh-CN"/>
        </w:rPr>
        <w:t>万元，全年预算112.11万元，实际支出112.11万元。项目支出是指单位为完成特定行政工作任务或事业发展目标而发生的支出，包括有关事业发展专项、专项业务费等。</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left="0" w:right="0" w:firstLine="684" w:firstLineChars="200"/>
        <w:jc w:val="both"/>
        <w:textAlignment w:val="auto"/>
        <w:rPr>
          <w:rFonts w:hint="default" w:ascii="楷体_GB2312" w:eastAsia="楷体_GB2312" w:cs="楷体_GB2312"/>
          <w:b/>
          <w:bCs/>
          <w:i w:val="0"/>
          <w:iCs w:val="0"/>
          <w:caps w:val="0"/>
          <w:color w:val="auto"/>
          <w:spacing w:val="11"/>
          <w:sz w:val="32"/>
          <w:szCs w:val="32"/>
          <w:shd w:val="clear" w:fill="FFFFFF"/>
        </w:rPr>
      </w:pPr>
      <w:r>
        <w:rPr>
          <w:rFonts w:hint="default" w:ascii="楷体_GB2312" w:eastAsia="楷体_GB2312" w:cs="楷体_GB2312"/>
          <w:b/>
          <w:bCs/>
          <w:i w:val="0"/>
          <w:iCs w:val="0"/>
          <w:caps w:val="0"/>
          <w:color w:val="auto"/>
          <w:spacing w:val="11"/>
          <w:sz w:val="32"/>
          <w:szCs w:val="32"/>
          <w:shd w:val="clear" w:fill="FFFFFF"/>
        </w:rPr>
        <w:t>（三）</w:t>
      </w:r>
      <w:r>
        <w:rPr>
          <w:rFonts w:hint="eastAsia" w:ascii="楷体_GB2312" w:eastAsia="楷体_GB2312" w:cs="楷体_GB2312"/>
          <w:b/>
          <w:bCs/>
          <w:i w:val="0"/>
          <w:iCs w:val="0"/>
          <w:caps w:val="0"/>
          <w:color w:val="auto"/>
          <w:spacing w:val="11"/>
          <w:sz w:val="32"/>
          <w:szCs w:val="32"/>
          <w:shd w:val="clear" w:fill="FFFFFF"/>
          <w:lang w:eastAsia="zh-CN"/>
        </w:rPr>
        <w:t>“</w:t>
      </w:r>
      <w:r>
        <w:rPr>
          <w:rFonts w:hint="default" w:ascii="楷体_GB2312" w:eastAsia="楷体_GB2312" w:cs="楷体_GB2312"/>
          <w:b/>
          <w:bCs/>
          <w:i w:val="0"/>
          <w:iCs w:val="0"/>
          <w:caps w:val="0"/>
          <w:color w:val="auto"/>
          <w:spacing w:val="11"/>
          <w:sz w:val="32"/>
          <w:szCs w:val="32"/>
          <w:shd w:val="clear" w:fill="FFFFFF"/>
        </w:rPr>
        <w:t>三公</w:t>
      </w:r>
      <w:r>
        <w:rPr>
          <w:rFonts w:hint="eastAsia" w:ascii="楷体_GB2312" w:eastAsia="楷体_GB2312" w:cs="楷体_GB2312"/>
          <w:b/>
          <w:bCs/>
          <w:i w:val="0"/>
          <w:iCs w:val="0"/>
          <w:caps w:val="0"/>
          <w:color w:val="auto"/>
          <w:spacing w:val="11"/>
          <w:sz w:val="32"/>
          <w:szCs w:val="32"/>
          <w:shd w:val="clear" w:fill="FFFFFF"/>
          <w:lang w:eastAsia="zh-CN"/>
        </w:rPr>
        <w:t>”</w:t>
      </w:r>
      <w:r>
        <w:rPr>
          <w:rFonts w:hint="default" w:ascii="楷体_GB2312" w:eastAsia="楷体_GB2312" w:cs="楷体_GB2312"/>
          <w:b/>
          <w:bCs/>
          <w:i w:val="0"/>
          <w:iCs w:val="0"/>
          <w:caps w:val="0"/>
          <w:color w:val="auto"/>
          <w:spacing w:val="11"/>
          <w:sz w:val="32"/>
          <w:szCs w:val="32"/>
          <w:shd w:val="clear" w:fill="FFFFFF"/>
        </w:rPr>
        <w:t>经费使用和管理情况</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firstLine="960" w:firstLineChars="300"/>
        <w:jc w:val="both"/>
        <w:textAlignment w:val="auto"/>
        <w:rPr>
          <w:rFonts w:hint="eastAsia" w:ascii="仿宋" w:hAnsi="仿宋" w:eastAsia="仿宋" w:cs="仿宋"/>
          <w:b w:val="0"/>
          <w:bCs w:val="0"/>
          <w:color w:val="auto"/>
          <w:spacing w:val="11"/>
          <w:sz w:val="32"/>
          <w:szCs w:val="32"/>
          <w:highlight w:val="none"/>
          <w:lang w:val="en-US" w:eastAsia="zh-CN"/>
        </w:rPr>
      </w:pPr>
      <w:r>
        <w:rPr>
          <w:rFonts w:hint="eastAsia" w:ascii="仿宋" w:hAnsi="仿宋" w:eastAsia="仿宋" w:cs="仿宋"/>
          <w:i w:val="0"/>
          <w:iCs w:val="0"/>
          <w:caps w:val="0"/>
          <w:color w:val="auto"/>
          <w:spacing w:val="0"/>
          <w:sz w:val="32"/>
          <w:szCs w:val="32"/>
          <w:shd w:val="clear" w:fill="FFFFFF"/>
          <w:lang w:val="en-US" w:eastAsia="zh-CN"/>
        </w:rPr>
        <w:t>1.使用情况：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1026" w:firstLineChars="300"/>
        <w:textAlignment w:val="auto"/>
        <w:rPr>
          <w:rFonts w:hint="eastAsia" w:ascii="仿宋" w:hAnsi="仿宋" w:eastAsia="仿宋" w:cs="仿宋"/>
          <w:b w:val="0"/>
          <w:bCs w:val="0"/>
          <w:color w:val="auto"/>
          <w:spacing w:val="11"/>
          <w:sz w:val="32"/>
          <w:szCs w:val="32"/>
          <w:highlight w:val="none"/>
          <w:lang w:val="en-US" w:eastAsia="zh-CN"/>
        </w:rPr>
      </w:pPr>
      <w:r>
        <w:rPr>
          <w:rFonts w:hint="eastAsia" w:ascii="仿宋" w:hAnsi="仿宋" w:eastAsia="仿宋" w:cs="仿宋"/>
          <w:b w:val="0"/>
          <w:bCs w:val="0"/>
          <w:color w:val="auto"/>
          <w:spacing w:val="11"/>
          <w:sz w:val="32"/>
          <w:szCs w:val="32"/>
          <w:highlight w:val="none"/>
          <w:lang w:val="en-US" w:eastAsia="zh-CN"/>
        </w:rPr>
        <w:t>2024年三公经费预算控制数为</w:t>
      </w:r>
      <w:r>
        <w:rPr>
          <w:rFonts w:hint="eastAsia" w:ascii="仿宋" w:hAnsi="仿宋" w:eastAsia="仿宋" w:cs="仿宋"/>
          <w:b w:val="0"/>
          <w:bCs w:val="0"/>
          <w:color w:val="auto"/>
          <w:spacing w:val="11"/>
          <w:sz w:val="32"/>
          <w:szCs w:val="32"/>
          <w:highlight w:val="none"/>
          <w:lang w:val="en-US" w:eastAsia="zh-CN"/>
        </w:rPr>
        <w:t>9.5</w:t>
      </w:r>
      <w:r>
        <w:rPr>
          <w:rFonts w:hint="eastAsia" w:ascii="仿宋" w:hAnsi="仿宋" w:eastAsia="仿宋" w:cs="仿宋"/>
          <w:b w:val="0"/>
          <w:bCs w:val="0"/>
          <w:color w:val="auto"/>
          <w:spacing w:val="11"/>
          <w:sz w:val="32"/>
          <w:szCs w:val="32"/>
          <w:highlight w:val="none"/>
          <w:lang w:val="en-US" w:eastAsia="zh-CN"/>
        </w:rPr>
        <w:t>万元,其中:因公出国(境)费预算0万元,公务用车运行维护费8万元，公务接待费</w:t>
      </w:r>
      <w:r>
        <w:rPr>
          <w:rFonts w:hint="eastAsia" w:ascii="仿宋" w:hAnsi="仿宋" w:eastAsia="仿宋" w:cs="仿宋"/>
          <w:b w:val="0"/>
          <w:bCs w:val="0"/>
          <w:color w:val="auto"/>
          <w:spacing w:val="11"/>
          <w:sz w:val="32"/>
          <w:szCs w:val="32"/>
          <w:highlight w:val="none"/>
          <w:lang w:eastAsia="zh-CN"/>
        </w:rPr>
        <w:t>1</w:t>
      </w:r>
      <w:r>
        <w:rPr>
          <w:rFonts w:hint="eastAsia" w:ascii="仿宋" w:hAnsi="仿宋" w:eastAsia="仿宋" w:cs="仿宋"/>
          <w:b w:val="0"/>
          <w:bCs w:val="0"/>
          <w:color w:val="auto"/>
          <w:spacing w:val="11"/>
          <w:sz w:val="32"/>
          <w:szCs w:val="32"/>
          <w:highlight w:val="none"/>
          <w:lang w:val="en-US" w:eastAsia="zh-CN"/>
        </w:rPr>
        <w:t>.5万元。本年度我中心实际支出9.5万元，其中:因公出国(境)费0万元，公务用车运行维护费8万元，公务接待费</w:t>
      </w:r>
      <w:r>
        <w:rPr>
          <w:rFonts w:hint="eastAsia" w:ascii="仿宋" w:hAnsi="仿宋" w:eastAsia="仿宋" w:cs="仿宋"/>
          <w:b w:val="0"/>
          <w:bCs w:val="0"/>
          <w:color w:val="auto"/>
          <w:spacing w:val="11"/>
          <w:sz w:val="32"/>
          <w:szCs w:val="32"/>
          <w:highlight w:val="none"/>
          <w:lang w:eastAsia="zh-CN"/>
        </w:rPr>
        <w:t>1.89</w:t>
      </w:r>
      <w:r>
        <w:rPr>
          <w:rFonts w:hint="eastAsia" w:ascii="仿宋" w:hAnsi="仿宋" w:eastAsia="仿宋" w:cs="仿宋"/>
          <w:b w:val="0"/>
          <w:bCs w:val="0"/>
          <w:color w:val="auto"/>
          <w:spacing w:val="11"/>
          <w:sz w:val="32"/>
          <w:szCs w:val="32"/>
          <w:highlight w:val="none"/>
          <w:lang w:val="en-US" w:eastAsia="zh-CN"/>
        </w:rPr>
        <w:t>万元，比去年节约</w:t>
      </w:r>
      <w:r>
        <w:rPr>
          <w:rFonts w:hint="eastAsia" w:ascii="仿宋" w:hAnsi="仿宋" w:eastAsia="仿宋" w:cs="仿宋"/>
          <w:b w:val="0"/>
          <w:bCs w:val="0"/>
          <w:color w:val="auto"/>
          <w:spacing w:val="11"/>
          <w:sz w:val="32"/>
          <w:szCs w:val="32"/>
          <w:highlight w:val="none"/>
          <w:lang w:eastAsia="zh-CN"/>
        </w:rPr>
        <w:t>0</w:t>
      </w:r>
      <w:r>
        <w:rPr>
          <w:rFonts w:hint="eastAsia" w:ascii="仿宋" w:hAnsi="仿宋" w:eastAsia="仿宋" w:cs="仿宋"/>
          <w:b w:val="0"/>
          <w:bCs w:val="0"/>
          <w:color w:val="auto"/>
          <w:spacing w:val="11"/>
          <w:sz w:val="32"/>
          <w:szCs w:val="32"/>
          <w:highlight w:val="none"/>
          <w:lang w:val="en-US" w:eastAsia="zh-CN"/>
        </w:rPr>
        <w:t>.39万元，主要是厉行节约，严控三公经费，为持续严格执行中央八项规定及相关文件精神。公务用车运行维护费比去年增加了4.50万元，主要是因公车使用年限较长，日常维修养护成本增加，以及燃油消耗增加，导致公车运行费较上年增加。</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val="en-US" w:eastAsia="zh-CN"/>
        </w:rPr>
        <w:t>2.管理情况</w:t>
      </w:r>
      <w:r>
        <w:rPr>
          <w:rFonts w:hint="eastAsia" w:ascii="仿宋" w:hAnsi="仿宋" w:eastAsia="仿宋" w:cs="仿宋"/>
          <w:i w:val="0"/>
          <w:iCs w:val="0"/>
          <w:caps w:val="0"/>
          <w:color w:val="auto"/>
          <w:spacing w:val="0"/>
          <w:sz w:val="32"/>
          <w:szCs w:val="32"/>
          <w:shd w:val="clear" w:fill="FFFFFF"/>
        </w:rPr>
        <w:t>:</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320" w:firstLineChars="1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1</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严格预算编制，强化预算节约:将“三公”经费预算编制细化到具体项目，从严控制预算支出，杜绝无预算和超预算开支，增强预算约束力。</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320" w:firstLineChars="100"/>
        <w:textAlignment w:val="auto"/>
        <w:rPr>
          <w:rFonts w:hint="eastAsia" w:ascii="仿宋" w:hAnsi="仿宋" w:eastAsia="仿宋" w:cs="仿宋"/>
          <w:i w:val="0"/>
          <w:iCs w:val="0"/>
          <w:caps w:val="0"/>
          <w:color w:val="auto"/>
          <w:spacing w:val="0"/>
          <w:sz w:val="32"/>
          <w:szCs w:val="32"/>
          <w:shd w:val="clear" w:fill="FFFFFF"/>
        </w:rPr>
      </w:pP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2</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控制</w:t>
      </w:r>
      <w:r>
        <w:rPr>
          <w:rFonts w:hint="eastAsia" w:ascii="仿宋" w:hAnsi="仿宋" w:eastAsia="仿宋" w:cs="仿宋"/>
          <w:i w:val="0"/>
          <w:iCs w:val="0"/>
          <w:caps w:val="0"/>
          <w:color w:val="auto"/>
          <w:spacing w:val="0"/>
          <w:sz w:val="32"/>
          <w:szCs w:val="32"/>
          <w:shd w:val="clear" w:fill="FFFFFF"/>
        </w:rPr>
        <w:t>支出标准，严格执行制度:对公务用车、公务接待等支出</w:t>
      </w:r>
      <w:r>
        <w:rPr>
          <w:rFonts w:hint="eastAsia" w:ascii="仿宋" w:hAnsi="仿宋" w:eastAsia="仿宋" w:cs="仿宋"/>
          <w:i w:val="0"/>
          <w:iCs w:val="0"/>
          <w:caps w:val="0"/>
          <w:color w:val="auto"/>
          <w:spacing w:val="0"/>
          <w:sz w:val="32"/>
          <w:szCs w:val="32"/>
          <w:shd w:val="clear" w:fill="FFFFFF"/>
          <w:lang w:val="en-US" w:eastAsia="zh-CN"/>
        </w:rPr>
        <w:t>严格控制</w:t>
      </w:r>
      <w:r>
        <w:rPr>
          <w:rFonts w:hint="eastAsia" w:ascii="仿宋" w:hAnsi="仿宋" w:eastAsia="仿宋" w:cs="仿宋"/>
          <w:i w:val="0"/>
          <w:iCs w:val="0"/>
          <w:caps w:val="0"/>
          <w:color w:val="auto"/>
          <w:spacing w:val="0"/>
          <w:sz w:val="32"/>
          <w:szCs w:val="32"/>
          <w:shd w:val="clear" w:fill="FFFFFF"/>
        </w:rPr>
        <w:t>，按规定</w:t>
      </w:r>
      <w:r>
        <w:rPr>
          <w:rFonts w:hint="eastAsia" w:ascii="仿宋" w:hAnsi="仿宋" w:eastAsia="仿宋" w:cs="仿宋"/>
          <w:i w:val="0"/>
          <w:iCs w:val="0"/>
          <w:caps w:val="0"/>
          <w:color w:val="auto"/>
          <w:spacing w:val="0"/>
          <w:sz w:val="32"/>
          <w:szCs w:val="32"/>
          <w:shd w:val="clear" w:fill="FFFFFF"/>
          <w:lang w:val="en-US" w:eastAsia="zh-CN"/>
        </w:rPr>
        <w:t>标准</w:t>
      </w:r>
      <w:r>
        <w:rPr>
          <w:rFonts w:hint="eastAsia" w:ascii="仿宋" w:hAnsi="仿宋" w:eastAsia="仿宋" w:cs="仿宋"/>
          <w:i w:val="0"/>
          <w:iCs w:val="0"/>
          <w:caps w:val="0"/>
          <w:color w:val="auto"/>
          <w:spacing w:val="0"/>
          <w:sz w:val="32"/>
          <w:szCs w:val="32"/>
          <w:shd w:val="clear" w:fill="FFFFFF"/>
        </w:rPr>
        <w:t>额度报销，</w:t>
      </w:r>
      <w:r>
        <w:rPr>
          <w:rFonts w:hint="eastAsia" w:ascii="仿宋" w:hAnsi="仿宋" w:eastAsia="仿宋" w:cs="仿宋"/>
          <w:i w:val="0"/>
          <w:iCs w:val="0"/>
          <w:caps w:val="0"/>
          <w:color w:val="auto"/>
          <w:spacing w:val="0"/>
          <w:sz w:val="32"/>
          <w:szCs w:val="32"/>
          <w:shd w:val="clear" w:fill="FFFFFF"/>
          <w:lang w:val="en-US" w:eastAsia="zh-CN"/>
        </w:rPr>
        <w:t>杜绝超支</w:t>
      </w:r>
      <w:r>
        <w:rPr>
          <w:rFonts w:hint="eastAsia" w:ascii="仿宋" w:hAnsi="仿宋" w:eastAsia="仿宋" w:cs="仿宋"/>
          <w:i w:val="0"/>
          <w:iCs w:val="0"/>
          <w:caps w:val="0"/>
          <w:color w:val="auto"/>
          <w:spacing w:val="0"/>
          <w:sz w:val="32"/>
          <w:szCs w:val="32"/>
          <w:shd w:val="clear" w:fill="FFFFFF"/>
        </w:rPr>
        <w:t>。</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320" w:firstLineChars="100"/>
        <w:textAlignment w:val="auto"/>
        <w:rPr>
          <w:rFonts w:hint="eastAsia" w:ascii="仿宋" w:hAnsi="仿宋" w:eastAsia="仿宋" w:cs="仿宋"/>
          <w:b w:val="0"/>
          <w:bCs w:val="0"/>
          <w:color w:val="auto"/>
          <w:spacing w:val="11"/>
          <w:sz w:val="32"/>
          <w:szCs w:val="32"/>
          <w:highlight w:val="none"/>
          <w:lang w:val="en-US" w:eastAsia="zh-CN"/>
        </w:rPr>
      </w:pP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lang w:val="en-US" w:eastAsia="zh-CN"/>
        </w:rPr>
        <w:t>3</w:t>
      </w:r>
      <w:r>
        <w:rPr>
          <w:rFonts w:hint="eastAsia" w:ascii="仿宋" w:hAnsi="仿宋" w:eastAsia="仿宋" w:cs="仿宋"/>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规范财务制度，加强日常管理:公务费用支出一律履行报批手续。对接待支出，填写公务接单审批单并控制接待标准及参陪人数。</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黑体" w:hAnsi="黑体" w:eastAsia="黑体" w:cs="黑体"/>
          <w:b/>
          <w:bCs/>
          <w:i w:val="0"/>
          <w:iCs w:val="0"/>
          <w:caps w:val="0"/>
          <w:color w:val="auto"/>
          <w:spacing w:val="11"/>
          <w:sz w:val="32"/>
          <w:szCs w:val="32"/>
          <w:shd w:val="clear" w:fill="FFFFFF"/>
          <w:lang w:eastAsia="zh-CN"/>
        </w:rPr>
      </w:pPr>
      <w:r>
        <w:rPr>
          <w:rFonts w:hint="eastAsia" w:ascii="黑体" w:hAnsi="黑体" w:eastAsia="黑体" w:cs="黑体"/>
          <w:b/>
          <w:bCs/>
          <w:i w:val="0"/>
          <w:iCs w:val="0"/>
          <w:caps w:val="0"/>
          <w:color w:val="auto"/>
          <w:spacing w:val="11"/>
          <w:sz w:val="32"/>
          <w:szCs w:val="32"/>
          <w:shd w:val="clear" w:fill="FFFFFF"/>
          <w:lang w:eastAsia="zh-CN"/>
        </w:rPr>
        <w:t>三、项目组织实施情况</w:t>
      </w:r>
    </w:p>
    <w:p>
      <w:pPr>
        <w:pStyle w:val="20"/>
        <w:keepNext w:val="0"/>
        <w:keepLines w:val="0"/>
        <w:pageBreakBefore w:val="0"/>
        <w:wordWrap/>
        <w:overflowPunct/>
        <w:topLinePunct w:val="0"/>
        <w:bidi w:val="0"/>
        <w:spacing w:line="360" w:lineRule="auto"/>
        <w:ind w:firstLine="640" w:firstLineChars="200"/>
        <w:rPr>
          <w:rFonts w:hint="eastAsia" w:ascii="黑体" w:hAnsi="黑体" w:eastAsia="黑体" w:cs="黑体"/>
          <w:b w:val="0"/>
          <w:bCs w:val="0"/>
          <w:color w:val="auto"/>
          <w:spacing w:val="11"/>
          <w:sz w:val="32"/>
          <w:szCs w:val="32"/>
          <w:highlight w:val="none"/>
          <w:lang w:eastAsia="zh-CN"/>
        </w:rPr>
      </w:pPr>
      <w:r>
        <w:rPr>
          <w:rFonts w:hint="eastAsia" w:ascii="仿宋" w:hAnsi="仿宋" w:eastAsia="仿宋"/>
          <w:color w:val="auto"/>
          <w:sz w:val="32"/>
          <w:szCs w:val="32"/>
        </w:rPr>
        <w:t>建立以</w:t>
      </w:r>
      <w:r>
        <w:rPr>
          <w:rFonts w:hint="eastAsia" w:ascii="仿宋" w:hAnsi="仿宋" w:eastAsia="仿宋"/>
          <w:color w:val="auto"/>
          <w:sz w:val="32"/>
          <w:szCs w:val="32"/>
          <w:lang w:eastAsia="zh-CN"/>
        </w:rPr>
        <w:t>主任</w:t>
      </w:r>
      <w:r>
        <w:rPr>
          <w:rFonts w:hint="eastAsia" w:ascii="仿宋" w:hAnsi="仿宋" w:eastAsia="仿宋"/>
          <w:color w:val="auto"/>
          <w:sz w:val="32"/>
          <w:szCs w:val="32"/>
        </w:rPr>
        <w:t>为组长，</w:t>
      </w:r>
      <w:r>
        <w:rPr>
          <w:rFonts w:hint="eastAsia" w:ascii="仿宋" w:hAnsi="仿宋" w:eastAsia="仿宋"/>
          <w:color w:val="auto"/>
          <w:sz w:val="32"/>
          <w:szCs w:val="32"/>
          <w:lang w:eastAsia="zh-CN"/>
        </w:rPr>
        <w:t>资金财务部</w:t>
      </w:r>
      <w:r>
        <w:rPr>
          <w:rFonts w:hint="eastAsia" w:ascii="仿宋" w:hAnsi="仿宋" w:eastAsia="仿宋"/>
          <w:color w:val="auto"/>
          <w:sz w:val="32"/>
          <w:szCs w:val="32"/>
        </w:rPr>
        <w:t>等有关人员组成评价工作组。实施项目过程严格按照我单位制定的管理制度执行。</w:t>
      </w:r>
      <w:r>
        <w:rPr>
          <w:rFonts w:hint="eastAsia" w:ascii="仿宋" w:hAnsi="仿宋" w:eastAsia="仿宋" w:cs="楷体"/>
          <w:bCs/>
          <w:color w:val="auto"/>
          <w:spacing w:val="10"/>
          <w:sz w:val="32"/>
          <w:szCs w:val="32"/>
          <w:lang w:eastAsia="zh-CN"/>
        </w:rPr>
        <w:t>通过对整体绩效与项目绩效评价，提高资金使用效率。</w:t>
      </w:r>
    </w:p>
    <w:p>
      <w:pPr>
        <w:keepNext w:val="0"/>
        <w:keepLines w:val="0"/>
        <w:pageBreakBefore w:val="0"/>
        <w:widowControl w:val="0"/>
        <w:numPr>
          <w:ilvl w:val="0"/>
          <w:numId w:val="1"/>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黑体" w:hAnsi="黑体" w:eastAsia="黑体" w:cs="黑体"/>
          <w:b w:val="0"/>
          <w:bCs w:val="0"/>
          <w:color w:val="auto"/>
          <w:spacing w:val="11"/>
          <w:sz w:val="32"/>
          <w:szCs w:val="32"/>
          <w:highlight w:val="none"/>
          <w:lang w:eastAsia="zh-CN"/>
        </w:rPr>
      </w:pPr>
      <w:r>
        <w:rPr>
          <w:rFonts w:hint="eastAsia" w:ascii="黑体" w:hAnsi="黑体" w:eastAsia="黑体" w:cs="黑体"/>
          <w:b w:val="0"/>
          <w:bCs w:val="0"/>
          <w:color w:val="auto"/>
          <w:spacing w:val="11"/>
          <w:sz w:val="32"/>
          <w:szCs w:val="32"/>
          <w:highlight w:val="none"/>
          <w:lang w:eastAsia="zh-CN"/>
        </w:rPr>
        <w:t>资产管理</w:t>
      </w:r>
    </w:p>
    <w:p>
      <w:pPr>
        <w:widowControl/>
        <w:shd w:val="clear" w:color="auto" w:fill="FFFFFF"/>
        <w:spacing w:line="600" w:lineRule="atLeast"/>
        <w:ind w:firstLine="640"/>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color w:val="auto"/>
          <w:kern w:val="0"/>
          <w:sz w:val="32"/>
          <w:szCs w:val="32"/>
          <w:lang w:eastAsia="zh-CN"/>
        </w:rPr>
        <w:t>为了搞好单位资产的配置、管理、处置等特制定了《资产管理制度》，我单位固定资产由</w:t>
      </w:r>
      <w:r>
        <w:rPr>
          <w:rFonts w:hint="eastAsia" w:ascii="仿宋" w:hAnsi="仿宋" w:eastAsia="仿宋" w:cs="仿宋"/>
          <w:color w:val="auto"/>
          <w:kern w:val="0"/>
          <w:sz w:val="32"/>
          <w:szCs w:val="32"/>
          <w:lang w:eastAsia="zh-CN"/>
        </w:rPr>
        <w:t>办公室</w:t>
      </w:r>
      <w:r>
        <w:rPr>
          <w:rFonts w:hint="eastAsia" w:ascii="仿宋" w:hAnsi="仿宋" w:eastAsia="仿宋" w:cs="仿宋"/>
          <w:color w:val="auto"/>
          <w:kern w:val="0"/>
          <w:sz w:val="32"/>
          <w:szCs w:val="32"/>
          <w:lang w:eastAsia="zh-CN"/>
        </w:rPr>
        <w:t>统一登记和管理。购置办公用品和设备，需经上级资产相关管理部门审批后，经由单位分管采购领导同意后方可采购。</w:t>
      </w:r>
      <w:r>
        <w:rPr>
          <w:rFonts w:hint="eastAsia" w:ascii="仿宋" w:hAnsi="仿宋" w:eastAsia="仿宋" w:cs="仿宋"/>
          <w:color w:val="auto"/>
          <w:kern w:val="0"/>
          <w:sz w:val="32"/>
          <w:szCs w:val="32"/>
          <w:lang w:eastAsia="zh-CN"/>
        </w:rPr>
        <w:t>办公室</w:t>
      </w:r>
      <w:r>
        <w:rPr>
          <w:rFonts w:hint="eastAsia" w:ascii="仿宋" w:hAnsi="仿宋" w:eastAsia="仿宋" w:cs="仿宋"/>
          <w:color w:val="auto"/>
          <w:kern w:val="0"/>
          <w:sz w:val="32"/>
          <w:szCs w:val="32"/>
          <w:lang w:eastAsia="zh-CN"/>
        </w:rPr>
        <w:t>定期清点公物，按年度列出清单。</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left="0" w:right="0" w:firstLine="684" w:firstLineChars="200"/>
        <w:jc w:val="both"/>
        <w:textAlignment w:val="auto"/>
        <w:rPr>
          <w:rFonts w:hint="eastAsia" w:ascii="黑体" w:hAnsi="黑体" w:eastAsia="黑体" w:cs="黑体"/>
          <w:b w:val="0"/>
          <w:bCs w:val="0"/>
          <w:i w:val="0"/>
          <w:iCs w:val="0"/>
          <w:caps w:val="0"/>
          <w:color w:val="auto"/>
          <w:spacing w:val="11"/>
          <w:sz w:val="32"/>
          <w:szCs w:val="32"/>
        </w:rPr>
      </w:pPr>
      <w:r>
        <w:rPr>
          <w:rFonts w:hint="eastAsia" w:ascii="黑体" w:hAnsi="黑体" w:eastAsia="黑体" w:cs="黑体"/>
          <w:b w:val="0"/>
          <w:bCs w:val="0"/>
          <w:i w:val="0"/>
          <w:iCs w:val="0"/>
          <w:caps w:val="0"/>
          <w:color w:val="auto"/>
          <w:spacing w:val="11"/>
          <w:sz w:val="32"/>
          <w:szCs w:val="32"/>
          <w:shd w:val="clear" w:fill="FFFFFF"/>
          <w:lang w:eastAsia="zh-CN"/>
        </w:rPr>
        <w:t>五</w:t>
      </w:r>
      <w:r>
        <w:rPr>
          <w:rFonts w:hint="eastAsia" w:ascii="黑体" w:hAnsi="黑体" w:eastAsia="黑体" w:cs="黑体"/>
          <w:b w:val="0"/>
          <w:bCs w:val="0"/>
          <w:i w:val="0"/>
          <w:iCs w:val="0"/>
          <w:caps w:val="0"/>
          <w:color w:val="auto"/>
          <w:spacing w:val="11"/>
          <w:sz w:val="32"/>
          <w:szCs w:val="32"/>
          <w:shd w:val="clear" w:fill="FFFFFF"/>
        </w:rPr>
        <w:t>、政府性基金预算支出情况</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val="0"/>
          <w:bCs w:val="0"/>
          <w:color w:val="auto"/>
          <w:spacing w:val="11"/>
          <w:sz w:val="32"/>
          <w:szCs w:val="32"/>
          <w:highlight w:val="none"/>
          <w:lang w:eastAsia="zh-CN"/>
        </w:rPr>
        <w:t>我单位202</w:t>
      </w:r>
      <w:r>
        <w:rPr>
          <w:rFonts w:hint="eastAsia" w:ascii="仿宋" w:hAnsi="仿宋" w:eastAsia="仿宋" w:cs="仿宋"/>
          <w:b w:val="0"/>
          <w:bCs w:val="0"/>
          <w:color w:val="auto"/>
          <w:spacing w:val="11"/>
          <w:sz w:val="32"/>
          <w:szCs w:val="32"/>
          <w:highlight w:val="none"/>
          <w:lang w:val="en-US" w:eastAsia="zh-CN"/>
        </w:rPr>
        <w:t>4</w:t>
      </w:r>
      <w:r>
        <w:rPr>
          <w:rFonts w:hint="eastAsia" w:ascii="仿宋" w:hAnsi="仿宋" w:eastAsia="仿宋" w:cs="仿宋"/>
          <w:b w:val="0"/>
          <w:bCs w:val="0"/>
          <w:color w:val="auto"/>
          <w:spacing w:val="11"/>
          <w:sz w:val="32"/>
          <w:szCs w:val="32"/>
          <w:highlight w:val="none"/>
          <w:lang w:eastAsia="zh-CN"/>
        </w:rPr>
        <w:t>年无政府性基金预算支出。</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黑体" w:hAnsi="黑体" w:eastAsia="黑体" w:cs="黑体"/>
          <w:b w:val="0"/>
          <w:bCs w:val="0"/>
          <w:i w:val="0"/>
          <w:iCs w:val="0"/>
          <w:caps w:val="0"/>
          <w:color w:val="auto"/>
          <w:spacing w:val="11"/>
          <w:sz w:val="32"/>
          <w:szCs w:val="32"/>
        </w:rPr>
      </w:pPr>
      <w:r>
        <w:rPr>
          <w:rFonts w:hint="eastAsia" w:ascii="黑体" w:hAnsi="黑体" w:eastAsia="黑体" w:cs="黑体"/>
          <w:b w:val="0"/>
          <w:bCs w:val="0"/>
          <w:i w:val="0"/>
          <w:iCs w:val="0"/>
          <w:caps w:val="0"/>
          <w:color w:val="auto"/>
          <w:spacing w:val="11"/>
          <w:sz w:val="32"/>
          <w:szCs w:val="32"/>
          <w:shd w:val="clear" w:fill="FFFFFF"/>
          <w:lang w:eastAsia="zh-CN"/>
        </w:rPr>
        <w:t>六</w:t>
      </w:r>
      <w:r>
        <w:rPr>
          <w:rFonts w:hint="eastAsia" w:ascii="黑体" w:hAnsi="黑体" w:eastAsia="黑体" w:cs="黑体"/>
          <w:b w:val="0"/>
          <w:bCs w:val="0"/>
          <w:i w:val="0"/>
          <w:iCs w:val="0"/>
          <w:caps w:val="0"/>
          <w:color w:val="auto"/>
          <w:spacing w:val="11"/>
          <w:sz w:val="32"/>
          <w:szCs w:val="32"/>
          <w:shd w:val="clear" w:fill="FFFFFF"/>
        </w:rPr>
        <w:t>、国有资本经营预算支出情况</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val="0"/>
          <w:bCs w:val="0"/>
          <w:color w:val="auto"/>
          <w:spacing w:val="11"/>
          <w:sz w:val="32"/>
          <w:szCs w:val="32"/>
          <w:highlight w:val="none"/>
          <w:lang w:eastAsia="zh-CN"/>
        </w:rPr>
        <w:t>我单位202</w:t>
      </w:r>
      <w:r>
        <w:rPr>
          <w:rFonts w:hint="eastAsia" w:ascii="仿宋" w:hAnsi="仿宋" w:eastAsia="仿宋" w:cs="仿宋"/>
          <w:b w:val="0"/>
          <w:bCs w:val="0"/>
          <w:color w:val="auto"/>
          <w:spacing w:val="11"/>
          <w:sz w:val="32"/>
          <w:szCs w:val="32"/>
          <w:highlight w:val="none"/>
          <w:lang w:val="en-US" w:eastAsia="zh-CN"/>
        </w:rPr>
        <w:t>4</w:t>
      </w:r>
      <w:r>
        <w:rPr>
          <w:rFonts w:hint="eastAsia" w:ascii="仿宋" w:hAnsi="仿宋" w:eastAsia="仿宋" w:cs="仿宋"/>
          <w:b w:val="0"/>
          <w:bCs w:val="0"/>
          <w:color w:val="auto"/>
          <w:spacing w:val="11"/>
          <w:sz w:val="32"/>
          <w:szCs w:val="32"/>
          <w:highlight w:val="none"/>
          <w:lang w:eastAsia="zh-CN"/>
        </w:rPr>
        <w:t>年无国有资本经营预算支出。</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黑体" w:hAnsi="黑体" w:eastAsia="黑体" w:cs="黑体"/>
          <w:b w:val="0"/>
          <w:bCs w:val="0"/>
          <w:i w:val="0"/>
          <w:iCs w:val="0"/>
          <w:caps w:val="0"/>
          <w:color w:val="auto"/>
          <w:spacing w:val="11"/>
          <w:sz w:val="32"/>
          <w:szCs w:val="32"/>
        </w:rPr>
      </w:pPr>
      <w:r>
        <w:rPr>
          <w:rFonts w:hint="eastAsia" w:ascii="黑体" w:hAnsi="黑体" w:eastAsia="黑体" w:cs="黑体"/>
          <w:b w:val="0"/>
          <w:bCs w:val="0"/>
          <w:i w:val="0"/>
          <w:iCs w:val="0"/>
          <w:caps w:val="0"/>
          <w:color w:val="auto"/>
          <w:spacing w:val="11"/>
          <w:sz w:val="32"/>
          <w:szCs w:val="32"/>
          <w:shd w:val="clear" w:fill="FFFFFF"/>
          <w:lang w:eastAsia="zh-CN"/>
        </w:rPr>
        <w:t>七</w:t>
      </w:r>
      <w:r>
        <w:rPr>
          <w:rFonts w:hint="eastAsia" w:ascii="黑体" w:hAnsi="黑体" w:eastAsia="黑体" w:cs="黑体"/>
          <w:b w:val="0"/>
          <w:bCs w:val="0"/>
          <w:i w:val="0"/>
          <w:iCs w:val="0"/>
          <w:caps w:val="0"/>
          <w:color w:val="auto"/>
          <w:spacing w:val="11"/>
          <w:sz w:val="32"/>
          <w:szCs w:val="32"/>
          <w:shd w:val="clear" w:fill="FFFFFF"/>
        </w:rPr>
        <w:t>、社会保险基金预算支出情况</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left="0" w:firstLine="684" w:firstLineChars="200"/>
        <w:jc w:val="both"/>
        <w:textAlignment w:val="auto"/>
        <w:rPr>
          <w:rFonts w:hint="eastAsia" w:ascii="仿宋_GB2312" w:hAnsi="仿宋_GB2312" w:eastAsia="仿宋_GB2312" w:cs="仿宋_GB2312"/>
          <w:b w:val="0"/>
          <w:bCs w:val="0"/>
          <w:color w:val="auto"/>
          <w:spacing w:val="11"/>
          <w:sz w:val="32"/>
          <w:szCs w:val="32"/>
          <w:highlight w:val="none"/>
          <w:lang w:eastAsia="zh-CN"/>
        </w:rPr>
      </w:pPr>
      <w:r>
        <w:rPr>
          <w:rFonts w:hint="eastAsia" w:ascii="仿宋_GB2312" w:hAnsi="仿宋_GB2312" w:eastAsia="仿宋_GB2312" w:cs="仿宋_GB2312"/>
          <w:b w:val="0"/>
          <w:bCs w:val="0"/>
          <w:color w:val="auto"/>
          <w:spacing w:val="11"/>
          <w:sz w:val="32"/>
          <w:szCs w:val="32"/>
          <w:highlight w:val="none"/>
          <w:lang w:eastAsia="zh-CN"/>
        </w:rPr>
        <w:t>我单位202</w:t>
      </w:r>
      <w:r>
        <w:rPr>
          <w:rFonts w:hint="eastAsia" w:ascii="仿宋_GB2312" w:hAnsi="仿宋_GB2312" w:eastAsia="仿宋_GB2312" w:cs="仿宋_GB2312"/>
          <w:b w:val="0"/>
          <w:bCs w:val="0"/>
          <w:color w:val="auto"/>
          <w:spacing w:val="11"/>
          <w:sz w:val="32"/>
          <w:szCs w:val="32"/>
          <w:highlight w:val="none"/>
          <w:lang w:val="en-US" w:eastAsia="zh-CN"/>
        </w:rPr>
        <w:t>4</w:t>
      </w:r>
      <w:r>
        <w:rPr>
          <w:rFonts w:hint="eastAsia" w:ascii="仿宋_GB2312" w:hAnsi="仿宋_GB2312" w:eastAsia="仿宋_GB2312" w:cs="仿宋_GB2312"/>
          <w:b w:val="0"/>
          <w:bCs w:val="0"/>
          <w:color w:val="auto"/>
          <w:spacing w:val="11"/>
          <w:sz w:val="32"/>
          <w:szCs w:val="32"/>
          <w:highlight w:val="none"/>
          <w:lang w:eastAsia="zh-CN"/>
        </w:rPr>
        <w:t>年无社会保险基金预算支出。</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84" w:firstLineChars="200"/>
        <w:jc w:val="both"/>
        <w:textAlignment w:val="auto"/>
        <w:rPr>
          <w:rFonts w:hint="eastAsia" w:ascii="黑体" w:hAnsi="黑体" w:eastAsia="黑体" w:cs="黑体"/>
          <w:b w:val="0"/>
          <w:bCs w:val="0"/>
          <w:i w:val="0"/>
          <w:iCs w:val="0"/>
          <w:caps w:val="0"/>
          <w:color w:val="auto"/>
          <w:spacing w:val="11"/>
          <w:sz w:val="32"/>
          <w:szCs w:val="32"/>
        </w:rPr>
      </w:pPr>
      <w:r>
        <w:rPr>
          <w:rFonts w:hint="eastAsia" w:ascii="黑体" w:hAnsi="黑体" w:eastAsia="黑体" w:cs="黑体"/>
          <w:b w:val="0"/>
          <w:bCs w:val="0"/>
          <w:i w:val="0"/>
          <w:iCs w:val="0"/>
          <w:caps w:val="0"/>
          <w:color w:val="auto"/>
          <w:spacing w:val="11"/>
          <w:sz w:val="32"/>
          <w:szCs w:val="32"/>
          <w:shd w:val="clear" w:fill="FFFFFF"/>
          <w:lang w:eastAsia="zh-CN"/>
        </w:rPr>
        <w:t>八</w:t>
      </w:r>
      <w:r>
        <w:rPr>
          <w:rFonts w:hint="eastAsia" w:ascii="黑体" w:hAnsi="黑体" w:eastAsia="黑体" w:cs="黑体"/>
          <w:b w:val="0"/>
          <w:bCs w:val="0"/>
          <w:i w:val="0"/>
          <w:iCs w:val="0"/>
          <w:caps w:val="0"/>
          <w:color w:val="auto"/>
          <w:spacing w:val="11"/>
          <w:sz w:val="32"/>
          <w:szCs w:val="32"/>
          <w:shd w:val="clear" w:fill="FFFFFF"/>
        </w:rPr>
        <w:t>、部门整体支出绩效情况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84" w:firstLineChars="200"/>
        <w:jc w:val="both"/>
        <w:textAlignment w:val="auto"/>
        <w:rPr>
          <w:rFonts w:hint="eastAsia" w:ascii="仿宋" w:hAnsi="仿宋" w:eastAsia="仿宋" w:cs="仿宋"/>
          <w:b w:val="0"/>
          <w:bCs w:val="0"/>
          <w:i w:val="0"/>
          <w:iCs w:val="0"/>
          <w:caps w:val="0"/>
          <w:color w:val="auto"/>
          <w:spacing w:val="11"/>
          <w:sz w:val="32"/>
          <w:szCs w:val="32"/>
        </w:rPr>
      </w:pPr>
      <w:r>
        <w:rPr>
          <w:rFonts w:hint="default" w:ascii="楷体_GB2312" w:eastAsia="楷体_GB2312" w:cs="楷体_GB2312"/>
          <w:b/>
          <w:bCs/>
          <w:i w:val="0"/>
          <w:iCs w:val="0"/>
          <w:caps w:val="0"/>
          <w:color w:val="auto"/>
          <w:spacing w:val="11"/>
          <w:sz w:val="32"/>
          <w:szCs w:val="32"/>
          <w:shd w:val="clear" w:fill="FFFFFF"/>
        </w:rPr>
        <w:t>（一）综合评价结论。</w:t>
      </w:r>
      <w:r>
        <w:rPr>
          <w:rFonts w:hint="eastAsia" w:ascii="仿宋" w:hAnsi="仿宋" w:eastAsia="仿宋" w:cs="仿宋"/>
          <w:b w:val="0"/>
          <w:bCs w:val="0"/>
          <w:i w:val="0"/>
          <w:iCs w:val="0"/>
          <w:caps w:val="0"/>
          <w:color w:val="auto"/>
          <w:spacing w:val="11"/>
          <w:sz w:val="32"/>
          <w:szCs w:val="32"/>
          <w:shd w:val="clear" w:fill="FFFFFF"/>
        </w:rPr>
        <w:t>反映自评得分及评价等级。</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val="0"/>
          <w:bCs w:val="0"/>
          <w:color w:val="auto"/>
          <w:spacing w:val="11"/>
          <w:sz w:val="32"/>
          <w:szCs w:val="32"/>
          <w:highlight w:val="none"/>
          <w:lang w:eastAsia="zh-CN"/>
        </w:rPr>
        <w:t>根据部门整体支出绩效评价指标规定的内容，经我单位认真自评，总评分为100分，实际得分9</w:t>
      </w:r>
      <w:r>
        <w:rPr>
          <w:rFonts w:hint="eastAsia" w:ascii="仿宋" w:hAnsi="仿宋" w:eastAsia="仿宋" w:cs="仿宋"/>
          <w:b w:val="0"/>
          <w:bCs w:val="0"/>
          <w:color w:val="auto"/>
          <w:spacing w:val="11"/>
          <w:sz w:val="32"/>
          <w:szCs w:val="32"/>
          <w:highlight w:val="none"/>
          <w:lang w:val="en-US" w:eastAsia="zh-CN"/>
        </w:rPr>
        <w:t>8</w:t>
      </w:r>
      <w:r>
        <w:rPr>
          <w:rFonts w:hint="eastAsia" w:ascii="仿宋" w:hAnsi="仿宋" w:eastAsia="仿宋" w:cs="仿宋"/>
          <w:b w:val="0"/>
          <w:bCs w:val="0"/>
          <w:color w:val="auto"/>
          <w:spacing w:val="11"/>
          <w:sz w:val="32"/>
          <w:szCs w:val="32"/>
          <w:highlight w:val="none"/>
          <w:lang w:eastAsia="zh-CN"/>
        </w:rPr>
        <w:t>分，202</w:t>
      </w:r>
      <w:r>
        <w:rPr>
          <w:rFonts w:hint="eastAsia" w:ascii="仿宋" w:hAnsi="仿宋" w:eastAsia="仿宋" w:cs="仿宋"/>
          <w:b w:val="0"/>
          <w:bCs w:val="0"/>
          <w:color w:val="auto"/>
          <w:spacing w:val="11"/>
          <w:sz w:val="32"/>
          <w:szCs w:val="32"/>
          <w:highlight w:val="none"/>
          <w:lang w:val="en-US" w:eastAsia="zh-CN"/>
        </w:rPr>
        <w:t>4</w:t>
      </w:r>
      <w:r>
        <w:rPr>
          <w:rFonts w:hint="eastAsia" w:ascii="仿宋" w:hAnsi="仿宋" w:eastAsia="仿宋" w:cs="仿宋"/>
          <w:b w:val="0"/>
          <w:bCs w:val="0"/>
          <w:color w:val="auto"/>
          <w:spacing w:val="11"/>
          <w:sz w:val="32"/>
          <w:szCs w:val="32"/>
          <w:highlight w:val="none"/>
          <w:lang w:eastAsia="zh-CN"/>
        </w:rPr>
        <w:t>年度部门整体绩效评价为优秀。</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val="0"/>
          <w:bCs w:val="0"/>
          <w:color w:val="auto"/>
          <w:spacing w:val="11"/>
          <w:sz w:val="32"/>
          <w:szCs w:val="32"/>
          <w:highlight w:val="none"/>
          <w:lang w:eastAsia="zh-CN"/>
        </w:rPr>
        <w:t>按照市</w:t>
      </w:r>
      <w:r>
        <w:rPr>
          <w:rFonts w:hint="eastAsia" w:ascii="仿宋" w:hAnsi="仿宋" w:eastAsia="仿宋" w:cs="仿宋"/>
          <w:b w:val="0"/>
          <w:bCs w:val="0"/>
          <w:color w:val="auto"/>
          <w:spacing w:val="6"/>
          <w:sz w:val="32"/>
          <w:szCs w:val="32"/>
          <w:highlight w:val="none"/>
          <w:lang w:eastAsia="zh-CN"/>
        </w:rPr>
        <w:t>级部门预决算编制通知和有关要求，按时完成预决算编制工作，并及时在网上进行预决算公开。部门整体绩效目标编制完整、合理，项目绩效目标编制明确、量化。按要求严格预算执行管理，及时足额将专项资金按标准拨付。严格执行“三公经</w:t>
      </w:r>
      <w:r>
        <w:rPr>
          <w:rFonts w:hint="eastAsia" w:ascii="仿宋" w:hAnsi="仿宋" w:eastAsia="仿宋" w:cs="仿宋"/>
          <w:b w:val="0"/>
          <w:bCs w:val="0"/>
          <w:color w:val="auto"/>
          <w:spacing w:val="11"/>
          <w:sz w:val="32"/>
          <w:szCs w:val="32"/>
          <w:highlight w:val="none"/>
          <w:lang w:eastAsia="zh-CN"/>
        </w:rPr>
        <w:t>费”预算，按要求及时公开预算、决算、绩效等信息。按要求及时、准确、全面开展资产清查工作，上报国有资产报表数据真实、准确、全面。内部控制制度健全完整并执行良好，在本年度内未出现廉政风险。</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right="0" w:firstLine="684" w:firstLineChars="200"/>
        <w:jc w:val="both"/>
        <w:textAlignment w:val="auto"/>
        <w:rPr>
          <w:rFonts w:hint="default" w:ascii="楷体_GB2312" w:eastAsia="楷体_GB2312" w:cs="楷体_GB2312"/>
          <w:b/>
          <w:bCs/>
          <w:i w:val="0"/>
          <w:iCs w:val="0"/>
          <w:caps w:val="0"/>
          <w:color w:val="auto"/>
          <w:spacing w:val="11"/>
          <w:sz w:val="32"/>
          <w:szCs w:val="32"/>
          <w:shd w:val="clear" w:fill="FFFFFF"/>
        </w:rPr>
      </w:pPr>
      <w:r>
        <w:rPr>
          <w:rFonts w:hint="default" w:ascii="楷体_GB2312" w:eastAsia="楷体_GB2312" w:cs="楷体_GB2312"/>
          <w:b/>
          <w:bCs/>
          <w:i w:val="0"/>
          <w:iCs w:val="0"/>
          <w:caps w:val="0"/>
          <w:color w:val="auto"/>
          <w:spacing w:val="11"/>
          <w:sz w:val="32"/>
          <w:szCs w:val="32"/>
          <w:shd w:val="clear" w:fill="FFFFFF"/>
        </w:rPr>
        <w:t>（二）评价指标分析（或综合评价情况）。</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684" w:firstLineChars="200"/>
        <w:jc w:val="both"/>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val="0"/>
          <w:bCs w:val="0"/>
          <w:color w:val="auto"/>
          <w:spacing w:val="11"/>
          <w:sz w:val="32"/>
          <w:szCs w:val="32"/>
          <w:highlight w:val="none"/>
          <w:lang w:eastAsia="zh-CN"/>
        </w:rPr>
        <w:t>我单位围绕部门职责、行业发展规划，以预算资金管理为主线，从整体绩效目标设定、预算配置、预算执行、预算管理、资产管理、职责履行、履职效益等方面综合分析。总结归纳本部门“四本预算”支出的绩效目标完成情况，实现产出和取得效益的情况。</w:t>
      </w:r>
    </w:p>
    <w:p>
      <w:pPr>
        <w:pStyle w:val="9"/>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val="0"/>
          <w:bCs w:val="0"/>
          <w:color w:val="auto"/>
          <w:spacing w:val="11"/>
          <w:sz w:val="32"/>
          <w:szCs w:val="32"/>
          <w:highlight w:val="none"/>
          <w:lang w:eastAsia="zh-CN"/>
        </w:rPr>
        <w:t>绩效目标完成情况</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rightChars="0" w:firstLine="684" w:firstLineChars="200"/>
        <w:jc w:val="both"/>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val="0"/>
          <w:bCs w:val="0"/>
          <w:color w:val="auto"/>
          <w:spacing w:val="11"/>
          <w:sz w:val="32"/>
          <w:szCs w:val="32"/>
          <w:highlight w:val="none"/>
          <w:lang w:eastAsia="zh-CN"/>
        </w:rPr>
        <w:t>完成全年绩效目标，做到：切实规范移民安置管理，有效抓好移民安置验收工作，抓实遗留问题调处力度；拓展移民后期扶持工作，有效加快移民美丽家园建设，扎实推进后扶项目实施，全力促进移民产业发展，提升移民培训效果，加强移民后扶信息管理，抓实移民直补资金“一卡通”发放工作，抓好移民返乡创业工作；规范移民资金项目管理，提升移民资金使用效益，持续化解存量资金，加强项目资金监管，强化项目管理；抓实库区移民信访工作，确保库区经济社会稳定。</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left="0" w:right="0" w:firstLine="684" w:firstLineChars="200"/>
        <w:jc w:val="both"/>
        <w:textAlignment w:val="auto"/>
        <w:rPr>
          <w:rFonts w:hint="default" w:ascii="黑体" w:hAnsi="黑体" w:eastAsia="黑体" w:cs="黑体"/>
          <w:b w:val="0"/>
          <w:bCs w:val="0"/>
          <w:i w:val="0"/>
          <w:iCs w:val="0"/>
          <w:caps w:val="0"/>
          <w:color w:val="auto"/>
          <w:spacing w:val="11"/>
          <w:sz w:val="32"/>
          <w:szCs w:val="32"/>
          <w:shd w:val="clear" w:fill="FFFFFF"/>
        </w:rPr>
      </w:pPr>
      <w:r>
        <w:rPr>
          <w:rFonts w:hint="default" w:ascii="黑体" w:hAnsi="黑体" w:eastAsia="黑体" w:cs="黑体"/>
          <w:b w:val="0"/>
          <w:bCs w:val="0"/>
          <w:i w:val="0"/>
          <w:iCs w:val="0"/>
          <w:caps w:val="0"/>
          <w:color w:val="auto"/>
          <w:spacing w:val="11"/>
          <w:sz w:val="32"/>
          <w:szCs w:val="32"/>
          <w:shd w:val="clear" w:fill="FFFFFF"/>
        </w:rPr>
        <w:t>2.</w:t>
      </w:r>
      <w:r>
        <w:rPr>
          <w:rFonts w:hint="eastAsia" w:ascii="仿宋_GB2312" w:hAnsi="仿宋_GB2312" w:eastAsia="仿宋_GB2312" w:cs="仿宋_GB2312"/>
          <w:b w:val="0"/>
          <w:bCs w:val="0"/>
          <w:color w:val="auto"/>
          <w:spacing w:val="11"/>
          <w:sz w:val="32"/>
          <w:szCs w:val="32"/>
          <w:highlight w:val="none"/>
          <w:lang w:eastAsia="zh-CN"/>
        </w:rPr>
        <w:t>实现产出</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b w:val="0"/>
          <w:bCs w:val="0"/>
          <w:color w:val="auto"/>
          <w:spacing w:val="11"/>
          <w:sz w:val="32"/>
          <w:szCs w:val="32"/>
          <w:highlight w:val="none"/>
          <w:lang w:eastAsia="zh-CN"/>
        </w:rPr>
        <w:t>（1）数量指标：</w:t>
      </w:r>
      <w:r>
        <w:rPr>
          <w:rFonts w:hint="eastAsia" w:ascii="仿宋" w:hAnsi="仿宋" w:eastAsia="仿宋" w:cs="仿宋"/>
          <w:color w:val="auto"/>
          <w:spacing w:val="0"/>
          <w:sz w:val="32"/>
          <w:szCs w:val="32"/>
          <w:lang w:val="en-US" w:eastAsia="zh-CN"/>
        </w:rPr>
        <w:t>坚持以移民为中心，多举措并举解难题办实事。切实解决库区群众安全出行和消除水上交通重大安全隐患,帮助库区群众解决出行难、乘船难、运输难问题,安排400万元支持托口库区洪江市托口镇三里村、杨柳村、阳岫村、马田村,会同县漠滨乡金子村、洞头冲村,芷江县碧涌镇清江村、大龙村等8个移民村购置符合航道升级要求的标准化农村客运船舶。协调解决托口水电站滑坡塌岸等历史遗留问题，召开托口水电站芷江县库区受库水影响滑坡塌岸治理协调会议，明确托口水电站芷江库区滑坡塌岸治理工程项目所需资金77万元，由怀化沅江电力开发有限责任公司出资解决。攻坚克难解决历史遗留问题，推进平安库区建设维稳定。重点对中方县铜湾集镇防洪堤加固工程、靖州二凉亭园艺示范场安置移民土地及房屋办证等问题进行督促指导,依法化解库区矛盾。全年收到上级交办函、市长热线电话、群众来信来访共190件/452人次，已办结190件/452人次，办结率100%。信访量同比去年下降30%，没有发生赴省进京上访的情况。</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val="0"/>
          <w:bCs w:val="0"/>
          <w:color w:val="auto"/>
          <w:spacing w:val="11"/>
          <w:sz w:val="32"/>
          <w:szCs w:val="32"/>
          <w:highlight w:val="none"/>
          <w:lang w:eastAsia="zh-CN"/>
        </w:rPr>
        <w:t>（2）质量指标：达标完成率100%。</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val="0"/>
          <w:bCs w:val="0"/>
          <w:color w:val="auto"/>
          <w:spacing w:val="11"/>
          <w:sz w:val="32"/>
          <w:szCs w:val="32"/>
          <w:highlight w:val="none"/>
          <w:lang w:eastAsia="zh-CN"/>
        </w:rPr>
        <w:t>（3）时效指标：202</w:t>
      </w:r>
      <w:r>
        <w:rPr>
          <w:rFonts w:hint="eastAsia" w:ascii="仿宋" w:hAnsi="仿宋" w:eastAsia="仿宋" w:cs="仿宋"/>
          <w:b w:val="0"/>
          <w:bCs w:val="0"/>
          <w:color w:val="auto"/>
          <w:spacing w:val="11"/>
          <w:sz w:val="32"/>
          <w:szCs w:val="32"/>
          <w:highlight w:val="none"/>
          <w:lang w:val="en-US" w:eastAsia="zh-CN"/>
        </w:rPr>
        <w:t>4</w:t>
      </w:r>
      <w:r>
        <w:rPr>
          <w:rFonts w:hint="eastAsia" w:ascii="仿宋" w:hAnsi="仿宋" w:eastAsia="仿宋" w:cs="仿宋"/>
          <w:b w:val="0"/>
          <w:bCs w:val="0"/>
          <w:color w:val="auto"/>
          <w:spacing w:val="11"/>
          <w:sz w:val="32"/>
          <w:szCs w:val="32"/>
          <w:highlight w:val="none"/>
          <w:lang w:eastAsia="zh-CN"/>
        </w:rPr>
        <w:t>年12月31日之前已完成。</w:t>
      </w:r>
    </w:p>
    <w:p>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firstLine="684" w:firstLineChars="200"/>
        <w:jc w:val="both"/>
        <w:textAlignment w:val="auto"/>
        <w:rPr>
          <w:rFonts w:hint="default" w:ascii="仿宋" w:hAnsi="仿宋" w:eastAsia="仿宋" w:cs="仿宋"/>
          <w:b w:val="0"/>
          <w:bCs w:val="0"/>
          <w:color w:val="auto"/>
          <w:spacing w:val="11"/>
          <w:sz w:val="32"/>
          <w:szCs w:val="32"/>
          <w:highlight w:val="none"/>
          <w:lang w:val="en-US" w:eastAsia="zh-CN"/>
        </w:rPr>
      </w:pPr>
      <w:r>
        <w:rPr>
          <w:rFonts w:hint="eastAsia" w:ascii="仿宋" w:hAnsi="仿宋" w:eastAsia="仿宋" w:cs="仿宋"/>
          <w:b w:val="0"/>
          <w:bCs w:val="0"/>
          <w:color w:val="auto"/>
          <w:spacing w:val="11"/>
          <w:sz w:val="32"/>
          <w:szCs w:val="32"/>
          <w:highlight w:val="none"/>
          <w:lang w:eastAsia="zh-CN"/>
        </w:rPr>
        <w:t>（4）成本指标：</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533.33万元。</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50" w:lineRule="exact"/>
        <w:ind w:left="0" w:right="0" w:firstLine="684" w:firstLineChars="200"/>
        <w:jc w:val="both"/>
        <w:textAlignment w:val="auto"/>
        <w:rPr>
          <w:rFonts w:hint="eastAsia" w:ascii="仿宋_GB2312" w:hAnsi="仿宋_GB2312" w:eastAsia="仿宋_GB2312" w:cs="仿宋_GB2312"/>
          <w:b w:val="0"/>
          <w:bCs w:val="0"/>
          <w:color w:val="auto"/>
          <w:spacing w:val="11"/>
          <w:sz w:val="32"/>
          <w:szCs w:val="32"/>
          <w:highlight w:val="none"/>
          <w:lang w:eastAsia="zh-CN"/>
        </w:rPr>
      </w:pPr>
      <w:r>
        <w:rPr>
          <w:rFonts w:hint="default" w:ascii="黑体" w:hAnsi="黑体" w:eastAsia="黑体" w:cs="黑体"/>
          <w:b w:val="0"/>
          <w:bCs w:val="0"/>
          <w:i w:val="0"/>
          <w:iCs w:val="0"/>
          <w:caps w:val="0"/>
          <w:color w:val="auto"/>
          <w:spacing w:val="11"/>
          <w:sz w:val="32"/>
          <w:szCs w:val="32"/>
          <w:shd w:val="clear" w:fill="FFFFFF"/>
        </w:rPr>
        <w:t>3.</w:t>
      </w:r>
      <w:r>
        <w:rPr>
          <w:rFonts w:hint="eastAsia" w:ascii="仿宋_GB2312" w:hAnsi="仿宋_GB2312" w:eastAsia="仿宋_GB2312" w:cs="仿宋_GB2312"/>
          <w:b w:val="0"/>
          <w:bCs w:val="0"/>
          <w:color w:val="auto"/>
          <w:spacing w:val="11"/>
          <w:sz w:val="32"/>
          <w:szCs w:val="32"/>
          <w:highlight w:val="none"/>
          <w:lang w:eastAsia="zh-CN"/>
        </w:rPr>
        <w:t>取得效益</w:t>
      </w:r>
    </w:p>
    <w:p>
      <w:pPr>
        <w:keepNext w:val="0"/>
        <w:keepLines w:val="0"/>
        <w:pageBreakBefore w:val="0"/>
        <w:widowControl/>
        <w:shd w:val="clear" w:color="auto"/>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b/>
          <w:bCs/>
          <w:color w:val="auto"/>
          <w:spacing w:val="0"/>
          <w:sz w:val="32"/>
          <w:szCs w:val="32"/>
          <w:lang w:val="en-US" w:eastAsia="zh-CN"/>
        </w:rPr>
        <w:t>(1).理论学习常抓不懈。</w:t>
      </w:r>
      <w:r>
        <w:rPr>
          <w:rFonts w:hint="eastAsia" w:ascii="仿宋" w:hAnsi="仿宋" w:eastAsia="仿宋" w:cs="仿宋"/>
          <w:color w:val="auto"/>
          <w:spacing w:val="0"/>
          <w:sz w:val="32"/>
          <w:szCs w:val="32"/>
          <w:lang w:val="en-US" w:eastAsia="zh-CN"/>
        </w:rPr>
        <w:t>始终把理论学习放在重要位置，坚持读原著、学原文、悟原理，做到学深悟透、融会贯通，把学习成果转化为推动工作开展的强大动力。扎实抓好党纪学习教育，坚持以讲促学，以知促行，认真开展学习贯彻习近平总书记来湖南考察重要讲话精神、党的二十届三中全会精神专题宣讲。坚持学以致用，弘扬“四下基层”优良作风，常态化开展“走找想促”调研活动，推动解决托口库区农村客运船舶不适航安全隐患、洪江市田坪滑坡体治理工程等一批发展所需、民心所盼的问题，用移民干部的“辛苦指数”换取移民群众的“满意指数”。</w:t>
      </w:r>
    </w:p>
    <w:p>
      <w:pPr>
        <w:keepNext w:val="0"/>
        <w:keepLines w:val="0"/>
        <w:pageBreakBefore w:val="0"/>
        <w:widowControl/>
        <w:shd w:val="clear" w:color="auto"/>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eastAsia" w:ascii="仿宋" w:hAnsi="仿宋" w:eastAsia="仿宋" w:cs="仿宋"/>
          <w:color w:val="auto"/>
          <w:spacing w:val="0"/>
          <w:sz w:val="32"/>
          <w:szCs w:val="32"/>
          <w:lang w:val="en-US" w:eastAsia="zh-CN"/>
        </w:rPr>
      </w:pPr>
      <w:r>
        <w:rPr>
          <w:rFonts w:hint="eastAsia" w:ascii="仿宋" w:hAnsi="仿宋" w:eastAsia="仿宋" w:cs="仿宋"/>
          <w:b/>
          <w:bCs/>
          <w:color w:val="auto"/>
          <w:spacing w:val="0"/>
          <w:sz w:val="32"/>
          <w:szCs w:val="32"/>
          <w:lang w:val="en-US" w:eastAsia="zh-CN"/>
        </w:rPr>
        <w:t>(2).重点工作亮点纷呈。一是争资争项促发展。</w:t>
      </w:r>
      <w:r>
        <w:rPr>
          <w:rFonts w:hint="eastAsia" w:ascii="仿宋" w:hAnsi="仿宋" w:eastAsia="仿宋" w:cs="仿宋"/>
          <w:color w:val="auto"/>
          <w:spacing w:val="0"/>
          <w:sz w:val="32"/>
          <w:szCs w:val="32"/>
          <w:lang w:val="en-US" w:eastAsia="zh-CN"/>
        </w:rPr>
        <w:t>主动向上争资争项，争取中央、省水库移民扶持资金4.51亿元，占全省份额的10.1%，比上年同期增长3.8%，其中专项资金1.6亿元，较上年增长66.8%，为历年之最。帮助沅陵县争取水利部解决突出问题项目，成功申报五强溪库区连片移民村规模化供水提升改造工程项目资金6500万元，资金量全省排名第二。争取73个重点移民村和产业示范移民村获得省移民专项资金1.46亿元，资金量全省排名第二。全市重点移民村和乡村振兴示范村建设项目提前两年全部成功申报并超额完成投资。争取库区和移民安置区农村集中供水“三化”建设项目18个，获得省移民专项资金2392万元，资金量全省排名第二。</w:t>
      </w:r>
      <w:r>
        <w:rPr>
          <w:rFonts w:hint="eastAsia" w:ascii="仿宋" w:hAnsi="仿宋" w:eastAsia="仿宋" w:cs="仿宋"/>
          <w:b/>
          <w:bCs/>
          <w:color w:val="auto"/>
          <w:spacing w:val="0"/>
          <w:sz w:val="32"/>
          <w:szCs w:val="32"/>
          <w:lang w:val="en-US" w:eastAsia="zh-CN"/>
        </w:rPr>
        <w:t>二是移民产业发展卓有成效。</w:t>
      </w:r>
      <w:r>
        <w:rPr>
          <w:rFonts w:hint="eastAsia" w:ascii="仿宋" w:hAnsi="仿宋" w:eastAsia="仿宋" w:cs="仿宋"/>
          <w:color w:val="auto"/>
          <w:spacing w:val="0"/>
          <w:sz w:val="32"/>
          <w:szCs w:val="32"/>
          <w:lang w:val="en-US" w:eastAsia="zh-CN"/>
        </w:rPr>
        <w:t>加大对移民产业的扶持力度，壮大移民村集体经济，切实促进移民增产增收。认真做好山水特色文章，大力发展乡村旅游和绿色农业，带动特色产业、农家乐、精品民宿等“文旅经济”发展，移民新村焕新颜，涌现了芷江县清江村、洪江市下坪村等一批网红“打卡地”。大力推进“光伏+”移民产业三年行动计划，以“光伏+”移民产业示范村建设为抓手，推动全市移民产业转型发展。积极引导各县市区与怀化高新区、县工业园战略合作，大力发展屋顶光伏。2024年，投入光伏产业7000万元，实现收益700万元以上，全市70个移民村每村每年村集体经济收入增加10万元，持续分红25年以上。怀化高新区移民光伏产业园投资5560万元、装机容量14兆瓦的光伏项目全面完工。会同县投入1480万元，在水坪溪产业园区建设装机容量3.8兆瓦的移民光伏电站，已并网发电。怀化创新“光伏+”移民产业发展的做法，在全省移民工作会上作典型经验发言，中宣部《学习强国》、《中国水利报》等媒体予以推介。</w:t>
      </w:r>
      <w:r>
        <w:rPr>
          <w:rFonts w:hint="eastAsia" w:ascii="仿宋" w:hAnsi="仿宋" w:eastAsia="仿宋" w:cs="仿宋"/>
          <w:b/>
          <w:bCs/>
          <w:color w:val="auto"/>
          <w:spacing w:val="0"/>
          <w:sz w:val="32"/>
          <w:szCs w:val="32"/>
          <w:lang w:val="en-US" w:eastAsia="zh-CN"/>
        </w:rPr>
        <w:t>三是抓实移民安置显担当。</w:t>
      </w:r>
      <w:r>
        <w:rPr>
          <w:rFonts w:hint="eastAsia" w:ascii="仿宋" w:hAnsi="仿宋" w:eastAsia="仿宋" w:cs="仿宋"/>
          <w:color w:val="auto"/>
          <w:spacing w:val="0"/>
          <w:sz w:val="32"/>
          <w:szCs w:val="32"/>
          <w:lang w:val="en-US" w:eastAsia="zh-CN"/>
        </w:rPr>
        <w:t>主动介入辰溪抽水蓄能电站、㵲水大型灌区等重点工程的前期工作，按时完成建设征地实物调查工作，参与编制建设征地移民安置规划大纲和移民安置规划报告。按要求完成工程项目批准前建设征地移民安置相关的所有工作，为保障省重点项目实施打下坚实基础。《㵲水大型灌区工程建设征地移民安置规划大纲》《怀化市㵲水大型灌区工程建设征地移民安置规划报告》分别获省人民政府批复、获省水利厅批复，㵲水大型灌区工程项目已列入国家发改委“双重”项目和42项水利标志性工程项目名单。</w:t>
      </w:r>
      <w:r>
        <w:rPr>
          <w:rFonts w:hint="eastAsia" w:ascii="仿宋" w:hAnsi="仿宋" w:eastAsia="仿宋" w:cs="仿宋"/>
          <w:b/>
          <w:bCs/>
          <w:color w:val="auto"/>
          <w:spacing w:val="0"/>
          <w:sz w:val="32"/>
          <w:szCs w:val="32"/>
          <w:lang w:val="en-US" w:eastAsia="zh-CN"/>
        </w:rPr>
        <w:t>四是强化资金项目监管保安全。</w:t>
      </w:r>
      <w:r>
        <w:rPr>
          <w:rFonts w:hint="eastAsia" w:ascii="仿宋" w:hAnsi="仿宋" w:eastAsia="仿宋" w:cs="仿宋"/>
          <w:color w:val="auto"/>
          <w:spacing w:val="0"/>
          <w:sz w:val="32"/>
          <w:szCs w:val="32"/>
          <w:lang w:val="en-US" w:eastAsia="zh-CN"/>
        </w:rPr>
        <w:t>始终将移民存量资金消减作为重要政治任务抓在手上，确保移民资金安全与高效使用。进一步完善移民资金使用监督检查和绩效评价等各项监管措施，对沅陵县等7个县市2023年度大中型水库移民后期扶持政策实施情况进行了监督检查，实地抽查项目57个，发现问题50个，提出监督检查意见50条，下发整改通知，跟踪落实整改情况。加大督查力度，先后2次以市政府督查室名义给各县市区人民政府下发督查通报，成效明显。全市存量资金由年初3.59亿消减至1.26亿，全年共消减存量资金2.33亿元。</w:t>
      </w:r>
    </w:p>
    <w:p>
      <w:pPr>
        <w:keepNext w:val="0"/>
        <w:keepLines w:val="0"/>
        <w:pageBreakBefore w:val="0"/>
        <w:widowControl/>
        <w:shd w:val="clear" w:color="auto"/>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bCs/>
          <w:color w:val="auto"/>
          <w:spacing w:val="0"/>
          <w:sz w:val="32"/>
          <w:szCs w:val="32"/>
          <w:lang w:val="en-US" w:eastAsia="zh-CN"/>
        </w:rPr>
        <w:t>(3).服务移民不遗余力。</w:t>
      </w:r>
      <w:r>
        <w:rPr>
          <w:rFonts w:hint="eastAsia" w:ascii="仿宋" w:hAnsi="仿宋" w:eastAsia="仿宋" w:cs="仿宋"/>
          <w:color w:val="auto"/>
          <w:spacing w:val="0"/>
          <w:sz w:val="32"/>
          <w:szCs w:val="32"/>
          <w:lang w:val="en-US" w:eastAsia="zh-CN"/>
        </w:rPr>
        <w:t>坚持以移民为中心，多举措并举解难题办实事。切实解决库区群众安全出行和消除水上交通重大安全隐患,帮助库区群众解决出行难、乘船难、运输难问题,安排400万元支持托口库区洪江市托口镇三里村、杨柳村、阳岫村、马田村,会同县漠滨乡金子村、洞头冲村,芷江县碧涌镇清江村、大龙村等8个移民村购置符合航道升级要求的标准化农村客运船舶。协调解决托口水电站滑坡塌岸等历史遗留问题，召开托口水电站芷江县库区受库水影响滑坡塌岸治理协调会议，明确托口水电站芷江库区滑坡塌岸治理工程项目所需资金77万元，由怀化沅江电力开发有限责任公司出资解决。攻坚克难解决历史遗留问题，推进平安库区建设维稳定。重点对中方县铜湾集镇防洪堤加固工程、靖州二凉亭园艺示范场安置移民土地及房屋办证等问题进行督促指导,依法化解库区矛盾。全年收到上级交办函、市长热线电话、群众来信来访共190件/452人次，已办结190件/452人次，办结率100%。信访量同比去年下降30%，没有发生赴省进京上访的情况。认真抓好在建工程、避险搬迁安全生产工作,落实各项安全管理措施，加强重点部位隐患排查，加强地质灾害防范工作,完善防汛度汛工作预案,确保库区一方安澜。</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黑体" w:hAnsi="黑体" w:eastAsia="黑体" w:cs="黑体"/>
          <w:b w:val="0"/>
          <w:bCs w:val="0"/>
          <w:i w:val="0"/>
          <w:iCs w:val="0"/>
          <w:caps w:val="0"/>
          <w:color w:val="auto"/>
          <w:spacing w:val="11"/>
          <w:sz w:val="32"/>
          <w:szCs w:val="32"/>
        </w:rPr>
      </w:pPr>
      <w:r>
        <w:rPr>
          <w:rFonts w:hint="eastAsia" w:ascii="黑体" w:hAnsi="黑体" w:eastAsia="黑体" w:cs="黑体"/>
          <w:b w:val="0"/>
          <w:bCs w:val="0"/>
          <w:i w:val="0"/>
          <w:iCs w:val="0"/>
          <w:caps w:val="0"/>
          <w:color w:val="auto"/>
          <w:spacing w:val="11"/>
          <w:sz w:val="32"/>
          <w:szCs w:val="32"/>
          <w:shd w:val="clear" w:fill="FFFFFF"/>
          <w:lang w:eastAsia="zh-CN"/>
        </w:rPr>
        <w:t>九</w:t>
      </w:r>
      <w:r>
        <w:rPr>
          <w:rFonts w:hint="eastAsia" w:ascii="黑体" w:hAnsi="黑体" w:eastAsia="黑体" w:cs="黑体"/>
          <w:b w:val="0"/>
          <w:bCs w:val="0"/>
          <w:i w:val="0"/>
          <w:iCs w:val="0"/>
          <w:caps w:val="0"/>
          <w:color w:val="auto"/>
          <w:spacing w:val="11"/>
          <w:sz w:val="32"/>
          <w:szCs w:val="32"/>
          <w:shd w:val="clear" w:fill="FFFFFF"/>
        </w:rPr>
        <w:t>、存在的问题及原因分析</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val="0"/>
          <w:bCs w:val="0"/>
          <w:color w:val="auto"/>
          <w:spacing w:val="11"/>
          <w:sz w:val="32"/>
          <w:szCs w:val="32"/>
          <w:highlight w:val="none"/>
          <w:lang w:eastAsia="zh-CN"/>
        </w:rPr>
        <w:t>1</w:t>
      </w:r>
      <w:r>
        <w:rPr>
          <w:rFonts w:hint="eastAsia" w:ascii="仿宋" w:hAnsi="仿宋" w:eastAsia="仿宋" w:cs="仿宋"/>
          <w:b w:val="0"/>
          <w:bCs w:val="0"/>
          <w:color w:val="auto"/>
          <w:spacing w:val="11"/>
          <w:sz w:val="32"/>
          <w:szCs w:val="32"/>
          <w:highlight w:val="none"/>
          <w:lang w:val="en-US" w:eastAsia="zh-CN"/>
        </w:rPr>
        <w:t>.</w:t>
      </w:r>
      <w:r>
        <w:rPr>
          <w:rFonts w:hint="eastAsia" w:ascii="仿宋" w:hAnsi="仿宋" w:eastAsia="仿宋" w:cs="仿宋"/>
          <w:b w:val="0"/>
          <w:bCs w:val="0"/>
          <w:color w:val="auto"/>
          <w:spacing w:val="11"/>
          <w:sz w:val="32"/>
          <w:szCs w:val="32"/>
          <w:highlight w:val="none"/>
          <w:lang w:eastAsia="zh-CN"/>
        </w:rPr>
        <w:t>全面预算绩效管理工作经验不太丰富，绩效管理专业人员匮乏，规范管理有盲点。</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val="0"/>
          <w:bCs w:val="0"/>
          <w:color w:val="auto"/>
          <w:spacing w:val="11"/>
          <w:sz w:val="32"/>
          <w:szCs w:val="32"/>
          <w:highlight w:val="none"/>
          <w:lang w:eastAsia="zh-CN"/>
        </w:rPr>
        <w:t>2</w:t>
      </w:r>
      <w:r>
        <w:rPr>
          <w:rFonts w:hint="eastAsia" w:ascii="仿宋" w:hAnsi="仿宋" w:eastAsia="仿宋" w:cs="仿宋"/>
          <w:b w:val="0"/>
          <w:bCs w:val="0"/>
          <w:color w:val="auto"/>
          <w:spacing w:val="11"/>
          <w:sz w:val="32"/>
          <w:szCs w:val="32"/>
          <w:highlight w:val="none"/>
          <w:lang w:val="en-US" w:eastAsia="zh-CN"/>
        </w:rPr>
        <w:t>.</w:t>
      </w:r>
      <w:r>
        <w:rPr>
          <w:rFonts w:hint="eastAsia" w:ascii="仿宋" w:hAnsi="仿宋" w:eastAsia="仿宋" w:cs="仿宋"/>
          <w:b w:val="0"/>
          <w:bCs w:val="0"/>
          <w:color w:val="auto"/>
          <w:spacing w:val="11"/>
          <w:sz w:val="32"/>
          <w:szCs w:val="32"/>
          <w:highlight w:val="none"/>
          <w:lang w:eastAsia="zh-CN"/>
        </w:rPr>
        <w:t>部门预算编制的科学化、精细化有待提高。目前，预算编制要求经济科目细化到款级，但在实际编制过程中，由于有的预算支出项目具有预测性和不确定性等特点，造成实际支出与预算编制不太相符。</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黑体" w:hAnsi="黑体" w:eastAsia="黑体" w:cs="黑体"/>
          <w:b w:val="0"/>
          <w:bCs w:val="0"/>
          <w:i w:val="0"/>
          <w:iCs w:val="0"/>
          <w:caps w:val="0"/>
          <w:color w:val="auto"/>
          <w:spacing w:val="11"/>
          <w:sz w:val="32"/>
          <w:szCs w:val="32"/>
        </w:rPr>
      </w:pPr>
      <w:r>
        <w:rPr>
          <w:rFonts w:hint="eastAsia" w:ascii="黑体" w:hAnsi="黑体" w:eastAsia="黑体" w:cs="黑体"/>
          <w:b w:val="0"/>
          <w:bCs w:val="0"/>
          <w:i w:val="0"/>
          <w:iCs w:val="0"/>
          <w:caps w:val="0"/>
          <w:color w:val="auto"/>
          <w:spacing w:val="11"/>
          <w:sz w:val="32"/>
          <w:szCs w:val="32"/>
          <w:shd w:val="clear" w:fill="FFFFFF"/>
          <w:lang w:eastAsia="zh-CN"/>
        </w:rPr>
        <w:t>十</w:t>
      </w:r>
      <w:r>
        <w:rPr>
          <w:rFonts w:hint="eastAsia" w:ascii="黑体" w:hAnsi="黑体" w:eastAsia="黑体" w:cs="黑体"/>
          <w:b w:val="0"/>
          <w:bCs w:val="0"/>
          <w:i w:val="0"/>
          <w:iCs w:val="0"/>
          <w:caps w:val="0"/>
          <w:color w:val="auto"/>
          <w:spacing w:val="11"/>
          <w:sz w:val="32"/>
          <w:szCs w:val="32"/>
          <w:shd w:val="clear" w:fill="FFFFFF"/>
        </w:rPr>
        <w:t>、下一步改进措施</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val="0"/>
          <w:bCs w:val="0"/>
          <w:color w:val="auto"/>
          <w:spacing w:val="11"/>
          <w:sz w:val="32"/>
          <w:szCs w:val="32"/>
          <w:highlight w:val="none"/>
          <w:lang w:eastAsia="zh-CN"/>
        </w:rPr>
        <w:t>1</w:t>
      </w:r>
      <w:r>
        <w:rPr>
          <w:rFonts w:hint="eastAsia" w:ascii="仿宋" w:hAnsi="仿宋" w:eastAsia="仿宋" w:cs="仿宋"/>
          <w:b w:val="0"/>
          <w:bCs w:val="0"/>
          <w:color w:val="auto"/>
          <w:spacing w:val="11"/>
          <w:sz w:val="32"/>
          <w:szCs w:val="32"/>
          <w:highlight w:val="none"/>
          <w:lang w:val="en-US" w:eastAsia="zh-CN"/>
        </w:rPr>
        <w:t>.</w:t>
      </w:r>
      <w:r>
        <w:rPr>
          <w:rFonts w:hint="eastAsia" w:ascii="仿宋" w:hAnsi="仿宋" w:eastAsia="仿宋" w:cs="仿宋"/>
          <w:b w:val="0"/>
          <w:bCs w:val="0"/>
          <w:color w:val="auto"/>
          <w:spacing w:val="11"/>
          <w:sz w:val="32"/>
          <w:szCs w:val="32"/>
          <w:highlight w:val="none"/>
          <w:lang w:eastAsia="zh-CN"/>
        </w:rPr>
        <w:t>我们将更加全面、细致地制定绩效目标，进一步严肃财经纪律，在实施过程中遵循“实事求是、尊重客观、力求精准”的原则，努力使项目资金落到实处。</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val="0"/>
          <w:bCs w:val="0"/>
          <w:color w:val="auto"/>
          <w:spacing w:val="11"/>
          <w:sz w:val="32"/>
          <w:szCs w:val="32"/>
          <w:highlight w:val="none"/>
          <w:lang w:eastAsia="zh-CN"/>
        </w:rPr>
        <w:t>2</w:t>
      </w:r>
      <w:r>
        <w:rPr>
          <w:rFonts w:hint="eastAsia" w:ascii="仿宋" w:hAnsi="仿宋" w:eastAsia="仿宋" w:cs="仿宋"/>
          <w:b w:val="0"/>
          <w:bCs w:val="0"/>
          <w:color w:val="auto"/>
          <w:spacing w:val="11"/>
          <w:sz w:val="32"/>
          <w:szCs w:val="32"/>
          <w:highlight w:val="none"/>
          <w:lang w:val="en-US" w:eastAsia="zh-CN"/>
        </w:rPr>
        <w:t>.</w:t>
      </w:r>
      <w:r>
        <w:rPr>
          <w:rFonts w:hint="eastAsia" w:ascii="仿宋" w:hAnsi="仿宋" w:eastAsia="仿宋" w:cs="仿宋"/>
          <w:b w:val="0"/>
          <w:bCs w:val="0"/>
          <w:color w:val="auto"/>
          <w:spacing w:val="11"/>
          <w:sz w:val="32"/>
          <w:szCs w:val="32"/>
          <w:highlight w:val="none"/>
          <w:lang w:eastAsia="zh-CN"/>
        </w:rPr>
        <w:t>我们将落实内控制度，严肃执行“三重一大”的原则，深入开展政府购买社会化服务，切实引进社会化竞争机制，引进相关专业人才，保障项目在公开、公平、公正的监督环境中实施，有效节约项目资金，把有限的资金用在刀刃上。</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val="0"/>
          <w:bCs w:val="0"/>
          <w:color w:val="auto"/>
          <w:spacing w:val="11"/>
          <w:sz w:val="32"/>
          <w:szCs w:val="32"/>
          <w:highlight w:val="none"/>
          <w:lang w:eastAsia="zh-CN"/>
        </w:rPr>
        <w:t>3</w:t>
      </w:r>
      <w:r>
        <w:rPr>
          <w:rFonts w:hint="eastAsia" w:ascii="仿宋" w:hAnsi="仿宋" w:eastAsia="仿宋" w:cs="仿宋"/>
          <w:b w:val="0"/>
          <w:bCs w:val="0"/>
          <w:color w:val="auto"/>
          <w:spacing w:val="11"/>
          <w:sz w:val="32"/>
          <w:szCs w:val="32"/>
          <w:highlight w:val="none"/>
          <w:lang w:val="en-US" w:eastAsia="zh-CN"/>
        </w:rPr>
        <w:t>.</w:t>
      </w:r>
      <w:r>
        <w:rPr>
          <w:rFonts w:hint="eastAsia" w:ascii="仿宋" w:hAnsi="仿宋" w:eastAsia="仿宋" w:cs="仿宋"/>
          <w:b w:val="0"/>
          <w:bCs w:val="0"/>
          <w:color w:val="auto"/>
          <w:spacing w:val="11"/>
          <w:sz w:val="32"/>
          <w:szCs w:val="32"/>
          <w:highlight w:val="none"/>
          <w:lang w:eastAsia="zh-CN"/>
        </w:rPr>
        <w:t>加强对财政资金的拨付和使用管理，加强对财务干</w:t>
      </w:r>
      <w:bookmarkStart w:id="3" w:name="_GoBack"/>
      <w:bookmarkEnd w:id="3"/>
      <w:r>
        <w:rPr>
          <w:rFonts w:hint="eastAsia" w:ascii="仿宋" w:hAnsi="仿宋" w:eastAsia="仿宋" w:cs="仿宋"/>
          <w:b w:val="0"/>
          <w:bCs w:val="0"/>
          <w:color w:val="auto"/>
          <w:spacing w:val="11"/>
          <w:sz w:val="32"/>
          <w:szCs w:val="32"/>
          <w:highlight w:val="none"/>
          <w:lang w:eastAsia="zh-CN"/>
        </w:rPr>
        <w:t>部职工的业务培训，强化预算管理意识，严格执行预算，做到专账核算，确保专款专用。</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黑体" w:hAnsi="黑体" w:eastAsia="黑体" w:cs="黑体"/>
          <w:b w:val="0"/>
          <w:bCs w:val="0"/>
          <w:i w:val="0"/>
          <w:iCs w:val="0"/>
          <w:caps w:val="0"/>
          <w:color w:val="auto"/>
          <w:spacing w:val="11"/>
          <w:sz w:val="32"/>
          <w:szCs w:val="32"/>
        </w:rPr>
      </w:pPr>
      <w:r>
        <w:rPr>
          <w:rFonts w:hint="eastAsia" w:ascii="黑体" w:hAnsi="黑体" w:eastAsia="黑体" w:cs="黑体"/>
          <w:b w:val="0"/>
          <w:bCs w:val="0"/>
          <w:i w:val="0"/>
          <w:iCs w:val="0"/>
          <w:caps w:val="0"/>
          <w:color w:val="auto"/>
          <w:spacing w:val="11"/>
          <w:sz w:val="32"/>
          <w:szCs w:val="32"/>
          <w:shd w:val="clear" w:fill="FFFFFF"/>
          <w:lang w:eastAsia="zh-CN"/>
        </w:rPr>
        <w:t>十一</w:t>
      </w:r>
      <w:r>
        <w:rPr>
          <w:rFonts w:hint="eastAsia" w:ascii="黑体" w:hAnsi="黑体" w:eastAsia="黑体" w:cs="黑体"/>
          <w:b w:val="0"/>
          <w:bCs w:val="0"/>
          <w:i w:val="0"/>
          <w:iCs w:val="0"/>
          <w:caps w:val="0"/>
          <w:color w:val="auto"/>
          <w:spacing w:val="11"/>
          <w:sz w:val="32"/>
          <w:szCs w:val="32"/>
          <w:shd w:val="clear" w:fill="FFFFFF"/>
        </w:rPr>
        <w:t>、</w:t>
      </w:r>
      <w:r>
        <w:rPr>
          <w:rFonts w:hint="eastAsia" w:ascii="黑体" w:hAnsi="黑体" w:eastAsia="黑体" w:cs="黑体"/>
          <w:b w:val="0"/>
          <w:bCs w:val="0"/>
          <w:i w:val="0"/>
          <w:iCs w:val="0"/>
          <w:caps w:val="0"/>
          <w:color w:val="auto"/>
          <w:spacing w:val="11"/>
          <w:sz w:val="32"/>
          <w:szCs w:val="32"/>
          <w:shd w:val="clear" w:fill="FFFFFF"/>
          <w:lang w:eastAsia="zh-CN"/>
        </w:rPr>
        <w:t>绩效自评结果拟应用和公开</w:t>
      </w:r>
      <w:r>
        <w:rPr>
          <w:rFonts w:hint="eastAsia" w:ascii="黑体" w:hAnsi="黑体" w:eastAsia="黑体" w:cs="黑体"/>
          <w:b w:val="0"/>
          <w:bCs w:val="0"/>
          <w:i w:val="0"/>
          <w:iCs w:val="0"/>
          <w:caps w:val="0"/>
          <w:color w:val="auto"/>
          <w:spacing w:val="11"/>
          <w:sz w:val="32"/>
          <w:szCs w:val="32"/>
          <w:shd w:val="clear" w:fill="FFFFFF"/>
        </w:rPr>
        <w:t>情况</w:t>
      </w:r>
    </w:p>
    <w:p>
      <w:pPr>
        <w:widowControl w:val="0"/>
        <w:kinsoku/>
        <w:autoSpaceDE/>
        <w:autoSpaceDN/>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2024年度我单位整体支出</w:t>
      </w:r>
      <w:r>
        <w:rPr>
          <w:rFonts w:hint="eastAsia" w:ascii="仿宋" w:hAnsi="仿宋" w:eastAsia="仿宋" w:cs="仿宋"/>
          <w:color w:val="auto"/>
          <w:sz w:val="32"/>
          <w:szCs w:val="32"/>
          <w:lang w:eastAsia="zh-CN"/>
        </w:rPr>
        <w:t>达到预期绩效目标。</w:t>
      </w:r>
    </w:p>
    <w:p>
      <w:pPr>
        <w:widowControl w:val="0"/>
        <w:kinsoku/>
        <w:autoSpaceDE/>
        <w:autoSpaceDN/>
        <w:adjustRightInd/>
        <w:snapToGrid/>
        <w:spacing w:line="560" w:lineRule="exact"/>
        <w:ind w:firstLine="640" w:firstLineChars="200"/>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color w:val="auto"/>
          <w:sz w:val="32"/>
          <w:szCs w:val="32"/>
          <w:lang w:eastAsia="zh-CN"/>
        </w:rPr>
        <w:t>建议：</w:t>
      </w:r>
      <w:r>
        <w:rPr>
          <w:rFonts w:hint="eastAsia" w:ascii="仿宋" w:hAnsi="仿宋" w:eastAsia="仿宋" w:cs="仿宋"/>
          <w:bCs/>
          <w:color w:val="auto"/>
          <w:sz w:val="32"/>
          <w:szCs w:val="32"/>
          <w:lang w:eastAsia="zh-CN"/>
        </w:rPr>
        <w:t>绩效自评结果作为我单位改进管理，安排以后年度预算的重要参考依据，把绩效自评结果依法予以公开。</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84" w:firstLineChars="200"/>
        <w:jc w:val="both"/>
        <w:textAlignment w:val="auto"/>
        <w:rPr>
          <w:rFonts w:hint="eastAsia" w:ascii="黑体" w:hAnsi="黑体" w:eastAsia="黑体" w:cs="黑体"/>
          <w:b w:val="0"/>
          <w:bCs w:val="0"/>
          <w:i w:val="0"/>
          <w:iCs w:val="0"/>
          <w:caps w:val="0"/>
          <w:color w:val="auto"/>
          <w:spacing w:val="11"/>
          <w:sz w:val="32"/>
          <w:szCs w:val="32"/>
        </w:rPr>
      </w:pPr>
      <w:r>
        <w:rPr>
          <w:rFonts w:hint="eastAsia" w:ascii="黑体" w:hAnsi="黑体" w:eastAsia="黑体" w:cs="黑体"/>
          <w:b w:val="0"/>
          <w:bCs w:val="0"/>
          <w:i w:val="0"/>
          <w:iCs w:val="0"/>
          <w:caps w:val="0"/>
          <w:color w:val="auto"/>
          <w:spacing w:val="11"/>
          <w:sz w:val="32"/>
          <w:szCs w:val="32"/>
          <w:shd w:val="clear" w:fill="FFFFFF"/>
          <w:lang w:eastAsia="zh-CN"/>
        </w:rPr>
        <w:t>十二</w:t>
      </w:r>
      <w:r>
        <w:rPr>
          <w:rFonts w:hint="eastAsia" w:ascii="黑体" w:hAnsi="黑体" w:eastAsia="黑体" w:cs="黑体"/>
          <w:b w:val="0"/>
          <w:bCs w:val="0"/>
          <w:i w:val="0"/>
          <w:iCs w:val="0"/>
          <w:caps w:val="0"/>
          <w:color w:val="auto"/>
          <w:spacing w:val="11"/>
          <w:sz w:val="32"/>
          <w:szCs w:val="32"/>
          <w:shd w:val="clear" w:fill="FFFFFF"/>
        </w:rPr>
        <w:t>、其他需要说明的情况</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84" w:firstLineChars="200"/>
        <w:jc w:val="both"/>
        <w:textAlignment w:val="auto"/>
        <w:rPr>
          <w:rFonts w:hint="eastAsia" w:ascii="仿宋" w:hAnsi="仿宋" w:eastAsia="仿宋" w:cs="仿宋"/>
          <w:b w:val="0"/>
          <w:bCs w:val="0"/>
          <w:color w:val="auto"/>
          <w:spacing w:val="11"/>
          <w:sz w:val="32"/>
          <w:szCs w:val="32"/>
          <w:highlight w:val="none"/>
          <w:lang w:eastAsia="zh-CN"/>
        </w:rPr>
      </w:pPr>
      <w:r>
        <w:rPr>
          <w:rFonts w:hint="eastAsia" w:ascii="仿宋" w:hAnsi="仿宋" w:eastAsia="仿宋" w:cs="仿宋"/>
          <w:b w:val="0"/>
          <w:bCs w:val="0"/>
          <w:color w:val="auto"/>
          <w:spacing w:val="11"/>
          <w:sz w:val="32"/>
          <w:szCs w:val="32"/>
          <w:highlight w:val="none"/>
          <w:lang w:eastAsia="zh-CN"/>
        </w:rPr>
        <w:t>无。</w:t>
      </w:r>
    </w:p>
    <w:p>
      <w:pPr>
        <w:jc w:val="left"/>
        <w:rPr>
          <w:rFonts w:ascii="Times New Roman" w:hAnsi="Times New Roman" w:cs="Times New Roman"/>
          <w:color w:val="auto"/>
          <w:kern w:val="0"/>
          <w:sz w:val="32"/>
          <w:szCs w:val="32"/>
        </w:rPr>
      </w:pPr>
    </w:p>
    <w:sectPr>
      <w:headerReference r:id="rId6" w:type="default"/>
      <w:footerReference r:id="rId7" w:type="default"/>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方正书宋_GBK"/>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LNJWO7QAAAA&#10;BQEAAA8AAAAAAAAAAQAgAAAAOAAAAGRycy9kb3ducmV2LnhtbFBLAQIUABQAAAAIAIdO4kDZ+jDW&#10;DwIAAAcEAAAOAAAAAAAAAAEAIAAAADUBAABkcnMvZTJvRG9jLnhtbFBLBQYAAAAABgAGAFkBAAC2&#10;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BdxysBMCAAATBAAADgAAAAAAAAABACAAAAA1AQAAZHJzL2Uyb0RvYy54bWxQSwUGAAAAAAYABgBZ&#10;AQAAugUAAAAA&#10;">
              <v:fill on="f" focussize="0,0"/>
              <v:stroke on="f" weight="0.5pt"/>
              <v:imagedata o:title=""/>
              <o:lock v:ext="edit" aspectratio="f"/>
              <v:textbox inset="0mm,0mm,0mm,0mm" style="mso-fit-shape-to-text:t;">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330ADE"/>
    <w:multiLevelType w:val="singleLevel"/>
    <w:tmpl w:val="B0330ADE"/>
    <w:lvl w:ilvl="0" w:tentative="0">
      <w:start w:val="4"/>
      <w:numFmt w:val="chineseCounting"/>
      <w:suff w:val="nothing"/>
      <w:lvlText w:val="%1、"/>
      <w:lvlJc w:val="left"/>
      <w:rPr>
        <w:rFonts w:hint="eastAsia"/>
      </w:rPr>
    </w:lvl>
  </w:abstractNum>
  <w:abstractNum w:abstractNumId="1">
    <w:nsid w:val="DC793AB1"/>
    <w:multiLevelType w:val="singleLevel"/>
    <w:tmpl w:val="DC793AB1"/>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BA43B6F"/>
    <w:rsid w:val="2FDF85B8"/>
    <w:rsid w:val="2FFFEE04"/>
    <w:rsid w:val="32FA8245"/>
    <w:rsid w:val="34DF85B0"/>
    <w:rsid w:val="3B8F36BC"/>
    <w:rsid w:val="491FF225"/>
    <w:rsid w:val="4FFD214C"/>
    <w:rsid w:val="53FF82A3"/>
    <w:rsid w:val="5777D4F5"/>
    <w:rsid w:val="59DD8326"/>
    <w:rsid w:val="5B3F2162"/>
    <w:rsid w:val="5DEF592A"/>
    <w:rsid w:val="5FC6BB1E"/>
    <w:rsid w:val="5FF720F1"/>
    <w:rsid w:val="67FF5C0B"/>
    <w:rsid w:val="6EFC0924"/>
    <w:rsid w:val="6FB74722"/>
    <w:rsid w:val="6FEF8B7E"/>
    <w:rsid w:val="71A6591B"/>
    <w:rsid w:val="737D59BA"/>
    <w:rsid w:val="77C37683"/>
    <w:rsid w:val="79D19834"/>
    <w:rsid w:val="79FF515B"/>
    <w:rsid w:val="7CBF6837"/>
    <w:rsid w:val="7DCD8C8A"/>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36"/>
      <w:szCs w:val="48"/>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 w:type="paragraph" w:styleId="20">
    <w:name w:val="No Spacing"/>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1463</Words>
  <Characters>8342</Characters>
  <Lines>69</Lines>
  <Paragraphs>19</Paragraphs>
  <TotalTime>1</TotalTime>
  <ScaleCrop>false</ScaleCrop>
  <LinksUpToDate>false</LinksUpToDate>
  <CharactersWithSpaces>9786</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2025-08-19T10:17:00Z</dcterms:created>
  <dc:creator>李航 null</dc:creator>
  <cp:lastModifiedBy>greatwall</cp:lastModifiedBy>
  <cp:lastPrinted>2024-08-09T18:20:00Z</cp:lastPrinted>
  <dcterms:modified xsi:type="dcterms:W3CDTF">2025-09-19T23:08:51Z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BB7B6AA21D207914D6FDA268992A22D6</vt:lpwstr>
  </property>
</Properties>
</file>