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jc w:val="center"/>
        <w:rPr>
          <w:rFonts w:ascii="仿宋" w:hAnsi="仿宋" w:eastAsia="仿宋" w:cs="方正小标宋简体"/>
          <w:b/>
          <w:bCs/>
          <w:color w:val="auto"/>
          <w:kern w:val="0"/>
          <w:sz w:val="48"/>
          <w:szCs w:val="48"/>
        </w:rPr>
      </w:pPr>
      <w:r>
        <w:rPr>
          <w:rFonts w:hint="eastAsia" w:ascii="仿宋" w:hAnsi="仿宋" w:eastAsia="仿宋" w:cs="方正小标宋简体"/>
          <w:b/>
          <w:bCs/>
          <w:color w:val="auto"/>
          <w:kern w:val="0"/>
          <w:sz w:val="48"/>
          <w:szCs w:val="48"/>
        </w:rPr>
        <w:t>怀化市住房公积金管理中心2022年度部门预算公开说明</w:t>
      </w:r>
    </w:p>
    <w:p>
      <w:pPr>
        <w:widowControl/>
        <w:spacing w:line="600" w:lineRule="exact"/>
        <w:jc w:val="left"/>
        <w:rPr>
          <w:rFonts w:ascii="仿宋" w:hAnsi="仿宋" w:eastAsia="仿宋"/>
          <w:b/>
          <w:bCs/>
          <w:color w:val="auto"/>
          <w:kern w:val="0"/>
          <w:sz w:val="36"/>
          <w:szCs w:val="36"/>
        </w:rPr>
      </w:pPr>
    </w:p>
    <w:p>
      <w:pPr>
        <w:widowControl/>
        <w:spacing w:line="600" w:lineRule="exact"/>
        <w:jc w:val="center"/>
        <w:rPr>
          <w:rFonts w:ascii="黑体" w:hAnsi="黑体" w:eastAsia="黑体"/>
          <w:b/>
          <w:bCs/>
          <w:color w:val="auto"/>
          <w:kern w:val="0"/>
          <w:sz w:val="32"/>
          <w:szCs w:val="32"/>
        </w:rPr>
      </w:pPr>
      <w:r>
        <w:rPr>
          <w:rFonts w:hint="eastAsia" w:ascii="黑体" w:hAnsi="黑体" w:eastAsia="黑体"/>
          <w:b/>
          <w:bCs/>
          <w:color w:val="auto"/>
          <w:kern w:val="0"/>
          <w:sz w:val="32"/>
          <w:szCs w:val="32"/>
        </w:rPr>
        <w:t>目  录</w:t>
      </w:r>
    </w:p>
    <w:p>
      <w:pPr>
        <w:pStyle w:val="2"/>
        <w:shd w:val="clear" w:color="auto" w:fill="FFFFFF"/>
        <w:spacing w:before="0" w:beforeAutospacing="0" w:after="0" w:afterAutospacing="0" w:line="600" w:lineRule="exact"/>
        <w:ind w:firstLine="643" w:firstLineChars="200"/>
        <w:rPr>
          <w:rFonts w:ascii="黑体" w:hAnsi="黑体" w:eastAsia="黑体"/>
          <w:color w:val="auto"/>
          <w:sz w:val="32"/>
          <w:szCs w:val="32"/>
        </w:rPr>
      </w:pPr>
      <w:r>
        <w:rPr>
          <w:rStyle w:val="5"/>
          <w:rFonts w:hint="eastAsia" w:ascii="黑体" w:hAnsi="黑体" w:eastAsia="黑体"/>
          <w:color w:val="auto"/>
          <w:sz w:val="32"/>
          <w:szCs w:val="32"/>
        </w:rPr>
        <w:t>第一部分2022年部门预算说明</w:t>
      </w:r>
      <w:r>
        <w:rPr>
          <w:rFonts w:hint="eastAsia" w:ascii="黑体" w:hAnsi="黑体" w:eastAsia="黑体"/>
          <w:color w:val="auto"/>
          <w:sz w:val="32"/>
          <w:szCs w:val="32"/>
        </w:rPr>
        <w:t>  </w:t>
      </w:r>
    </w:p>
    <w:p>
      <w:pPr>
        <w:widowControl/>
        <w:spacing w:line="600" w:lineRule="exact"/>
        <w:ind w:firstLine="640" w:firstLineChars="200"/>
        <w:jc w:val="left"/>
        <w:rPr>
          <w:rFonts w:ascii="仿宋" w:hAnsi="仿宋" w:eastAsia="仿宋"/>
          <w:color w:val="auto"/>
          <w:kern w:val="0"/>
          <w:sz w:val="32"/>
          <w:szCs w:val="32"/>
        </w:rPr>
      </w:pPr>
      <w:r>
        <w:rPr>
          <w:rFonts w:ascii="仿宋" w:hAnsi="仿宋" w:eastAsia="仿宋"/>
          <w:color w:val="auto"/>
          <w:kern w:val="0"/>
          <w:sz w:val="32"/>
          <w:szCs w:val="32"/>
        </w:rPr>
        <w:t>一、部门</w:t>
      </w:r>
      <w:r>
        <w:rPr>
          <w:rFonts w:hint="eastAsia" w:ascii="仿宋" w:hAnsi="仿宋" w:eastAsia="仿宋"/>
          <w:color w:val="auto"/>
          <w:kern w:val="0"/>
          <w:sz w:val="32"/>
          <w:szCs w:val="32"/>
        </w:rPr>
        <w:t>基本概况</w:t>
      </w:r>
    </w:p>
    <w:p>
      <w:pPr>
        <w:widowControl/>
        <w:numPr>
          <w:ilvl w:val="0"/>
          <w:numId w:val="1"/>
        </w:numPr>
        <w:spacing w:line="600" w:lineRule="exact"/>
        <w:ind w:firstLine="640" w:firstLineChars="200"/>
        <w:jc w:val="left"/>
        <w:rPr>
          <w:rFonts w:ascii="仿宋" w:hAnsi="仿宋" w:eastAsia="仿宋"/>
          <w:color w:val="auto"/>
          <w:kern w:val="0"/>
          <w:sz w:val="32"/>
          <w:szCs w:val="32"/>
        </w:rPr>
      </w:pPr>
      <w:r>
        <w:rPr>
          <w:rFonts w:hint="eastAsia" w:ascii="仿宋" w:hAnsi="仿宋" w:eastAsia="仿宋"/>
          <w:color w:val="auto"/>
          <w:kern w:val="0"/>
          <w:sz w:val="32"/>
          <w:szCs w:val="32"/>
        </w:rPr>
        <w:t>部门预算单位构成</w:t>
      </w:r>
    </w:p>
    <w:p>
      <w:pPr>
        <w:widowControl/>
        <w:spacing w:line="600" w:lineRule="exact"/>
        <w:ind w:firstLine="640" w:firstLineChars="200"/>
        <w:jc w:val="left"/>
        <w:rPr>
          <w:rFonts w:ascii="仿宋" w:hAnsi="仿宋" w:eastAsia="仿宋"/>
          <w:color w:val="auto"/>
          <w:kern w:val="0"/>
          <w:sz w:val="32"/>
          <w:szCs w:val="32"/>
        </w:rPr>
      </w:pPr>
      <w:r>
        <w:rPr>
          <w:rFonts w:hint="eastAsia" w:ascii="仿宋" w:hAnsi="仿宋" w:eastAsia="仿宋"/>
          <w:color w:val="auto"/>
          <w:kern w:val="0"/>
          <w:sz w:val="32"/>
          <w:szCs w:val="32"/>
        </w:rPr>
        <w:t>三</w:t>
      </w:r>
      <w:r>
        <w:rPr>
          <w:rFonts w:ascii="仿宋" w:hAnsi="仿宋" w:eastAsia="仿宋"/>
          <w:color w:val="auto"/>
          <w:kern w:val="0"/>
          <w:sz w:val="32"/>
          <w:szCs w:val="32"/>
        </w:rPr>
        <w:t>、</w:t>
      </w:r>
      <w:r>
        <w:rPr>
          <w:rFonts w:hint="eastAsia" w:ascii="仿宋" w:hAnsi="仿宋" w:eastAsia="仿宋"/>
          <w:color w:val="auto"/>
          <w:kern w:val="0"/>
          <w:sz w:val="32"/>
          <w:szCs w:val="32"/>
        </w:rPr>
        <w:t>部门收支总体情况</w:t>
      </w:r>
    </w:p>
    <w:p>
      <w:pPr>
        <w:widowControl/>
        <w:numPr>
          <w:ilvl w:val="0"/>
          <w:numId w:val="2"/>
        </w:numPr>
        <w:spacing w:line="600" w:lineRule="exact"/>
        <w:ind w:firstLine="640" w:firstLineChars="200"/>
        <w:jc w:val="left"/>
        <w:rPr>
          <w:rFonts w:ascii="仿宋" w:hAnsi="仿宋" w:eastAsia="仿宋"/>
          <w:color w:val="auto"/>
          <w:kern w:val="0"/>
          <w:sz w:val="32"/>
          <w:szCs w:val="32"/>
        </w:rPr>
      </w:pPr>
      <w:r>
        <w:rPr>
          <w:rFonts w:hint="eastAsia" w:ascii="仿宋" w:hAnsi="仿宋" w:eastAsia="仿宋"/>
          <w:color w:val="auto"/>
          <w:kern w:val="0"/>
          <w:sz w:val="32"/>
          <w:szCs w:val="32"/>
        </w:rPr>
        <w:t>一般公共预算财政拨款支出情况</w:t>
      </w:r>
    </w:p>
    <w:p>
      <w:pPr>
        <w:widowControl/>
        <w:numPr>
          <w:ilvl w:val="0"/>
          <w:numId w:val="2"/>
        </w:numPr>
        <w:spacing w:line="600" w:lineRule="exact"/>
        <w:ind w:firstLine="640" w:firstLineChars="200"/>
        <w:jc w:val="left"/>
        <w:rPr>
          <w:rFonts w:ascii="仿宋" w:hAnsi="仿宋" w:eastAsia="仿宋"/>
          <w:color w:val="auto"/>
          <w:kern w:val="0"/>
          <w:sz w:val="32"/>
          <w:szCs w:val="32"/>
        </w:rPr>
      </w:pPr>
      <w:r>
        <w:rPr>
          <w:rFonts w:hint="eastAsia" w:ascii="仿宋" w:hAnsi="仿宋" w:eastAsia="仿宋"/>
          <w:color w:val="auto"/>
          <w:kern w:val="0"/>
          <w:sz w:val="32"/>
          <w:szCs w:val="32"/>
        </w:rPr>
        <w:t>政府性基金支出情况</w:t>
      </w:r>
    </w:p>
    <w:p>
      <w:pPr>
        <w:widowControl/>
        <w:spacing w:line="600" w:lineRule="exact"/>
        <w:ind w:firstLine="640" w:firstLineChars="200"/>
        <w:jc w:val="left"/>
        <w:rPr>
          <w:rFonts w:ascii="仿宋" w:hAnsi="仿宋" w:eastAsia="仿宋"/>
          <w:color w:val="auto"/>
          <w:kern w:val="0"/>
          <w:sz w:val="32"/>
          <w:szCs w:val="32"/>
        </w:rPr>
      </w:pPr>
      <w:r>
        <w:rPr>
          <w:rFonts w:hint="eastAsia" w:ascii="仿宋" w:hAnsi="仿宋" w:eastAsia="仿宋"/>
          <w:color w:val="auto"/>
          <w:kern w:val="0"/>
          <w:sz w:val="32"/>
          <w:szCs w:val="32"/>
        </w:rPr>
        <w:t>六、其他重要事项的情况说明</w:t>
      </w:r>
    </w:p>
    <w:p>
      <w:pPr>
        <w:widowControl/>
        <w:spacing w:line="600" w:lineRule="exact"/>
        <w:ind w:firstLine="640" w:firstLineChars="200"/>
        <w:jc w:val="left"/>
        <w:rPr>
          <w:rFonts w:ascii="仿宋" w:hAnsi="仿宋" w:eastAsia="仿宋"/>
          <w:color w:val="auto"/>
          <w:sz w:val="32"/>
          <w:szCs w:val="32"/>
        </w:rPr>
      </w:pPr>
      <w:r>
        <w:rPr>
          <w:rFonts w:hint="eastAsia" w:ascii="仿宋" w:hAnsi="仿宋" w:eastAsia="仿宋" w:cs="黑体"/>
          <w:color w:val="auto"/>
          <w:sz w:val="32"/>
          <w:szCs w:val="32"/>
        </w:rPr>
        <w:t>七、专业名词</w:t>
      </w:r>
      <w:r>
        <w:rPr>
          <w:rFonts w:hint="eastAsia" w:ascii="仿宋" w:hAnsi="仿宋" w:eastAsia="仿宋"/>
          <w:color w:val="auto"/>
          <w:sz w:val="32"/>
          <w:szCs w:val="32"/>
        </w:rPr>
        <w:t>解释</w:t>
      </w:r>
    </w:p>
    <w:p>
      <w:pPr>
        <w:pStyle w:val="2"/>
        <w:shd w:val="clear" w:color="auto" w:fill="FFFFFF"/>
        <w:spacing w:before="0" w:beforeAutospacing="0" w:after="0" w:afterAutospacing="0" w:line="600" w:lineRule="exact"/>
        <w:ind w:firstLine="643" w:firstLineChars="200"/>
        <w:rPr>
          <w:rFonts w:ascii="黑体" w:hAnsi="黑体" w:eastAsia="黑体"/>
          <w:color w:val="auto"/>
          <w:sz w:val="32"/>
          <w:szCs w:val="32"/>
        </w:rPr>
      </w:pPr>
      <w:r>
        <w:rPr>
          <w:rStyle w:val="5"/>
          <w:rFonts w:hint="eastAsia" w:ascii="黑体" w:hAnsi="黑体" w:eastAsia="黑体"/>
          <w:color w:val="auto"/>
          <w:sz w:val="32"/>
          <w:szCs w:val="32"/>
        </w:rPr>
        <w:t>第二部分 2022年部门预算表</w:t>
      </w:r>
      <w:r>
        <w:rPr>
          <w:rFonts w:hint="eastAsia" w:ascii="黑体" w:hAnsi="黑体" w:eastAsia="黑体"/>
          <w:color w:val="auto"/>
          <w:sz w:val="32"/>
          <w:szCs w:val="32"/>
        </w:rPr>
        <w:t>  </w:t>
      </w:r>
    </w:p>
    <w:p>
      <w:pPr>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1.</w:t>
      </w:r>
      <w:r>
        <w:rPr>
          <w:rFonts w:ascii="仿宋" w:hAnsi="仿宋" w:eastAsia="仿宋"/>
          <w:color w:val="auto"/>
          <w:sz w:val="32"/>
          <w:szCs w:val="32"/>
        </w:rPr>
        <w:t>收支</w:t>
      </w:r>
      <w:r>
        <w:rPr>
          <w:rFonts w:hint="eastAsia" w:ascii="仿宋" w:hAnsi="仿宋" w:eastAsia="仿宋"/>
          <w:color w:val="auto"/>
          <w:sz w:val="32"/>
          <w:szCs w:val="32"/>
        </w:rPr>
        <w:t>预算</w:t>
      </w:r>
      <w:r>
        <w:rPr>
          <w:rFonts w:ascii="仿宋" w:hAnsi="仿宋" w:eastAsia="仿宋"/>
          <w:color w:val="auto"/>
          <w:sz w:val="32"/>
          <w:szCs w:val="32"/>
        </w:rPr>
        <w:t>总表</w:t>
      </w:r>
    </w:p>
    <w:p>
      <w:pPr>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2.</w:t>
      </w:r>
      <w:r>
        <w:rPr>
          <w:rFonts w:ascii="仿宋" w:hAnsi="仿宋" w:eastAsia="仿宋"/>
          <w:color w:val="auto"/>
          <w:sz w:val="32"/>
          <w:szCs w:val="32"/>
        </w:rPr>
        <w:t>收入</w:t>
      </w:r>
      <w:r>
        <w:rPr>
          <w:rFonts w:hint="eastAsia" w:ascii="仿宋" w:hAnsi="仿宋" w:eastAsia="仿宋"/>
          <w:color w:val="auto"/>
          <w:sz w:val="32"/>
          <w:szCs w:val="32"/>
        </w:rPr>
        <w:t>预算总</w:t>
      </w:r>
      <w:r>
        <w:rPr>
          <w:rFonts w:ascii="仿宋" w:hAnsi="仿宋" w:eastAsia="仿宋"/>
          <w:color w:val="auto"/>
          <w:sz w:val="32"/>
          <w:szCs w:val="32"/>
        </w:rPr>
        <w:t>表</w:t>
      </w:r>
    </w:p>
    <w:p>
      <w:pPr>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3.</w:t>
      </w:r>
      <w:r>
        <w:rPr>
          <w:rFonts w:ascii="仿宋" w:hAnsi="仿宋" w:eastAsia="仿宋"/>
          <w:color w:val="auto"/>
          <w:sz w:val="32"/>
          <w:szCs w:val="32"/>
        </w:rPr>
        <w:t>支出</w:t>
      </w:r>
      <w:r>
        <w:rPr>
          <w:rFonts w:hint="eastAsia" w:ascii="仿宋" w:hAnsi="仿宋" w:eastAsia="仿宋"/>
          <w:color w:val="auto"/>
          <w:sz w:val="32"/>
          <w:szCs w:val="32"/>
        </w:rPr>
        <w:t>预算总</w:t>
      </w:r>
      <w:r>
        <w:rPr>
          <w:rFonts w:ascii="仿宋" w:hAnsi="仿宋" w:eastAsia="仿宋"/>
          <w:color w:val="auto"/>
          <w:sz w:val="32"/>
          <w:szCs w:val="32"/>
        </w:rPr>
        <w:t>表</w:t>
      </w:r>
    </w:p>
    <w:p>
      <w:pPr>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4.</w:t>
      </w:r>
      <w:r>
        <w:rPr>
          <w:rFonts w:ascii="仿宋" w:hAnsi="仿宋" w:eastAsia="仿宋"/>
          <w:color w:val="auto"/>
          <w:sz w:val="32"/>
          <w:szCs w:val="32"/>
        </w:rPr>
        <w:t>财政拨款收支</w:t>
      </w:r>
      <w:r>
        <w:rPr>
          <w:rFonts w:hint="eastAsia" w:ascii="仿宋" w:hAnsi="仿宋" w:eastAsia="仿宋"/>
          <w:color w:val="auto"/>
          <w:sz w:val="32"/>
          <w:szCs w:val="32"/>
        </w:rPr>
        <w:t>预算</w:t>
      </w:r>
      <w:r>
        <w:rPr>
          <w:rFonts w:ascii="仿宋" w:hAnsi="仿宋" w:eastAsia="仿宋"/>
          <w:color w:val="auto"/>
          <w:sz w:val="32"/>
          <w:szCs w:val="32"/>
        </w:rPr>
        <w:t>总表</w:t>
      </w:r>
    </w:p>
    <w:p>
      <w:pPr>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5.本年</w:t>
      </w:r>
      <w:r>
        <w:rPr>
          <w:rFonts w:ascii="仿宋" w:hAnsi="仿宋" w:eastAsia="仿宋"/>
          <w:color w:val="auto"/>
          <w:sz w:val="32"/>
          <w:szCs w:val="32"/>
        </w:rPr>
        <w:t>一般公共预算支出</w:t>
      </w:r>
      <w:r>
        <w:rPr>
          <w:rFonts w:hint="eastAsia" w:ascii="仿宋" w:hAnsi="仿宋" w:eastAsia="仿宋"/>
          <w:color w:val="auto"/>
          <w:sz w:val="32"/>
          <w:szCs w:val="32"/>
        </w:rPr>
        <w:t>预算</w:t>
      </w:r>
      <w:r>
        <w:rPr>
          <w:rFonts w:ascii="仿宋" w:hAnsi="仿宋" w:eastAsia="仿宋"/>
          <w:color w:val="auto"/>
          <w:sz w:val="32"/>
          <w:szCs w:val="32"/>
        </w:rPr>
        <w:t>表</w:t>
      </w:r>
    </w:p>
    <w:p>
      <w:pPr>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6.本年一般公共预算基本支出预算表</w:t>
      </w:r>
    </w:p>
    <w:p>
      <w:pPr>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7.本年</w:t>
      </w:r>
      <w:r>
        <w:rPr>
          <w:rFonts w:ascii="仿宋" w:hAnsi="仿宋" w:eastAsia="仿宋"/>
          <w:color w:val="auto"/>
          <w:sz w:val="32"/>
          <w:szCs w:val="32"/>
        </w:rPr>
        <w:t>“三公”经费</w:t>
      </w:r>
      <w:bookmarkStart w:id="0" w:name="_GoBack"/>
      <w:bookmarkEnd w:id="0"/>
      <w:r>
        <w:rPr>
          <w:rFonts w:ascii="仿宋" w:hAnsi="仿宋" w:eastAsia="仿宋"/>
          <w:color w:val="auto"/>
          <w:sz w:val="32"/>
          <w:szCs w:val="32"/>
        </w:rPr>
        <w:t>支出</w:t>
      </w:r>
      <w:r>
        <w:rPr>
          <w:rFonts w:hint="eastAsia" w:ascii="仿宋" w:hAnsi="仿宋" w:eastAsia="仿宋"/>
          <w:color w:val="auto"/>
          <w:sz w:val="32"/>
          <w:szCs w:val="32"/>
        </w:rPr>
        <w:t>预算</w:t>
      </w:r>
      <w:r>
        <w:rPr>
          <w:rFonts w:ascii="仿宋" w:hAnsi="仿宋" w:eastAsia="仿宋"/>
          <w:color w:val="auto"/>
          <w:sz w:val="32"/>
          <w:szCs w:val="32"/>
        </w:rPr>
        <w:t>表</w:t>
      </w:r>
    </w:p>
    <w:p>
      <w:pPr>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8.本年</w:t>
      </w:r>
      <w:r>
        <w:rPr>
          <w:rFonts w:ascii="仿宋" w:hAnsi="仿宋" w:eastAsia="仿宋"/>
          <w:color w:val="auto"/>
          <w:sz w:val="32"/>
          <w:szCs w:val="32"/>
        </w:rPr>
        <w:t>政府性基金预算支</w:t>
      </w:r>
      <w:r>
        <w:rPr>
          <w:rFonts w:hint="eastAsia" w:ascii="仿宋" w:hAnsi="仿宋" w:eastAsia="仿宋"/>
          <w:color w:val="auto"/>
          <w:sz w:val="32"/>
          <w:szCs w:val="32"/>
        </w:rPr>
        <w:t>出预算</w:t>
      </w:r>
      <w:r>
        <w:rPr>
          <w:rFonts w:ascii="仿宋" w:hAnsi="仿宋" w:eastAsia="仿宋"/>
          <w:color w:val="auto"/>
          <w:sz w:val="32"/>
          <w:szCs w:val="32"/>
        </w:rPr>
        <w:t>表</w:t>
      </w:r>
    </w:p>
    <w:p>
      <w:pPr>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9.国有资本经营预算支出表</w:t>
      </w:r>
    </w:p>
    <w:p>
      <w:pPr>
        <w:spacing w:line="600" w:lineRule="exact"/>
        <w:ind w:firstLine="640" w:firstLineChars="200"/>
        <w:rPr>
          <w:rFonts w:hint="default" w:ascii="仿宋" w:hAnsi="仿宋" w:eastAsia="仿宋"/>
          <w:color w:val="auto"/>
          <w:sz w:val="32"/>
          <w:szCs w:val="32"/>
          <w:lang w:val="en-US" w:eastAsia="zh-CN"/>
        </w:rPr>
      </w:pPr>
      <w:r>
        <w:rPr>
          <w:rFonts w:hint="eastAsia" w:ascii="仿宋" w:hAnsi="仿宋" w:eastAsia="仿宋"/>
          <w:color w:val="auto"/>
          <w:sz w:val="32"/>
          <w:szCs w:val="32"/>
        </w:rPr>
        <w:t>10.项目支出</w:t>
      </w:r>
      <w:r>
        <w:rPr>
          <w:rFonts w:hint="eastAsia" w:ascii="仿宋" w:hAnsi="仿宋" w:eastAsia="仿宋"/>
          <w:color w:val="auto"/>
          <w:sz w:val="32"/>
          <w:szCs w:val="32"/>
          <w:lang w:val="en-US" w:eastAsia="zh-CN"/>
        </w:rPr>
        <w:t>绩效目标表</w:t>
      </w:r>
    </w:p>
    <w:p>
      <w:pPr>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11.部门整体支出绩效目标表</w:t>
      </w:r>
    </w:p>
    <w:p>
      <w:pPr>
        <w:pStyle w:val="2"/>
        <w:shd w:val="clear" w:color="auto" w:fill="FFFFFF"/>
        <w:spacing w:before="0" w:beforeAutospacing="0" w:after="0" w:afterAutospacing="0" w:line="600" w:lineRule="exact"/>
        <w:ind w:firstLine="643" w:firstLineChars="200"/>
        <w:rPr>
          <w:rFonts w:ascii="仿宋" w:hAnsi="仿宋" w:eastAsia="仿宋"/>
          <w:color w:val="auto"/>
          <w:sz w:val="32"/>
          <w:szCs w:val="32"/>
        </w:rPr>
      </w:pPr>
      <w:r>
        <w:rPr>
          <w:rStyle w:val="5"/>
          <w:rFonts w:hint="eastAsia" w:ascii="仿宋" w:hAnsi="仿宋" w:eastAsia="仿宋"/>
          <w:color w:val="auto"/>
          <w:sz w:val="32"/>
          <w:szCs w:val="32"/>
        </w:rPr>
        <w:t>注：以上部门预算报表中，空表表示本部门无相关收支情况</w:t>
      </w:r>
      <w:r>
        <w:rPr>
          <w:rFonts w:hint="eastAsia" w:ascii="仿宋" w:hAnsi="仿宋" w:eastAsia="仿宋"/>
          <w:color w:val="auto"/>
          <w:sz w:val="32"/>
          <w:szCs w:val="32"/>
        </w:rPr>
        <w:t>  </w:t>
      </w:r>
    </w:p>
    <w:p>
      <w:pPr>
        <w:widowControl/>
        <w:spacing w:before="156" w:beforeLines="50" w:line="600" w:lineRule="exact"/>
        <w:ind w:firstLine="640" w:firstLineChars="200"/>
        <w:jc w:val="left"/>
        <w:rPr>
          <w:rFonts w:ascii="仿宋" w:hAnsi="仿宋" w:eastAsia="仿宋"/>
          <w:color w:val="auto"/>
          <w:kern w:val="0"/>
          <w:sz w:val="32"/>
          <w:szCs w:val="32"/>
        </w:rPr>
      </w:pPr>
    </w:p>
    <w:p>
      <w:pPr>
        <w:pStyle w:val="2"/>
        <w:shd w:val="clear" w:color="auto" w:fill="FFFFFF"/>
        <w:spacing w:before="0" w:beforeAutospacing="0" w:after="0" w:afterAutospacing="0" w:line="600" w:lineRule="exact"/>
        <w:ind w:firstLine="883" w:firstLineChars="200"/>
        <w:jc w:val="center"/>
        <w:rPr>
          <w:rFonts w:ascii="黑体" w:hAnsi="黑体" w:eastAsia="黑体"/>
          <w:color w:val="auto"/>
          <w:sz w:val="44"/>
          <w:szCs w:val="44"/>
        </w:rPr>
      </w:pPr>
      <w:r>
        <w:rPr>
          <w:rStyle w:val="5"/>
          <w:rFonts w:hint="eastAsia" w:ascii="黑体" w:hAnsi="黑体" w:eastAsia="黑体"/>
          <w:color w:val="auto"/>
          <w:sz w:val="44"/>
          <w:szCs w:val="44"/>
        </w:rPr>
        <w:t>第一部分2022年部门预算说明</w:t>
      </w:r>
      <w:r>
        <w:rPr>
          <w:rFonts w:hint="eastAsia" w:ascii="黑体" w:hAnsi="黑体" w:eastAsia="黑体"/>
          <w:color w:val="auto"/>
          <w:sz w:val="44"/>
          <w:szCs w:val="44"/>
        </w:rPr>
        <w:t>  </w:t>
      </w:r>
    </w:p>
    <w:p>
      <w:pPr>
        <w:pStyle w:val="2"/>
        <w:shd w:val="clear" w:color="auto" w:fill="FFFFFF"/>
        <w:spacing w:before="0" w:beforeAutospacing="0" w:after="0" w:afterAutospacing="0" w:line="600" w:lineRule="exact"/>
        <w:ind w:firstLine="643" w:firstLineChars="200"/>
        <w:rPr>
          <w:rFonts w:ascii="黑体" w:hAnsi="黑体" w:eastAsia="黑体"/>
          <w:color w:val="auto"/>
          <w:sz w:val="32"/>
          <w:szCs w:val="32"/>
        </w:rPr>
      </w:pPr>
      <w:r>
        <w:rPr>
          <w:rStyle w:val="5"/>
          <w:rFonts w:hint="eastAsia" w:ascii="黑体" w:hAnsi="黑体" w:eastAsia="黑体"/>
          <w:color w:val="auto"/>
          <w:sz w:val="32"/>
          <w:szCs w:val="32"/>
        </w:rPr>
        <w:t>一、部门基本概况</w:t>
      </w:r>
      <w:r>
        <w:rPr>
          <w:rFonts w:hint="eastAsia" w:ascii="黑体" w:hAnsi="黑体" w:eastAsia="黑体"/>
          <w:color w:val="auto"/>
          <w:sz w:val="32"/>
          <w:szCs w:val="32"/>
        </w:rPr>
        <w:t>  </w:t>
      </w:r>
    </w:p>
    <w:p>
      <w:pPr>
        <w:widowControl/>
        <w:spacing w:line="600" w:lineRule="exact"/>
        <w:ind w:firstLine="643" w:firstLineChars="200"/>
        <w:jc w:val="left"/>
        <w:rPr>
          <w:rFonts w:ascii="仿宋" w:hAnsi="仿宋" w:eastAsia="仿宋" w:cs="仿宋"/>
          <w:b/>
          <w:bCs/>
          <w:color w:val="auto"/>
          <w:sz w:val="32"/>
          <w:szCs w:val="32"/>
        </w:rPr>
      </w:pPr>
      <w:r>
        <w:rPr>
          <w:rFonts w:hint="eastAsia" w:ascii="仿宋" w:hAnsi="仿宋" w:eastAsia="仿宋" w:cs="仿宋"/>
          <w:b/>
          <w:bCs/>
          <w:color w:val="auto"/>
          <w:sz w:val="32"/>
          <w:szCs w:val="32"/>
        </w:rPr>
        <w:t>（一）部门职责</w:t>
      </w:r>
    </w:p>
    <w:p>
      <w:pPr>
        <w:widowControl/>
        <w:spacing w:line="600" w:lineRule="exact"/>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怀化市住房公积金管理中心（以下简称市住房公积金管理中心）为市人民政府直属公益一类事业单位，机构规格相当于正处级。市住房公积金管理中心贯彻落实党中央和省委关于住房公积金管理工作的方针政策和决策部署，全面落实市委市政府关于住房公积金管理工作的部署要求，在履行职责过程中坚持和加强党对住房公积金管理工作的集中统一领导。主要职责是：</w:t>
      </w:r>
    </w:p>
    <w:p>
      <w:pPr>
        <w:spacing w:line="600" w:lineRule="exact"/>
        <w:ind w:firstLine="640" w:firstLineChars="200"/>
        <w:rPr>
          <w:rFonts w:ascii="仿宋" w:hAnsi="仿宋" w:eastAsia="仿宋" w:cs="仿宋"/>
          <w:color w:val="auto"/>
          <w:sz w:val="32"/>
          <w:szCs w:val="32"/>
        </w:rPr>
      </w:pPr>
      <w:r>
        <w:rPr>
          <w:rFonts w:hint="eastAsia" w:ascii="仿宋" w:hAnsi="仿宋" w:eastAsia="仿宋"/>
          <w:color w:val="auto"/>
          <w:sz w:val="32"/>
          <w:szCs w:val="32"/>
        </w:rPr>
        <w:t>（一）</w:t>
      </w:r>
      <w:r>
        <w:rPr>
          <w:rFonts w:hint="eastAsia" w:ascii="仿宋" w:hAnsi="仿宋" w:eastAsia="仿宋" w:cs="仿宋"/>
          <w:color w:val="auto"/>
          <w:sz w:val="32"/>
          <w:szCs w:val="32"/>
        </w:rPr>
        <w:t>贯彻执行国家、省、市关于住房公积金管理的法律法规、政策规定；拟订全市住房公积金事业发展规划；负责住房公积金制度的宣传、建立和推广；负责全市住房公积金的管理运作。</w:t>
      </w:r>
    </w:p>
    <w:p>
      <w:pPr>
        <w:spacing w:line="600" w:lineRule="exact"/>
        <w:ind w:firstLine="640" w:firstLineChars="200"/>
        <w:rPr>
          <w:rFonts w:ascii="仿宋" w:hAnsi="仿宋" w:eastAsia="仿宋" w:cs="仿宋"/>
          <w:color w:val="auto"/>
          <w:sz w:val="32"/>
          <w:szCs w:val="32"/>
        </w:rPr>
      </w:pPr>
      <w:r>
        <w:rPr>
          <w:rFonts w:hint="eastAsia" w:ascii="仿宋" w:hAnsi="仿宋" w:eastAsia="仿宋"/>
          <w:color w:val="auto"/>
          <w:sz w:val="32"/>
          <w:szCs w:val="32"/>
        </w:rPr>
        <w:t>（二）</w:t>
      </w:r>
      <w:r>
        <w:rPr>
          <w:rFonts w:hint="eastAsia" w:ascii="仿宋" w:hAnsi="仿宋" w:eastAsia="仿宋" w:cs="仿宋"/>
          <w:color w:val="auto"/>
          <w:sz w:val="32"/>
          <w:szCs w:val="32"/>
        </w:rPr>
        <w:t>拟订全市住房公积金业务操作规程、实施细则并组织实施；对住房公积金管理的法规政策、规章制度执行情况进行监督，对违规行为进行处理。</w:t>
      </w:r>
    </w:p>
    <w:p>
      <w:pPr>
        <w:spacing w:line="600" w:lineRule="exact"/>
        <w:ind w:firstLine="640" w:firstLineChars="200"/>
        <w:jc w:val="left"/>
        <w:rPr>
          <w:rFonts w:ascii="仿宋" w:hAnsi="仿宋" w:eastAsia="仿宋" w:cs="仿宋"/>
          <w:color w:val="auto"/>
          <w:sz w:val="32"/>
          <w:szCs w:val="32"/>
        </w:rPr>
      </w:pPr>
      <w:r>
        <w:rPr>
          <w:rFonts w:hint="eastAsia" w:ascii="仿宋" w:hAnsi="仿宋" w:eastAsia="仿宋"/>
          <w:color w:val="auto"/>
          <w:sz w:val="32"/>
          <w:szCs w:val="32"/>
        </w:rPr>
        <w:t>（三）</w:t>
      </w:r>
      <w:r>
        <w:rPr>
          <w:rFonts w:hint="eastAsia" w:ascii="仿宋" w:hAnsi="仿宋" w:eastAsia="仿宋" w:cs="仿宋"/>
          <w:color w:val="auto"/>
          <w:sz w:val="32"/>
          <w:szCs w:val="32"/>
        </w:rPr>
        <w:t xml:space="preserve">编制、执行全市住房公积金年度归集、使用计划；编制全市住房公积金年度归集、使用计划执行情况报告和增值收益分配方案，经市财政部门审核，报管委会审议后执行。  </w:t>
      </w:r>
    </w:p>
    <w:p>
      <w:pPr>
        <w:spacing w:line="600" w:lineRule="exact"/>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（四）编制全市住房公积金年度预决算，经市财政部门审核，报管委会审议后执行。</w:t>
      </w:r>
    </w:p>
    <w:p>
      <w:pPr>
        <w:spacing w:line="600" w:lineRule="exact"/>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（五）编制住房公积金年度报告，经管委会审议后定期向社会公布。</w:t>
      </w:r>
    </w:p>
    <w:p>
      <w:pPr>
        <w:spacing w:line="600" w:lineRule="exact"/>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六）定期核定、调整全市住房公积金的缴存基数、缴存比例，督促缴存单位和个人按时足额缴纳住房公积金；负责记载职工个人住房公积金的缴存、使用、转移、封存、冻结、账户注销等情况以及与缴存单位、个人定期对账。</w:t>
      </w:r>
    </w:p>
    <w:p>
      <w:pPr>
        <w:spacing w:line="600" w:lineRule="exact"/>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（七）审核单位降低住房公积金缴存比例或者缓缴的申请，报管委会批准后执行。</w:t>
      </w:r>
    </w:p>
    <w:p>
      <w:pPr>
        <w:spacing w:line="600" w:lineRule="exact"/>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（八）审批个人住房公积金的提取、贷款。</w:t>
      </w:r>
    </w:p>
    <w:p>
      <w:pPr>
        <w:spacing w:line="600" w:lineRule="exact"/>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（九）负责住房公积金的保值增值和归还。</w:t>
      </w:r>
    </w:p>
    <w:p>
      <w:pPr>
        <w:spacing w:line="600" w:lineRule="exact"/>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（十）依规办理全市住房公积金呆账核销工作。</w:t>
      </w:r>
    </w:p>
    <w:p>
      <w:pPr>
        <w:spacing w:line="600" w:lineRule="exact"/>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（十一）负责市本级原房改房住房基金及维修基金的管理工作。</w:t>
      </w:r>
    </w:p>
    <w:p>
      <w:pPr>
        <w:spacing w:line="600" w:lineRule="exact"/>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（十二）负责建设、维护、管理全市住房公积金业务管理信息系统，建立健全住房公积金业务信息系统互联互通和信息资源共享机制。</w:t>
      </w:r>
    </w:p>
    <w:p>
      <w:pPr>
        <w:spacing w:line="600" w:lineRule="exact"/>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（十三）负责全市住房公积金管理系统思想政治建设、组织文化建设和队伍建设，提高全市住房公积金管理人员的业务能力和综合素质。</w:t>
      </w:r>
    </w:p>
    <w:p>
      <w:pPr>
        <w:spacing w:line="600" w:lineRule="exact"/>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（十四）负责对各县市区管理部人、财、物的全面管理，直接负责全市住房公积金管理系统人员招录、中层及以下工作人员的考察任免事项。</w:t>
      </w:r>
    </w:p>
    <w:p>
      <w:pPr>
        <w:widowControl/>
        <w:spacing w:line="600" w:lineRule="exact"/>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（十五）承办市委、市政府交办的其他工作。</w:t>
      </w:r>
    </w:p>
    <w:p>
      <w:pPr>
        <w:widowControl/>
        <w:spacing w:line="600" w:lineRule="exact"/>
        <w:ind w:firstLine="640" w:firstLineChars="200"/>
        <w:jc w:val="left"/>
        <w:rPr>
          <w:rFonts w:ascii="黑体" w:hAnsi="黑体" w:eastAsia="黑体" w:cs="仿宋"/>
          <w:color w:val="auto"/>
          <w:sz w:val="32"/>
          <w:szCs w:val="32"/>
        </w:rPr>
      </w:pPr>
      <w:r>
        <w:rPr>
          <w:rFonts w:hint="eastAsia" w:ascii="黑体" w:hAnsi="黑体" w:eastAsia="黑体" w:cs="仿宋"/>
          <w:color w:val="auto"/>
          <w:sz w:val="32"/>
          <w:szCs w:val="32"/>
        </w:rPr>
        <w:t>（二）机构设置情况</w:t>
      </w:r>
    </w:p>
    <w:p>
      <w:pPr>
        <w:widowControl/>
        <w:spacing w:line="600" w:lineRule="exact"/>
        <w:ind w:firstLine="640" w:firstLineChars="200"/>
        <w:jc w:val="left"/>
        <w:rPr>
          <w:rFonts w:ascii="仿宋" w:hAnsi="仿宋" w:eastAsia="仿宋"/>
          <w:color w:val="auto"/>
          <w:sz w:val="32"/>
          <w:szCs w:val="32"/>
        </w:rPr>
      </w:pPr>
      <w:r>
        <w:rPr>
          <w:rFonts w:hint="eastAsia" w:ascii="仿宋" w:hAnsi="仿宋" w:eastAsia="仿宋"/>
          <w:color w:val="auto"/>
          <w:sz w:val="32"/>
          <w:szCs w:val="32"/>
        </w:rPr>
        <w:t>怀化市住房公积金管理中心作为一级部门预算单位，内设科室8个：综合部、人事部、财务部、稽核部、资金核算部、科技信息部、政策法规部、网办政务服务部；下设不具备独立法人资格的正科级分支机构15个：市直管理一部、市直管理二部、沅陵县管理部、辰溪县管理部、溆浦县管理部、麻阳苗族自治县管理部、新晃侗族自治县管理部、芷江侗族自治县管理部、鹤城区管理部、中方县管理部、洪江市管理部、洪江区管理部、会同县管理部、靖州苗族侗族自治县管理部、通道侗族自治县管理部。</w:t>
      </w:r>
    </w:p>
    <w:p>
      <w:pPr>
        <w:widowControl/>
        <w:spacing w:line="600" w:lineRule="exact"/>
        <w:ind w:firstLine="640" w:firstLineChars="200"/>
        <w:jc w:val="left"/>
        <w:rPr>
          <w:rFonts w:ascii="黑体" w:hAnsi="黑体" w:eastAsia="黑体"/>
          <w:color w:val="auto"/>
          <w:kern w:val="0"/>
          <w:sz w:val="32"/>
          <w:szCs w:val="32"/>
        </w:rPr>
      </w:pPr>
      <w:r>
        <w:rPr>
          <w:rFonts w:hint="eastAsia" w:ascii="黑体" w:hAnsi="黑体" w:eastAsia="黑体"/>
          <w:color w:val="auto"/>
          <w:kern w:val="0"/>
          <w:sz w:val="32"/>
          <w:szCs w:val="32"/>
        </w:rPr>
        <w:t>二、部门预算单位构成</w:t>
      </w:r>
    </w:p>
    <w:p>
      <w:pPr>
        <w:widowControl/>
        <w:spacing w:line="600" w:lineRule="exact"/>
        <w:ind w:firstLine="640" w:firstLineChars="200"/>
        <w:jc w:val="left"/>
        <w:rPr>
          <w:rFonts w:ascii="仿宋" w:hAnsi="仿宋" w:eastAsia="仿宋"/>
          <w:color w:val="auto"/>
          <w:sz w:val="32"/>
          <w:szCs w:val="32"/>
        </w:rPr>
      </w:pPr>
      <w:r>
        <w:rPr>
          <w:rFonts w:hint="eastAsia" w:ascii="仿宋" w:hAnsi="仿宋" w:eastAsia="仿宋"/>
          <w:color w:val="auto"/>
          <w:sz w:val="32"/>
          <w:szCs w:val="32"/>
        </w:rPr>
        <w:t>纳入2022年怀化市住房公积金管理中心预算编制范围的包括：怀化市住房公积金管理中心本级。</w:t>
      </w:r>
    </w:p>
    <w:p>
      <w:pPr>
        <w:widowControl/>
        <w:spacing w:line="600" w:lineRule="exact"/>
        <w:ind w:firstLine="640" w:firstLineChars="200"/>
        <w:jc w:val="left"/>
        <w:rPr>
          <w:rFonts w:ascii="黑体" w:hAnsi="黑体" w:eastAsia="黑体"/>
          <w:color w:val="auto"/>
          <w:sz w:val="32"/>
          <w:szCs w:val="32"/>
        </w:rPr>
      </w:pPr>
      <w:r>
        <w:rPr>
          <w:rFonts w:hint="eastAsia" w:ascii="黑体" w:hAnsi="黑体" w:eastAsia="黑体"/>
          <w:color w:val="auto"/>
          <w:kern w:val="0"/>
          <w:sz w:val="32"/>
          <w:szCs w:val="32"/>
        </w:rPr>
        <w:t>三</w:t>
      </w:r>
      <w:r>
        <w:rPr>
          <w:rFonts w:ascii="黑体" w:hAnsi="黑体" w:eastAsia="黑体"/>
          <w:color w:val="auto"/>
          <w:kern w:val="0"/>
          <w:sz w:val="32"/>
          <w:szCs w:val="32"/>
        </w:rPr>
        <w:t>、</w:t>
      </w:r>
      <w:r>
        <w:rPr>
          <w:rFonts w:hint="eastAsia" w:ascii="黑体" w:hAnsi="黑体" w:eastAsia="黑体"/>
          <w:color w:val="auto"/>
          <w:kern w:val="0"/>
          <w:sz w:val="32"/>
          <w:szCs w:val="32"/>
        </w:rPr>
        <w:t>部门收支总体情况</w:t>
      </w:r>
    </w:p>
    <w:p>
      <w:pPr>
        <w:widowControl/>
        <w:spacing w:line="600" w:lineRule="exact"/>
        <w:ind w:firstLine="640" w:firstLineChars="200"/>
        <w:jc w:val="left"/>
        <w:rPr>
          <w:rFonts w:ascii="仿宋" w:hAnsi="仿宋" w:eastAsia="仿宋"/>
          <w:color w:val="auto"/>
          <w:sz w:val="32"/>
          <w:szCs w:val="32"/>
        </w:rPr>
      </w:pPr>
      <w:r>
        <w:rPr>
          <w:rFonts w:hint="eastAsia" w:ascii="仿宋" w:hAnsi="仿宋" w:eastAsia="仿宋"/>
          <w:color w:val="auto"/>
          <w:sz w:val="32"/>
          <w:szCs w:val="32"/>
        </w:rPr>
        <w:t>2022年部门预算包括本单位预算内的收支情况。</w:t>
      </w:r>
    </w:p>
    <w:p>
      <w:pPr>
        <w:widowControl/>
        <w:spacing w:line="600" w:lineRule="exact"/>
        <w:ind w:firstLine="643" w:firstLineChars="200"/>
        <w:jc w:val="left"/>
        <w:rPr>
          <w:rFonts w:ascii="仿宋" w:hAnsi="仿宋" w:eastAsia="仿宋"/>
          <w:color w:val="auto"/>
          <w:sz w:val="32"/>
          <w:szCs w:val="32"/>
        </w:rPr>
      </w:pPr>
      <w:r>
        <w:rPr>
          <w:rFonts w:hint="eastAsia" w:ascii="仿宋" w:hAnsi="仿宋" w:eastAsia="仿宋"/>
          <w:b/>
          <w:bCs/>
          <w:color w:val="auto"/>
          <w:sz w:val="32"/>
          <w:szCs w:val="32"/>
        </w:rPr>
        <w:t>（一）收入预算：</w:t>
      </w:r>
      <w:r>
        <w:rPr>
          <w:rFonts w:hint="eastAsia" w:ascii="仿宋" w:hAnsi="仿宋" w:eastAsia="仿宋"/>
          <w:color w:val="auto"/>
          <w:sz w:val="32"/>
          <w:szCs w:val="32"/>
        </w:rPr>
        <w:t>2022年年初预算数3759万元，其中，一般公共预算拨款3759万元，政府性基金预算拨款0万元，纳入财政专户管理的非税收入拨款0万元，国有资本经营预算拨款0万元。压减公用经费和专项支出后，同口径对比，收入较上年增加879.94万元，增长30.56%，主要原因是特定目标类项目收入较上年增加750.79万元。</w:t>
      </w:r>
    </w:p>
    <w:p>
      <w:pPr>
        <w:widowControl/>
        <w:spacing w:line="600" w:lineRule="exact"/>
        <w:ind w:firstLine="643" w:firstLineChars="200"/>
        <w:jc w:val="left"/>
        <w:rPr>
          <w:rFonts w:ascii="仿宋" w:hAnsi="仿宋" w:eastAsia="仿宋"/>
          <w:color w:val="auto"/>
          <w:sz w:val="32"/>
          <w:szCs w:val="32"/>
        </w:rPr>
      </w:pPr>
      <w:r>
        <w:rPr>
          <w:rFonts w:hint="eastAsia" w:ascii="仿宋" w:hAnsi="仿宋" w:eastAsia="仿宋"/>
          <w:b/>
          <w:bCs/>
          <w:color w:val="auto"/>
          <w:sz w:val="32"/>
          <w:szCs w:val="32"/>
        </w:rPr>
        <w:t>（二）支出预算：</w:t>
      </w:r>
      <w:r>
        <w:rPr>
          <w:rFonts w:hint="eastAsia" w:ascii="仿宋" w:hAnsi="仿宋" w:eastAsia="仿宋"/>
          <w:color w:val="auto"/>
          <w:sz w:val="32"/>
          <w:szCs w:val="32"/>
        </w:rPr>
        <w:t>2022年年初预算数3759万元，其中，主要是基本支出1513.58万元，其中：人员类支出1304.58万元，公用经费支出209万元；项目支出2245.42万元，其中：其他运转类767.98万元，特定目标类1477.44万元。压减公用经费和专项支出后，同口径对比，支出较上年增加879.94万元，增长30.56%，主要原因如下：一是特定目标类项目支出较上年增加750.79万元；二是住房公积金管理中心发展应急专项支出2022年列入单位预算318.27万元；三是2021年公益性岗位人员合同到期，自然清退，2022年不再安排预算，相关支出较上年减少69.12万元；四是2021年人事代理人员36人转为劳务派遣人员，其工资福利支出较上年减少117.48万元。</w:t>
      </w:r>
    </w:p>
    <w:p>
      <w:pPr>
        <w:widowControl/>
        <w:spacing w:line="600" w:lineRule="exact"/>
        <w:ind w:firstLine="640" w:firstLineChars="200"/>
        <w:jc w:val="left"/>
        <w:rPr>
          <w:rFonts w:ascii="仿宋" w:hAnsi="仿宋" w:eastAsia="仿宋"/>
          <w:color w:val="auto"/>
          <w:kern w:val="0"/>
          <w:sz w:val="32"/>
          <w:szCs w:val="32"/>
        </w:rPr>
      </w:pPr>
      <w:r>
        <w:rPr>
          <w:rFonts w:hint="eastAsia" w:ascii="仿宋" w:hAnsi="仿宋" w:eastAsia="仿宋"/>
          <w:color w:val="auto"/>
          <w:sz w:val="32"/>
          <w:szCs w:val="32"/>
        </w:rPr>
        <w:t>（三）公开表格，部门预算公开表格共11</w:t>
      </w:r>
      <w:r>
        <w:rPr>
          <w:rFonts w:ascii="仿宋" w:hAnsi="仿宋" w:eastAsia="仿宋"/>
          <w:color w:val="auto"/>
          <w:sz w:val="32"/>
          <w:szCs w:val="32"/>
        </w:rPr>
        <w:t>张，包括：</w:t>
      </w:r>
      <w:r>
        <w:rPr>
          <w:rFonts w:hint="eastAsia" w:ascii="仿宋" w:hAnsi="仿宋" w:eastAsia="仿宋"/>
          <w:color w:val="auto"/>
          <w:sz w:val="32"/>
          <w:szCs w:val="32"/>
        </w:rPr>
        <w:t>部门</w:t>
      </w:r>
      <w:r>
        <w:rPr>
          <w:rFonts w:ascii="仿宋" w:hAnsi="仿宋" w:eastAsia="仿宋"/>
          <w:color w:val="auto"/>
          <w:sz w:val="32"/>
          <w:szCs w:val="32"/>
        </w:rPr>
        <w:t>收支总表3张，即《收支</w:t>
      </w:r>
      <w:r>
        <w:rPr>
          <w:rFonts w:hint="eastAsia" w:ascii="仿宋" w:hAnsi="仿宋" w:eastAsia="仿宋"/>
          <w:color w:val="auto"/>
          <w:sz w:val="32"/>
          <w:szCs w:val="32"/>
        </w:rPr>
        <w:t>预算</w:t>
      </w:r>
      <w:r>
        <w:rPr>
          <w:rFonts w:ascii="仿宋" w:hAnsi="仿宋" w:eastAsia="仿宋"/>
          <w:color w:val="auto"/>
          <w:sz w:val="32"/>
          <w:szCs w:val="32"/>
        </w:rPr>
        <w:t>总表》《收入</w:t>
      </w:r>
      <w:r>
        <w:rPr>
          <w:rFonts w:hint="eastAsia" w:ascii="仿宋" w:hAnsi="仿宋" w:eastAsia="仿宋"/>
          <w:color w:val="auto"/>
          <w:sz w:val="32"/>
          <w:szCs w:val="32"/>
        </w:rPr>
        <w:t>预算总</w:t>
      </w:r>
      <w:r>
        <w:rPr>
          <w:rFonts w:ascii="仿宋" w:hAnsi="仿宋" w:eastAsia="仿宋"/>
          <w:color w:val="auto"/>
          <w:sz w:val="32"/>
          <w:szCs w:val="32"/>
        </w:rPr>
        <w:t>表》《支出</w:t>
      </w:r>
      <w:r>
        <w:rPr>
          <w:rFonts w:hint="eastAsia" w:ascii="仿宋" w:hAnsi="仿宋" w:eastAsia="仿宋"/>
          <w:color w:val="auto"/>
          <w:sz w:val="32"/>
          <w:szCs w:val="32"/>
        </w:rPr>
        <w:t>预算总</w:t>
      </w:r>
      <w:r>
        <w:rPr>
          <w:rFonts w:ascii="仿宋" w:hAnsi="仿宋" w:eastAsia="仿宋"/>
          <w:color w:val="auto"/>
          <w:sz w:val="32"/>
          <w:szCs w:val="32"/>
        </w:rPr>
        <w:t>表》；财政拨款收支表</w:t>
      </w:r>
      <w:r>
        <w:rPr>
          <w:rFonts w:hint="eastAsia" w:ascii="仿宋" w:hAnsi="仿宋" w:eastAsia="仿宋"/>
          <w:color w:val="auto"/>
          <w:sz w:val="32"/>
          <w:szCs w:val="32"/>
        </w:rPr>
        <w:t>8</w:t>
      </w:r>
      <w:r>
        <w:rPr>
          <w:rFonts w:ascii="仿宋" w:hAnsi="仿宋" w:eastAsia="仿宋"/>
          <w:color w:val="auto"/>
          <w:sz w:val="32"/>
          <w:szCs w:val="32"/>
        </w:rPr>
        <w:t>张，即《财政拨款收支</w:t>
      </w:r>
      <w:r>
        <w:rPr>
          <w:rFonts w:hint="eastAsia" w:ascii="仿宋" w:hAnsi="仿宋" w:eastAsia="仿宋"/>
          <w:color w:val="auto"/>
          <w:sz w:val="32"/>
          <w:szCs w:val="32"/>
        </w:rPr>
        <w:t>预算</w:t>
      </w:r>
      <w:r>
        <w:rPr>
          <w:rFonts w:ascii="仿宋" w:hAnsi="仿宋" w:eastAsia="仿宋"/>
          <w:color w:val="auto"/>
          <w:sz w:val="32"/>
          <w:szCs w:val="32"/>
        </w:rPr>
        <w:t>总表》《</w:t>
      </w:r>
      <w:r>
        <w:rPr>
          <w:rFonts w:hint="eastAsia" w:ascii="仿宋" w:hAnsi="仿宋" w:eastAsia="仿宋"/>
          <w:color w:val="auto"/>
          <w:sz w:val="32"/>
          <w:szCs w:val="32"/>
        </w:rPr>
        <w:t>本年</w:t>
      </w:r>
      <w:r>
        <w:rPr>
          <w:rFonts w:ascii="仿宋" w:hAnsi="仿宋" w:eastAsia="仿宋"/>
          <w:color w:val="auto"/>
          <w:sz w:val="32"/>
          <w:szCs w:val="32"/>
        </w:rPr>
        <w:t>一般公共预算支出</w:t>
      </w:r>
      <w:r>
        <w:rPr>
          <w:rFonts w:hint="eastAsia" w:ascii="仿宋" w:hAnsi="仿宋" w:eastAsia="仿宋"/>
          <w:color w:val="auto"/>
          <w:sz w:val="32"/>
          <w:szCs w:val="32"/>
        </w:rPr>
        <w:t>预算</w:t>
      </w:r>
      <w:r>
        <w:rPr>
          <w:rFonts w:ascii="仿宋" w:hAnsi="仿宋" w:eastAsia="仿宋"/>
          <w:color w:val="auto"/>
          <w:sz w:val="32"/>
          <w:szCs w:val="32"/>
        </w:rPr>
        <w:t>表》《</w:t>
      </w:r>
      <w:r>
        <w:rPr>
          <w:rFonts w:hint="eastAsia" w:ascii="仿宋" w:hAnsi="仿宋" w:eastAsia="仿宋"/>
          <w:color w:val="auto"/>
          <w:sz w:val="32"/>
          <w:szCs w:val="32"/>
        </w:rPr>
        <w:t>本年</w:t>
      </w:r>
      <w:r>
        <w:rPr>
          <w:rFonts w:ascii="仿宋" w:hAnsi="仿宋" w:eastAsia="仿宋"/>
          <w:color w:val="auto"/>
          <w:sz w:val="32"/>
          <w:szCs w:val="32"/>
        </w:rPr>
        <w:t>一般公共预算基本支出</w:t>
      </w:r>
      <w:r>
        <w:rPr>
          <w:rFonts w:hint="eastAsia" w:ascii="仿宋" w:hAnsi="仿宋" w:eastAsia="仿宋"/>
          <w:color w:val="auto"/>
          <w:sz w:val="32"/>
          <w:szCs w:val="32"/>
        </w:rPr>
        <w:t>预算</w:t>
      </w:r>
      <w:r>
        <w:rPr>
          <w:rFonts w:ascii="仿宋" w:hAnsi="仿宋" w:eastAsia="仿宋"/>
          <w:color w:val="auto"/>
          <w:sz w:val="32"/>
          <w:szCs w:val="32"/>
        </w:rPr>
        <w:t>表》《</w:t>
      </w:r>
      <w:r>
        <w:rPr>
          <w:rFonts w:hint="eastAsia" w:ascii="仿宋" w:hAnsi="仿宋" w:eastAsia="仿宋"/>
          <w:color w:val="auto"/>
          <w:sz w:val="32"/>
          <w:szCs w:val="32"/>
        </w:rPr>
        <w:t>本年</w:t>
      </w:r>
      <w:r>
        <w:rPr>
          <w:rFonts w:ascii="仿宋" w:hAnsi="仿宋" w:eastAsia="仿宋"/>
          <w:color w:val="auto"/>
          <w:sz w:val="32"/>
          <w:szCs w:val="32"/>
        </w:rPr>
        <w:t>“三公”经费支出</w:t>
      </w:r>
      <w:r>
        <w:rPr>
          <w:rFonts w:hint="eastAsia" w:ascii="仿宋" w:hAnsi="仿宋" w:eastAsia="仿宋"/>
          <w:color w:val="auto"/>
          <w:sz w:val="32"/>
          <w:szCs w:val="32"/>
        </w:rPr>
        <w:t>预算</w:t>
      </w:r>
      <w:r>
        <w:rPr>
          <w:rFonts w:ascii="仿宋" w:hAnsi="仿宋" w:eastAsia="仿宋"/>
          <w:color w:val="auto"/>
          <w:sz w:val="32"/>
          <w:szCs w:val="32"/>
        </w:rPr>
        <w:t>表》《</w:t>
      </w:r>
      <w:r>
        <w:rPr>
          <w:rFonts w:hint="eastAsia" w:ascii="仿宋" w:hAnsi="仿宋" w:eastAsia="仿宋"/>
          <w:color w:val="auto"/>
          <w:sz w:val="32"/>
          <w:szCs w:val="32"/>
        </w:rPr>
        <w:t>本年</w:t>
      </w:r>
      <w:r>
        <w:rPr>
          <w:rFonts w:ascii="仿宋" w:hAnsi="仿宋" w:eastAsia="仿宋"/>
          <w:color w:val="auto"/>
          <w:sz w:val="32"/>
          <w:szCs w:val="32"/>
        </w:rPr>
        <w:t>政府性基金预算支</w:t>
      </w:r>
      <w:r>
        <w:rPr>
          <w:rFonts w:hint="eastAsia" w:ascii="仿宋" w:hAnsi="仿宋" w:eastAsia="仿宋"/>
          <w:color w:val="auto"/>
          <w:sz w:val="32"/>
          <w:szCs w:val="32"/>
        </w:rPr>
        <w:t>出预算</w:t>
      </w:r>
      <w:r>
        <w:rPr>
          <w:rFonts w:ascii="仿宋" w:hAnsi="仿宋" w:eastAsia="仿宋"/>
          <w:color w:val="auto"/>
          <w:sz w:val="32"/>
          <w:szCs w:val="32"/>
        </w:rPr>
        <w:t>表》</w:t>
      </w:r>
      <w:r>
        <w:rPr>
          <w:rFonts w:hint="eastAsia" w:ascii="仿宋" w:hAnsi="仿宋" w:eastAsia="仿宋"/>
          <w:color w:val="auto"/>
          <w:sz w:val="32"/>
          <w:szCs w:val="32"/>
        </w:rPr>
        <w:t>《本年项目支出预算表》《国有资本经营预算支出表》《部门整体支出绩效目标表》</w:t>
      </w:r>
      <w:r>
        <w:rPr>
          <w:rFonts w:hint="eastAsia" w:ascii="仿宋" w:hAnsi="仿宋" w:eastAsia="仿宋"/>
          <w:color w:val="auto"/>
          <w:kern w:val="0"/>
          <w:sz w:val="32"/>
          <w:szCs w:val="32"/>
        </w:rPr>
        <w:t>（公开表格附后）。</w:t>
      </w:r>
    </w:p>
    <w:p>
      <w:pPr>
        <w:widowControl/>
        <w:spacing w:line="600" w:lineRule="exact"/>
        <w:ind w:firstLine="640" w:firstLineChars="200"/>
        <w:jc w:val="left"/>
        <w:rPr>
          <w:rFonts w:ascii="黑体" w:hAnsi="黑体" w:eastAsia="黑体"/>
          <w:color w:val="auto"/>
          <w:kern w:val="0"/>
          <w:sz w:val="32"/>
          <w:szCs w:val="32"/>
        </w:rPr>
      </w:pPr>
      <w:r>
        <w:rPr>
          <w:rFonts w:hint="eastAsia" w:ascii="黑体" w:hAnsi="黑体" w:eastAsia="黑体"/>
          <w:color w:val="auto"/>
          <w:kern w:val="0"/>
          <w:sz w:val="32"/>
          <w:szCs w:val="32"/>
        </w:rPr>
        <w:t>四、一般公共预算财政拨款收支情况</w:t>
      </w:r>
    </w:p>
    <w:p>
      <w:pPr>
        <w:widowControl/>
        <w:spacing w:line="600" w:lineRule="exact"/>
        <w:ind w:firstLine="640" w:firstLineChars="200"/>
        <w:jc w:val="left"/>
        <w:rPr>
          <w:rFonts w:ascii="仿宋" w:hAnsi="仿宋" w:eastAsia="仿宋"/>
          <w:color w:val="auto"/>
          <w:kern w:val="0"/>
          <w:sz w:val="32"/>
          <w:szCs w:val="32"/>
        </w:rPr>
      </w:pPr>
      <w:r>
        <w:rPr>
          <w:rFonts w:hint="eastAsia" w:ascii="仿宋" w:hAnsi="仿宋" w:eastAsia="仿宋"/>
          <w:color w:val="auto"/>
          <w:sz w:val="32"/>
          <w:szCs w:val="32"/>
        </w:rPr>
        <w:t>2022年一般公共预算拨款收入为3759万元，其中：一般公共服务支出0万元，占0%；社会保障和就业0万元，占0%；卫生健康支出0万元，占0%；节能环保支出0万元，占0%；住房保障支出3759万元，占100%；其他支出0万元，占0万元。具体安排情况如下：</w:t>
      </w:r>
    </w:p>
    <w:p>
      <w:pPr>
        <w:widowControl/>
        <w:spacing w:line="600" w:lineRule="exact"/>
        <w:ind w:firstLine="643" w:firstLineChars="200"/>
        <w:jc w:val="left"/>
        <w:rPr>
          <w:rFonts w:ascii="仿宋" w:hAnsi="仿宋" w:eastAsia="仿宋"/>
          <w:color w:val="auto"/>
          <w:sz w:val="32"/>
          <w:szCs w:val="32"/>
        </w:rPr>
      </w:pPr>
      <w:r>
        <w:rPr>
          <w:rFonts w:hint="eastAsia" w:ascii="仿宋" w:hAnsi="仿宋" w:eastAsia="仿宋"/>
          <w:b/>
          <w:bCs/>
          <w:color w:val="auto"/>
          <w:sz w:val="32"/>
          <w:szCs w:val="32"/>
        </w:rPr>
        <w:t>（一）基本支出：</w:t>
      </w:r>
      <w:r>
        <w:rPr>
          <w:rFonts w:hint="eastAsia" w:ascii="仿宋" w:hAnsi="仿宋" w:eastAsia="仿宋"/>
          <w:color w:val="auto"/>
          <w:sz w:val="32"/>
          <w:szCs w:val="32"/>
        </w:rPr>
        <w:t>2022年年初预算数为1513.58万元，是指为保障单位机构正常运转、完成日常工作任务而发生的各项支出，包括用于工资福利支出1247.89万元，其中：基本工资344.44万元、津贴补贴4.03万元、奖金351.37万元、绩效工资249.77万元、其他工资福利支出20.22万元、住房公积金71.79万元、职工基本医疗保险缴费50.85万元、机关事业单位基本养老保险缴费95.72万元、职业年金缴费47.86万元、其他社会保障缴费11.84万元；商品和服务支出203.19万元，其中：办公费10万元、印刷费6万元、咨询费4万元、手续费0.2万元、水电费7万元、邮电费4万元、物业管理费5万元、差旅费10万元、维修费7万元、租赁费5万元、会议费2万元、培训费10万元、公务接待费0.63万元、工会经费43.48万元、福利费42万元、公务用车运行维护费30万元、其他交通费用2万元、其他商品和服务支出14.88万元等；对个人和家庭的补助62.5万元，其中：退休费2.87万元、生活补助0.83万元，医疗费补助4万元、奖励金2.3万元，其他对个人和家庭的补助52.5万元。</w:t>
      </w:r>
    </w:p>
    <w:p>
      <w:pPr>
        <w:widowControl/>
        <w:spacing w:line="600" w:lineRule="exact"/>
        <w:ind w:firstLine="643" w:firstLineChars="200"/>
        <w:jc w:val="left"/>
        <w:rPr>
          <w:rFonts w:ascii="仿宋" w:hAnsi="仿宋" w:eastAsia="仿宋"/>
          <w:color w:val="auto"/>
          <w:sz w:val="32"/>
          <w:szCs w:val="32"/>
        </w:rPr>
      </w:pPr>
      <w:r>
        <w:rPr>
          <w:rFonts w:hint="eastAsia" w:ascii="仿宋" w:hAnsi="仿宋" w:eastAsia="仿宋"/>
          <w:b/>
          <w:bCs/>
          <w:color w:val="auto"/>
          <w:sz w:val="32"/>
          <w:szCs w:val="32"/>
        </w:rPr>
        <w:t>（二）项目支出：</w:t>
      </w:r>
      <w:r>
        <w:rPr>
          <w:rFonts w:hint="eastAsia" w:ascii="仿宋" w:hAnsi="仿宋" w:eastAsia="仿宋"/>
          <w:color w:val="auto"/>
          <w:sz w:val="32"/>
          <w:szCs w:val="32"/>
        </w:rPr>
        <w:t>2022年年初预算数为2245.42万元，是指单位为完成特定行政工作任务或事业发展目标而发生的支出，包括有关事业发展专项、专项业务费、基本建设支出等。其中：运转其他类支出767.98万元，主要用于劳务派遣人员工资福利354.6万元、我中心发展应急专项318.27万元等方面；特定目标类支出1477.44万元，主要用于住房公积金个人住房贷款阶段性担保及贷后资产管理服务810万元、数据治理300万元、12329热线及短信费用113.2万元、各管理部服务大厅门头装修69.8万元、信息化建设及维护60万元、业务线路费59.64万元、中心机关办公楼物业管理服务44.8万元等方面。</w:t>
      </w:r>
    </w:p>
    <w:p>
      <w:pPr>
        <w:widowControl/>
        <w:spacing w:line="600" w:lineRule="exact"/>
        <w:ind w:firstLine="640" w:firstLineChars="200"/>
        <w:jc w:val="left"/>
        <w:rPr>
          <w:rFonts w:ascii="黑体" w:hAnsi="黑体" w:eastAsia="黑体" w:cs="黑体"/>
          <w:color w:val="auto"/>
          <w:sz w:val="32"/>
          <w:szCs w:val="32"/>
        </w:rPr>
      </w:pPr>
      <w:r>
        <w:rPr>
          <w:rFonts w:hint="eastAsia" w:ascii="黑体" w:hAnsi="黑体" w:eastAsia="黑体" w:cs="黑体"/>
          <w:color w:val="auto"/>
          <w:sz w:val="32"/>
          <w:szCs w:val="32"/>
        </w:rPr>
        <w:t>五、政府性基金支出情况</w:t>
      </w:r>
    </w:p>
    <w:p>
      <w:pPr>
        <w:widowControl/>
        <w:spacing w:line="600" w:lineRule="exact"/>
        <w:ind w:firstLine="640" w:firstLineChars="200"/>
        <w:jc w:val="left"/>
        <w:rPr>
          <w:rFonts w:ascii="仿宋" w:hAnsi="仿宋" w:eastAsia="仿宋"/>
          <w:color w:val="auto"/>
          <w:sz w:val="32"/>
          <w:szCs w:val="32"/>
        </w:rPr>
      </w:pPr>
      <w:r>
        <w:rPr>
          <w:rFonts w:hint="eastAsia" w:ascii="仿宋" w:hAnsi="仿宋" w:eastAsia="仿宋"/>
          <w:color w:val="auto"/>
          <w:sz w:val="32"/>
          <w:szCs w:val="32"/>
        </w:rPr>
        <w:t>2022年本部门无政府性基金预算支出。</w:t>
      </w:r>
    </w:p>
    <w:p>
      <w:pPr>
        <w:widowControl/>
        <w:spacing w:line="600" w:lineRule="exact"/>
        <w:ind w:firstLine="640" w:firstLineChars="200"/>
        <w:jc w:val="left"/>
        <w:rPr>
          <w:rFonts w:ascii="黑体" w:hAnsi="黑体" w:eastAsia="黑体"/>
          <w:color w:val="auto"/>
          <w:kern w:val="0"/>
          <w:sz w:val="32"/>
          <w:szCs w:val="32"/>
        </w:rPr>
      </w:pPr>
      <w:r>
        <w:rPr>
          <w:rFonts w:hint="eastAsia" w:ascii="黑体" w:hAnsi="黑体" w:eastAsia="黑体"/>
          <w:color w:val="auto"/>
          <w:kern w:val="0"/>
          <w:sz w:val="32"/>
          <w:szCs w:val="32"/>
        </w:rPr>
        <w:t>六、其他重要事项的情况说明</w:t>
      </w:r>
    </w:p>
    <w:p>
      <w:pPr>
        <w:widowControl/>
        <w:spacing w:line="600" w:lineRule="exact"/>
        <w:ind w:firstLine="643" w:firstLineChars="200"/>
        <w:jc w:val="left"/>
        <w:rPr>
          <w:rFonts w:ascii="黑体" w:hAnsi="黑体" w:eastAsia="黑体"/>
          <w:color w:val="auto"/>
          <w:kern w:val="0"/>
          <w:sz w:val="32"/>
          <w:szCs w:val="32"/>
        </w:rPr>
      </w:pPr>
      <w:r>
        <w:rPr>
          <w:rFonts w:hint="eastAsia" w:ascii="仿宋" w:hAnsi="仿宋" w:eastAsia="仿宋"/>
          <w:b/>
          <w:bCs/>
          <w:color w:val="auto"/>
          <w:sz w:val="32"/>
          <w:szCs w:val="32"/>
        </w:rPr>
        <w:t>（一）“三公”经费预算</w:t>
      </w:r>
    </w:p>
    <w:p>
      <w:pPr>
        <w:widowControl/>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 xml:space="preserve"> 2022年怀化市住房公积金管理中心安排“三公”经费预算数为30.63万元，其中，公务接待费0.63万元，公务用车购置费0万元，公务用车运行费30万元，因公出国（境）费0万元。2022年“三公”经费预算较上年预算数减少1.77万元，下降3.09%，主要因为严格执行公务用车管理制度，合理控制公务出行。</w:t>
      </w:r>
    </w:p>
    <w:p>
      <w:pPr>
        <w:widowControl/>
        <w:spacing w:line="600" w:lineRule="exact"/>
        <w:ind w:firstLine="643" w:firstLineChars="200"/>
        <w:rPr>
          <w:rFonts w:ascii="仿宋" w:hAnsi="仿宋" w:eastAsia="仿宋"/>
          <w:color w:val="auto"/>
          <w:sz w:val="32"/>
          <w:szCs w:val="32"/>
        </w:rPr>
      </w:pPr>
      <w:r>
        <w:rPr>
          <w:rFonts w:hint="eastAsia" w:ascii="仿宋" w:hAnsi="仿宋" w:eastAsia="仿宋"/>
          <w:b/>
          <w:bCs/>
          <w:color w:val="auto"/>
          <w:sz w:val="32"/>
          <w:szCs w:val="32"/>
        </w:rPr>
        <w:t>（二）机关运行经费</w:t>
      </w:r>
    </w:p>
    <w:p>
      <w:pPr>
        <w:widowControl/>
        <w:spacing w:line="600" w:lineRule="exact"/>
        <w:ind w:firstLine="640" w:firstLineChars="200"/>
        <w:jc w:val="left"/>
        <w:rPr>
          <w:rFonts w:ascii="仿宋" w:hAnsi="仿宋" w:eastAsia="仿宋"/>
          <w:color w:val="auto"/>
          <w:sz w:val="32"/>
          <w:szCs w:val="32"/>
        </w:rPr>
      </w:pPr>
      <w:r>
        <w:rPr>
          <w:rFonts w:hint="eastAsia" w:ascii="仿宋" w:hAnsi="仿宋" w:eastAsia="仿宋"/>
          <w:color w:val="auto"/>
          <w:sz w:val="32"/>
          <w:szCs w:val="32"/>
        </w:rPr>
        <w:t xml:space="preserve"> 怀化市住房公积金管理中心为经费自理的公益一类事业单位，不属于行政单位及参照公务员法管理的事业单位，因此2022年我中心一般公共预算拨款安排机关运行经费预算为0万元。</w:t>
      </w:r>
    </w:p>
    <w:p>
      <w:pPr>
        <w:widowControl/>
        <w:spacing w:line="600" w:lineRule="exact"/>
        <w:ind w:firstLine="643" w:firstLineChars="200"/>
        <w:jc w:val="left"/>
        <w:rPr>
          <w:rFonts w:ascii="仿宋" w:hAnsi="仿宋" w:eastAsia="仿宋"/>
          <w:color w:val="auto"/>
          <w:sz w:val="32"/>
          <w:szCs w:val="32"/>
        </w:rPr>
      </w:pPr>
      <w:r>
        <w:rPr>
          <w:rFonts w:hint="eastAsia" w:ascii="仿宋" w:hAnsi="仿宋" w:eastAsia="仿宋"/>
          <w:b/>
          <w:bCs/>
          <w:color w:val="auto"/>
          <w:sz w:val="32"/>
          <w:szCs w:val="32"/>
        </w:rPr>
        <w:t>（三）政府采购情况</w:t>
      </w:r>
    </w:p>
    <w:p>
      <w:pPr>
        <w:widowControl/>
        <w:spacing w:line="600" w:lineRule="exact"/>
        <w:ind w:firstLine="640" w:firstLineChars="200"/>
        <w:jc w:val="left"/>
        <w:rPr>
          <w:rFonts w:ascii="仿宋" w:hAnsi="仿宋" w:eastAsia="仿宋"/>
          <w:color w:val="auto"/>
          <w:sz w:val="32"/>
          <w:szCs w:val="32"/>
        </w:rPr>
      </w:pPr>
      <w:r>
        <w:rPr>
          <w:rFonts w:hint="eastAsia" w:ascii="仿宋" w:hAnsi="仿宋" w:eastAsia="仿宋"/>
          <w:color w:val="auto"/>
          <w:sz w:val="32"/>
          <w:szCs w:val="32"/>
        </w:rPr>
        <w:t xml:space="preserve"> 2022年怀化市住房公积金管理中心政府采购预算总额1528.44万元，其中，政府采购货物预算36万元、政府采购工程预算0万元、政府采购服务预算1492.44万元。 </w:t>
      </w:r>
      <w:r>
        <w:rPr>
          <w:rFonts w:ascii="仿宋" w:hAnsi="仿宋" w:eastAsia="仿宋"/>
          <w:color w:val="auto"/>
          <w:sz w:val="32"/>
          <w:szCs w:val="32"/>
        </w:rPr>
        <w:t xml:space="preserve">  </w:t>
      </w:r>
    </w:p>
    <w:p>
      <w:pPr>
        <w:widowControl/>
        <w:spacing w:line="600" w:lineRule="exact"/>
        <w:ind w:firstLine="643" w:firstLineChars="200"/>
        <w:jc w:val="left"/>
        <w:rPr>
          <w:rFonts w:ascii="仿宋" w:hAnsi="仿宋" w:eastAsia="仿宋"/>
          <w:color w:val="auto"/>
          <w:sz w:val="32"/>
          <w:szCs w:val="32"/>
        </w:rPr>
      </w:pPr>
      <w:r>
        <w:rPr>
          <w:rFonts w:hint="eastAsia" w:ascii="仿宋" w:hAnsi="仿宋" w:eastAsia="仿宋"/>
          <w:b/>
          <w:bCs/>
          <w:color w:val="auto"/>
          <w:sz w:val="32"/>
          <w:szCs w:val="32"/>
        </w:rPr>
        <w:t>（四）预算绩效目标说明</w:t>
      </w:r>
    </w:p>
    <w:p>
      <w:pPr>
        <w:widowControl/>
        <w:spacing w:line="600" w:lineRule="exact"/>
        <w:ind w:firstLine="640" w:firstLineChars="200"/>
        <w:jc w:val="left"/>
        <w:rPr>
          <w:rFonts w:ascii="仿宋" w:hAnsi="仿宋" w:eastAsia="仿宋"/>
          <w:color w:val="auto"/>
          <w:sz w:val="32"/>
          <w:szCs w:val="32"/>
        </w:rPr>
      </w:pPr>
      <w:r>
        <w:rPr>
          <w:rFonts w:hint="eastAsia" w:ascii="仿宋" w:hAnsi="仿宋" w:eastAsia="仿宋"/>
          <w:color w:val="auto"/>
          <w:sz w:val="32"/>
          <w:szCs w:val="32"/>
        </w:rPr>
        <w:t>按照市本级预算绩效管理工作的总体要求，本部门所有支出实行绩效目标管理。纳入2022年部门整体支出绩效目标的金额为3759万元，其中，基本支出1513.58万元，项目支出2245.42万元，具体绩效目标详见报表。详见附件2022年项目支出绩效目标表。编报绩效目标的项目19个，涉及项目支出2245.42万元，其中运转其他类工作经费767.98万元，涉及项目8个：福利费行政补助11.96万元、原人事代理人员工资/奖金/五险一金272万元、工会经费行政补助11.04万元、离退休人员特许费10.16万元、劳务派遣人员工资奖金82.6万元、住房公积金管理中心发展应急专项318.27万元，2022年晋级晋档及新进人员工资配套36.89万元、绩效奖配套住房公积金25.06万元；特定目标类专项经费1477.44万元，涉及项目11个：中心机关办公楼物业管理服务44.8万元、各管理部服务大厅门头装修69.8万元、业务线路费59.64万元、机房服务器/网络硬件服务20万元、数据治理300万元、电子化办公服务设备和办公家具购置20万元、12329热线73.2万元、安全加固—数据库运维管控系统30万元、等保测评费10万元、住房公积金个人住房贷款阶段性担保及贷后资产管理服务810万元、短信费用40万元，全部实行项目支出绩效目标管理。</w:t>
      </w:r>
    </w:p>
    <w:p>
      <w:pPr>
        <w:widowControl/>
        <w:spacing w:line="600" w:lineRule="exact"/>
        <w:ind w:firstLine="643" w:firstLineChars="200"/>
        <w:jc w:val="left"/>
        <w:rPr>
          <w:rFonts w:ascii="仿宋" w:hAnsi="仿宋" w:eastAsia="仿宋"/>
          <w:b/>
          <w:bCs/>
          <w:color w:val="auto"/>
          <w:sz w:val="32"/>
          <w:szCs w:val="32"/>
        </w:rPr>
      </w:pPr>
      <w:r>
        <w:rPr>
          <w:rFonts w:hint="eastAsia" w:ascii="仿宋" w:hAnsi="仿宋" w:eastAsia="仿宋"/>
          <w:b/>
          <w:bCs/>
          <w:color w:val="auto"/>
          <w:sz w:val="32"/>
          <w:szCs w:val="32"/>
        </w:rPr>
        <w:t>（五） 国有资产占用使用及新增资产配置情况</w:t>
      </w:r>
    </w:p>
    <w:p>
      <w:pPr>
        <w:widowControl/>
        <w:spacing w:line="600" w:lineRule="exact"/>
        <w:ind w:firstLine="640" w:firstLineChars="200"/>
        <w:jc w:val="left"/>
        <w:rPr>
          <w:rFonts w:ascii="仿宋" w:hAnsi="仿宋" w:eastAsia="仿宋"/>
          <w:color w:val="auto"/>
          <w:sz w:val="32"/>
          <w:szCs w:val="32"/>
        </w:rPr>
      </w:pPr>
      <w:r>
        <w:rPr>
          <w:rFonts w:hint="eastAsia" w:ascii="仿宋" w:hAnsi="仿宋" w:eastAsia="仿宋"/>
          <w:color w:val="auto"/>
          <w:sz w:val="32"/>
          <w:szCs w:val="32"/>
        </w:rPr>
        <w:t>截至2021年12月31日底，本部门共有车辆15辆，其中，一般公务用车15辆（公车改革后在用11辆，待处置4辆）、一般执法执勤用车0辆、</w:t>
      </w:r>
      <w:r>
        <w:rPr>
          <w:rFonts w:ascii="仿宋" w:hAnsi="仿宋" w:eastAsia="仿宋"/>
          <w:color w:val="auto"/>
          <w:kern w:val="0"/>
          <w:sz w:val="32"/>
          <w:szCs w:val="32"/>
        </w:rPr>
        <w:t>特种专业技术用车</w:t>
      </w:r>
      <w:r>
        <w:rPr>
          <w:rFonts w:hint="eastAsia" w:ascii="仿宋" w:hAnsi="仿宋" w:eastAsia="仿宋"/>
          <w:color w:val="auto"/>
          <w:sz w:val="32"/>
          <w:szCs w:val="32"/>
        </w:rPr>
        <w:t>0</w:t>
      </w:r>
      <w:r>
        <w:rPr>
          <w:rFonts w:ascii="仿宋" w:hAnsi="仿宋" w:eastAsia="仿宋"/>
          <w:color w:val="auto"/>
          <w:kern w:val="0"/>
          <w:sz w:val="32"/>
          <w:szCs w:val="32"/>
        </w:rPr>
        <w:t>辆、其他用车</w:t>
      </w:r>
      <w:r>
        <w:rPr>
          <w:rFonts w:hint="eastAsia" w:ascii="仿宋" w:hAnsi="仿宋" w:eastAsia="仿宋"/>
          <w:color w:val="auto"/>
          <w:sz w:val="32"/>
          <w:szCs w:val="32"/>
        </w:rPr>
        <w:t>0</w:t>
      </w:r>
      <w:r>
        <w:rPr>
          <w:rFonts w:ascii="仿宋" w:hAnsi="仿宋" w:eastAsia="仿宋"/>
          <w:color w:val="auto"/>
          <w:kern w:val="0"/>
          <w:sz w:val="32"/>
          <w:szCs w:val="32"/>
        </w:rPr>
        <w:t>辆</w:t>
      </w:r>
      <w:r>
        <w:rPr>
          <w:rFonts w:hint="eastAsia" w:ascii="仿宋" w:hAnsi="仿宋" w:eastAsia="仿宋"/>
          <w:color w:val="auto"/>
          <w:sz w:val="32"/>
          <w:szCs w:val="32"/>
        </w:rPr>
        <w:t>。</w:t>
      </w:r>
      <w:r>
        <w:rPr>
          <w:rFonts w:ascii="仿宋" w:hAnsi="仿宋" w:eastAsia="仿宋"/>
          <w:color w:val="auto"/>
          <w:kern w:val="0"/>
          <w:sz w:val="32"/>
          <w:szCs w:val="32"/>
        </w:rPr>
        <w:t>单位价值50 万元以上通用设备</w:t>
      </w:r>
      <w:r>
        <w:rPr>
          <w:rFonts w:hint="eastAsia" w:ascii="仿宋" w:hAnsi="仿宋" w:eastAsia="仿宋"/>
          <w:color w:val="auto"/>
          <w:sz w:val="32"/>
          <w:szCs w:val="32"/>
        </w:rPr>
        <w:t>5</w:t>
      </w:r>
      <w:r>
        <w:rPr>
          <w:rFonts w:ascii="仿宋" w:hAnsi="仿宋" w:eastAsia="仿宋"/>
          <w:color w:val="auto"/>
          <w:kern w:val="0"/>
          <w:sz w:val="32"/>
          <w:szCs w:val="32"/>
        </w:rPr>
        <w:t>台（套），单价100 万元以上专用设备</w:t>
      </w:r>
      <w:r>
        <w:rPr>
          <w:rFonts w:hint="eastAsia" w:ascii="仿宋" w:hAnsi="仿宋" w:eastAsia="仿宋"/>
          <w:color w:val="auto"/>
          <w:sz w:val="32"/>
          <w:szCs w:val="32"/>
        </w:rPr>
        <w:t>0</w:t>
      </w:r>
      <w:r>
        <w:rPr>
          <w:rFonts w:ascii="仿宋" w:hAnsi="仿宋" w:eastAsia="仿宋"/>
          <w:color w:val="auto"/>
          <w:kern w:val="0"/>
          <w:sz w:val="32"/>
          <w:szCs w:val="32"/>
        </w:rPr>
        <w:t>台（套）。</w:t>
      </w:r>
      <w:r>
        <w:rPr>
          <w:rFonts w:hint="eastAsia" w:ascii="仿宋" w:hAnsi="仿宋" w:eastAsia="仿宋"/>
          <w:color w:val="auto"/>
          <w:sz w:val="32"/>
          <w:szCs w:val="32"/>
        </w:rPr>
        <w:t>2022年</w:t>
      </w:r>
      <w:r>
        <w:rPr>
          <w:rFonts w:hint="eastAsia" w:ascii="仿宋" w:hAnsi="仿宋" w:eastAsia="仿宋" w:cs="仿宋"/>
          <w:bCs/>
          <w:color w:val="auto"/>
          <w:kern w:val="0"/>
          <w:sz w:val="32"/>
          <w:szCs w:val="32"/>
        </w:rPr>
        <w:t>拟新增配置公务用车0辆，其中，机要通信用车</w:t>
      </w:r>
      <w:r>
        <w:rPr>
          <w:rFonts w:ascii="仿宋" w:hAnsi="仿宋" w:eastAsia="仿宋" w:cs="仿宋"/>
          <w:bCs/>
          <w:color w:val="auto"/>
          <w:kern w:val="0"/>
          <w:sz w:val="32"/>
          <w:szCs w:val="32"/>
        </w:rPr>
        <w:t>0</w:t>
      </w:r>
      <w:r>
        <w:rPr>
          <w:rFonts w:hint="eastAsia" w:ascii="仿宋" w:hAnsi="仿宋" w:eastAsia="仿宋" w:cs="仿宋"/>
          <w:bCs/>
          <w:color w:val="auto"/>
          <w:kern w:val="0"/>
          <w:sz w:val="32"/>
          <w:szCs w:val="32"/>
        </w:rPr>
        <w:t>辆，应急保障用车</w:t>
      </w:r>
      <w:r>
        <w:rPr>
          <w:rFonts w:ascii="仿宋" w:hAnsi="仿宋" w:eastAsia="仿宋" w:cs="仿宋"/>
          <w:bCs/>
          <w:color w:val="auto"/>
          <w:kern w:val="0"/>
          <w:sz w:val="32"/>
          <w:szCs w:val="32"/>
        </w:rPr>
        <w:t>0</w:t>
      </w:r>
      <w:r>
        <w:rPr>
          <w:rFonts w:hint="eastAsia" w:ascii="仿宋" w:hAnsi="仿宋" w:eastAsia="仿宋" w:cs="仿宋"/>
          <w:bCs/>
          <w:color w:val="auto"/>
          <w:kern w:val="0"/>
          <w:sz w:val="32"/>
          <w:szCs w:val="32"/>
        </w:rPr>
        <w:t>辆，执法执勤用车</w:t>
      </w:r>
      <w:r>
        <w:rPr>
          <w:rFonts w:ascii="仿宋" w:hAnsi="仿宋" w:eastAsia="仿宋" w:cs="仿宋"/>
          <w:bCs/>
          <w:color w:val="auto"/>
          <w:kern w:val="0"/>
          <w:sz w:val="32"/>
          <w:szCs w:val="32"/>
        </w:rPr>
        <w:t>0</w:t>
      </w:r>
      <w:r>
        <w:rPr>
          <w:rFonts w:hint="eastAsia" w:ascii="仿宋" w:hAnsi="仿宋" w:eastAsia="仿宋" w:cs="仿宋"/>
          <w:bCs/>
          <w:color w:val="auto"/>
          <w:kern w:val="0"/>
          <w:sz w:val="32"/>
          <w:szCs w:val="32"/>
        </w:rPr>
        <w:t>辆，特种专业技术用车</w:t>
      </w:r>
      <w:r>
        <w:rPr>
          <w:rFonts w:ascii="仿宋" w:hAnsi="仿宋" w:eastAsia="仿宋" w:cs="仿宋"/>
          <w:bCs/>
          <w:color w:val="auto"/>
          <w:kern w:val="0"/>
          <w:sz w:val="32"/>
          <w:szCs w:val="32"/>
        </w:rPr>
        <w:t>0</w:t>
      </w:r>
      <w:r>
        <w:rPr>
          <w:rFonts w:hint="eastAsia" w:ascii="仿宋" w:hAnsi="仿宋" w:eastAsia="仿宋" w:cs="仿宋"/>
          <w:bCs/>
          <w:color w:val="auto"/>
          <w:kern w:val="0"/>
          <w:sz w:val="32"/>
          <w:szCs w:val="32"/>
        </w:rPr>
        <w:t xml:space="preserve"> 辆，其他按照规定配备的公务用车</w:t>
      </w:r>
      <w:r>
        <w:rPr>
          <w:rFonts w:ascii="仿宋" w:hAnsi="仿宋" w:eastAsia="仿宋" w:cs="仿宋"/>
          <w:bCs/>
          <w:color w:val="auto"/>
          <w:kern w:val="0"/>
          <w:sz w:val="32"/>
          <w:szCs w:val="32"/>
        </w:rPr>
        <w:t>0</w:t>
      </w:r>
      <w:r>
        <w:rPr>
          <w:rFonts w:hint="eastAsia" w:ascii="仿宋" w:hAnsi="仿宋" w:eastAsia="仿宋" w:cs="仿宋"/>
          <w:bCs/>
          <w:color w:val="auto"/>
          <w:kern w:val="0"/>
          <w:sz w:val="32"/>
          <w:szCs w:val="32"/>
        </w:rPr>
        <w:t>辆；新增配备单位价值50万元以上通用设备</w:t>
      </w:r>
      <w:r>
        <w:rPr>
          <w:rFonts w:ascii="仿宋" w:hAnsi="仿宋" w:eastAsia="仿宋" w:cs="仿宋"/>
          <w:bCs/>
          <w:color w:val="auto"/>
          <w:kern w:val="0"/>
          <w:sz w:val="32"/>
          <w:szCs w:val="32"/>
        </w:rPr>
        <w:t>0</w:t>
      </w:r>
      <w:r>
        <w:rPr>
          <w:rFonts w:hint="eastAsia" w:ascii="仿宋" w:hAnsi="仿宋" w:eastAsia="仿宋" w:cs="仿宋"/>
          <w:bCs/>
          <w:color w:val="auto"/>
          <w:kern w:val="0"/>
          <w:sz w:val="32"/>
          <w:szCs w:val="32"/>
        </w:rPr>
        <w:t>台，单位价值100万元以上专用设备</w:t>
      </w:r>
      <w:r>
        <w:rPr>
          <w:rFonts w:ascii="仿宋" w:hAnsi="仿宋" w:eastAsia="仿宋" w:cs="仿宋"/>
          <w:bCs/>
          <w:color w:val="auto"/>
          <w:kern w:val="0"/>
          <w:sz w:val="32"/>
          <w:szCs w:val="32"/>
        </w:rPr>
        <w:t>0</w:t>
      </w:r>
      <w:r>
        <w:rPr>
          <w:rFonts w:hint="eastAsia" w:ascii="仿宋" w:hAnsi="仿宋" w:eastAsia="仿宋" w:cs="仿宋"/>
          <w:bCs/>
          <w:color w:val="auto"/>
          <w:kern w:val="0"/>
          <w:sz w:val="32"/>
          <w:szCs w:val="32"/>
        </w:rPr>
        <w:t>台。</w:t>
      </w:r>
    </w:p>
    <w:p>
      <w:pPr>
        <w:widowControl/>
        <w:numPr>
          <w:ilvl w:val="0"/>
          <w:numId w:val="3"/>
        </w:numPr>
        <w:spacing w:line="600" w:lineRule="exact"/>
        <w:ind w:firstLine="643" w:firstLineChars="200"/>
        <w:jc w:val="left"/>
        <w:rPr>
          <w:rFonts w:ascii="仿宋" w:hAnsi="仿宋" w:eastAsia="仿宋"/>
          <w:b/>
          <w:bCs/>
          <w:color w:val="auto"/>
          <w:kern w:val="0"/>
          <w:sz w:val="32"/>
          <w:szCs w:val="32"/>
        </w:rPr>
      </w:pPr>
      <w:r>
        <w:rPr>
          <w:rFonts w:hint="eastAsia" w:ascii="仿宋" w:hAnsi="仿宋" w:eastAsia="仿宋"/>
          <w:b/>
          <w:bCs/>
          <w:color w:val="auto"/>
          <w:kern w:val="0"/>
          <w:sz w:val="32"/>
          <w:szCs w:val="32"/>
        </w:rPr>
        <w:t>一般性支出情况</w:t>
      </w:r>
    </w:p>
    <w:p>
      <w:pPr>
        <w:widowControl/>
        <w:spacing w:line="600" w:lineRule="exact"/>
        <w:ind w:firstLine="640" w:firstLineChars="200"/>
        <w:jc w:val="left"/>
        <w:rPr>
          <w:rFonts w:ascii="仿宋" w:hAnsi="仿宋" w:eastAsia="仿宋"/>
          <w:color w:val="auto"/>
          <w:sz w:val="32"/>
          <w:szCs w:val="32"/>
        </w:rPr>
      </w:pPr>
      <w:r>
        <w:rPr>
          <w:rFonts w:hint="eastAsia" w:ascii="仿宋" w:hAnsi="仿宋" w:eastAsia="仿宋"/>
          <w:color w:val="auto"/>
          <w:kern w:val="0"/>
          <w:sz w:val="32"/>
          <w:szCs w:val="32"/>
        </w:rPr>
        <w:t>2022年，本部门会议费预算</w:t>
      </w:r>
      <w:r>
        <w:rPr>
          <w:rFonts w:hint="eastAsia" w:ascii="仿宋" w:hAnsi="仿宋" w:eastAsia="仿宋"/>
          <w:color w:val="auto"/>
          <w:sz w:val="32"/>
          <w:szCs w:val="32"/>
        </w:rPr>
        <w:t>2万元，具体为：2022年工作务虚会会议，内容为2022年度住房公积金缴存使用情况、中心业务决算和部门绩效及个人年度考核情况等，预计参会人数27人，预算1万元；2022年半年工作会议，内容为总结上半年工作部署下半年工作等，预计参会人数27人，预算1万元；2022年，本部门培训费预算10万元，具体为：新聘人员岗前培训，内容为住房公积金政策法规、各项规章制度等培训，预计人数10人，预算1万元；在岗人员培训，内容为住房公积金缴存、提取、贷款业务管理办法等，预计人数160人，预算4万元；上级业务主管部门专题培训，内容为住房公积金业务管理等，预计人数80人，预算3万；事业单位工作人员网络培训费2万元；2022年，本部门无举办节庆、晚会、论坛、赛事等预算。</w:t>
      </w:r>
    </w:p>
    <w:p>
      <w:pPr>
        <w:widowControl/>
        <w:spacing w:line="600" w:lineRule="exact"/>
        <w:ind w:firstLine="640" w:firstLineChars="200"/>
        <w:jc w:val="left"/>
        <w:rPr>
          <w:rFonts w:ascii="黑体" w:hAnsi="黑体" w:eastAsia="黑体"/>
          <w:color w:val="auto"/>
          <w:sz w:val="32"/>
          <w:szCs w:val="32"/>
        </w:rPr>
      </w:pPr>
      <w:r>
        <w:rPr>
          <w:rFonts w:hint="eastAsia" w:ascii="黑体" w:hAnsi="黑体" w:eastAsia="黑体"/>
          <w:color w:val="auto"/>
          <w:sz w:val="32"/>
          <w:szCs w:val="32"/>
        </w:rPr>
        <w:t>七、专业名词解释</w:t>
      </w:r>
    </w:p>
    <w:p>
      <w:pPr>
        <w:widowControl/>
        <w:spacing w:line="600" w:lineRule="exact"/>
        <w:ind w:firstLine="640" w:firstLineChars="200"/>
        <w:jc w:val="left"/>
        <w:rPr>
          <w:rFonts w:ascii="仿宋" w:hAnsi="仿宋" w:eastAsia="仿宋"/>
          <w:color w:val="auto"/>
          <w:sz w:val="32"/>
          <w:szCs w:val="32"/>
        </w:rPr>
      </w:pPr>
      <w:r>
        <w:rPr>
          <w:rFonts w:hint="eastAsia" w:ascii="仿宋" w:hAnsi="仿宋" w:eastAsia="仿宋" w:cs="楷体_GB2312"/>
          <w:color w:val="auto"/>
          <w:sz w:val="32"/>
          <w:szCs w:val="32"/>
        </w:rPr>
        <w:t>1.机关运行经费：</w:t>
      </w:r>
      <w:r>
        <w:rPr>
          <w:rFonts w:hint="eastAsia" w:ascii="仿宋" w:hAnsi="仿宋" w:eastAsia="仿宋"/>
          <w:color w:val="auto"/>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pPr>
        <w:widowControl/>
        <w:spacing w:line="600" w:lineRule="exact"/>
        <w:ind w:firstLine="640" w:firstLineChars="200"/>
        <w:jc w:val="left"/>
        <w:rPr>
          <w:rFonts w:ascii="仿宋" w:hAnsi="仿宋" w:eastAsia="仿宋"/>
          <w:color w:val="auto"/>
          <w:sz w:val="32"/>
          <w:szCs w:val="32"/>
        </w:rPr>
      </w:pPr>
      <w:r>
        <w:rPr>
          <w:rFonts w:hint="eastAsia" w:ascii="仿宋" w:hAnsi="仿宋" w:eastAsia="仿宋" w:cs="楷体_GB2312"/>
          <w:color w:val="auto"/>
          <w:sz w:val="32"/>
          <w:szCs w:val="32"/>
        </w:rPr>
        <w:t>2.“三公”经费：</w:t>
      </w:r>
      <w:r>
        <w:rPr>
          <w:rFonts w:hint="eastAsia" w:ascii="仿宋" w:hAnsi="仿宋" w:eastAsia="仿宋"/>
          <w:color w:val="auto"/>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widowControl/>
        <w:spacing w:line="600" w:lineRule="exact"/>
        <w:ind w:firstLine="640" w:firstLineChars="200"/>
        <w:jc w:val="left"/>
        <w:rPr>
          <w:rFonts w:ascii="仿宋" w:hAnsi="仿宋" w:eastAsia="仿宋"/>
          <w:color w:val="auto"/>
          <w:sz w:val="32"/>
          <w:szCs w:val="32"/>
        </w:rPr>
      </w:pPr>
    </w:p>
    <w:p>
      <w:pPr>
        <w:spacing w:line="600" w:lineRule="exact"/>
        <w:ind w:firstLine="883" w:firstLineChars="200"/>
        <w:jc w:val="center"/>
        <w:rPr>
          <w:rFonts w:ascii="仿宋" w:hAnsi="仿宋" w:eastAsia="仿宋"/>
          <w:color w:val="auto"/>
          <w:sz w:val="23"/>
          <w:szCs w:val="23"/>
        </w:rPr>
      </w:pPr>
      <w:r>
        <w:rPr>
          <w:rStyle w:val="5"/>
          <w:rFonts w:hint="eastAsia" w:ascii="黑体" w:hAnsi="黑体" w:eastAsia="黑体"/>
          <w:color w:val="auto"/>
          <w:sz w:val="44"/>
          <w:szCs w:val="44"/>
        </w:rPr>
        <w:t>第二部分2022年部门预算表</w:t>
      </w:r>
    </w:p>
    <w:p>
      <w:pPr>
        <w:spacing w:line="600" w:lineRule="exact"/>
        <w:ind w:firstLine="640" w:firstLineChars="200"/>
        <w:jc w:val="center"/>
        <w:rPr>
          <w:rFonts w:ascii="仿宋" w:hAnsi="仿宋" w:eastAsia="仿宋" w:cs="黑体"/>
          <w:color w:val="auto"/>
          <w:sz w:val="32"/>
          <w:szCs w:val="32"/>
        </w:rPr>
      </w:pPr>
      <w:r>
        <w:rPr>
          <w:rFonts w:hint="eastAsia" w:ascii="仿宋" w:hAnsi="仿宋" w:eastAsia="仿宋" w:cs="黑体"/>
          <w:color w:val="auto"/>
          <w:sz w:val="32"/>
          <w:szCs w:val="32"/>
        </w:rPr>
        <w:t>（详情见公开附表）</w:t>
      </w:r>
    </w:p>
    <w:p>
      <w:pPr>
        <w:spacing w:line="600" w:lineRule="exact"/>
        <w:ind w:firstLine="420" w:firstLineChars="200"/>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altName w:val="微软雅黑"/>
    <w:panose1 w:val="00000000000000000000"/>
    <w:charset w:val="86"/>
    <w:family w:val="auto"/>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1EE9E"/>
    <w:multiLevelType w:val="singleLevel"/>
    <w:tmpl w:val="E421EE9E"/>
    <w:lvl w:ilvl="0" w:tentative="0">
      <w:start w:val="6"/>
      <w:numFmt w:val="chineseCounting"/>
      <w:suff w:val="nothing"/>
      <w:lvlText w:val="（%1）"/>
      <w:lvlJc w:val="left"/>
      <w:rPr>
        <w:rFonts w:hint="eastAsia"/>
      </w:rPr>
    </w:lvl>
  </w:abstractNum>
  <w:abstractNum w:abstractNumId="1">
    <w:nsid w:val="5A7FA2B7"/>
    <w:multiLevelType w:val="singleLevel"/>
    <w:tmpl w:val="5A7FA2B7"/>
    <w:lvl w:ilvl="0" w:tentative="0">
      <w:start w:val="2"/>
      <w:numFmt w:val="chineseCounting"/>
      <w:suff w:val="nothing"/>
      <w:lvlText w:val="%1、"/>
      <w:lvlJc w:val="left"/>
    </w:lvl>
  </w:abstractNum>
  <w:abstractNum w:abstractNumId="2">
    <w:nsid w:val="5A7FA837"/>
    <w:multiLevelType w:val="singleLevel"/>
    <w:tmpl w:val="5A7FA837"/>
    <w:lvl w:ilvl="0" w:tentative="0">
      <w:start w:val="4"/>
      <w:numFmt w:val="chineseCounting"/>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k4MjM4OGRjMjA1YmIwNDg3YWY0MmMwNWU4YTAwYjIifQ=="/>
  </w:docVars>
  <w:rsids>
    <w:rsidRoot w:val="00742547"/>
    <w:rsid w:val="00742547"/>
    <w:rsid w:val="00894450"/>
    <w:rsid w:val="0096460D"/>
    <w:rsid w:val="00F209C6"/>
    <w:rsid w:val="21D77481"/>
    <w:rsid w:val="411F1885"/>
    <w:rsid w:val="500954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14:ligatures w14:val="none"/>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qFormat/>
    <w:uiPriority w:val="99"/>
    <w:pPr>
      <w:widowControl/>
      <w:spacing w:before="100" w:beforeAutospacing="1" w:after="100" w:afterAutospacing="1"/>
      <w:jc w:val="left"/>
    </w:pPr>
    <w:rPr>
      <w:rFonts w:ascii="宋体" w:cs="宋体"/>
      <w:kern w:val="0"/>
      <w:sz w:val="24"/>
    </w:rPr>
  </w:style>
  <w:style w:type="character" w:styleId="5">
    <w:name w:val="Strong"/>
    <w:qFormat/>
    <w:uiPriority w:val="22"/>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4562</Words>
  <Characters>5055</Characters>
  <Lines>36</Lines>
  <Paragraphs>10</Paragraphs>
  <TotalTime>22</TotalTime>
  <ScaleCrop>false</ScaleCrop>
  <LinksUpToDate>false</LinksUpToDate>
  <CharactersWithSpaces>5073</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2023-09-02T11:16:00Z</dcterms:created>
  <dc:creator>汪 梦引</dc:creator>
  <cp:lastModifiedBy>非鱼</cp:lastModifiedBy>
  <dcterms:modified xsi:type="dcterms:W3CDTF">2023-10-11T07:25:28Z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C8AFA5419FA6401BB28DB66395D2A620_12</vt:lpwstr>
  </property>
</Properties>
</file>