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rPr>
          <w:rFonts w:eastAsia="仿宋_GB2312"/>
          <w:spacing w:val="-2"/>
          <w:sz w:val="28"/>
          <w:szCs w:val="28"/>
        </w:rPr>
      </w:pPr>
    </w:p>
    <w:p>
      <w:pPr>
        <w:rPr>
          <w:rFonts w:eastAsia="黑体"/>
          <w:sz w:val="32"/>
          <w:szCs w:val="32"/>
        </w:rPr>
      </w:pPr>
      <w:r>
        <w:rPr>
          <w:rFonts w:eastAsia="黑体"/>
          <w:sz w:val="32"/>
          <w:szCs w:val="32"/>
        </w:rPr>
        <w:t>附件</w:t>
      </w:r>
      <w:r>
        <w:rPr>
          <w:rFonts w:hint="eastAsia" w:eastAsia="黑体"/>
          <w:sz w:val="32"/>
          <w:szCs w:val="32"/>
        </w:rPr>
        <w:t>2</w:t>
      </w: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jc w:val="center"/>
        <w:rPr>
          <w:rFonts w:eastAsia="方正小标宋_GBK"/>
          <w:sz w:val="52"/>
          <w:szCs w:val="52"/>
        </w:rPr>
      </w:pPr>
      <w:r>
        <w:rPr>
          <w:rFonts w:eastAsia="方正小标宋_GBK"/>
          <w:sz w:val="52"/>
          <w:szCs w:val="52"/>
        </w:rPr>
        <w:t>202</w:t>
      </w:r>
      <w:r>
        <w:rPr>
          <w:rFonts w:hint="eastAsia" w:eastAsia="方正小标宋_GBK"/>
          <w:sz w:val="52"/>
          <w:szCs w:val="52"/>
        </w:rPr>
        <w:t>2</w:t>
      </w:r>
      <w:r>
        <w:rPr>
          <w:rFonts w:eastAsia="方正小标宋_GBK"/>
          <w:sz w:val="52"/>
          <w:szCs w:val="52"/>
        </w:rPr>
        <w:t>年度</w:t>
      </w:r>
      <w:r>
        <w:rPr>
          <w:rFonts w:hint="eastAsia" w:eastAsia="方正小标宋_GBK"/>
          <w:sz w:val="52"/>
          <w:szCs w:val="52"/>
        </w:rPr>
        <w:t>怀化市住房公积金管理</w:t>
      </w:r>
    </w:p>
    <w:p>
      <w:pPr>
        <w:jc w:val="center"/>
        <w:rPr>
          <w:rFonts w:eastAsia="方正小标宋_GBK"/>
          <w:sz w:val="52"/>
          <w:szCs w:val="52"/>
        </w:rPr>
      </w:pPr>
      <w:r>
        <w:rPr>
          <w:rFonts w:hint="eastAsia" w:eastAsia="方正小标宋_GBK"/>
          <w:sz w:val="52"/>
          <w:szCs w:val="52"/>
        </w:rPr>
        <w:t>中心</w:t>
      </w:r>
      <w:r>
        <w:rPr>
          <w:rFonts w:eastAsia="方正小标宋_GBK"/>
          <w:sz w:val="52"/>
          <w:szCs w:val="52"/>
        </w:rPr>
        <w:t>整体支出绩效自评报告</w:t>
      </w:r>
    </w:p>
    <w:p>
      <w:pP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jc w:val="center"/>
        <w:rPr>
          <w:rFonts w:eastAsia="黑体"/>
          <w:sz w:val="32"/>
          <w:szCs w:val="32"/>
        </w:rPr>
      </w:pPr>
    </w:p>
    <w:p>
      <w:pPr>
        <w:spacing w:line="600" w:lineRule="exact"/>
        <w:ind w:firstLine="1920" w:firstLineChars="600"/>
        <w:rPr>
          <w:rFonts w:eastAsia="仿宋_GB2312"/>
          <w:sz w:val="32"/>
          <w:szCs w:val="32"/>
          <w:u w:val="single"/>
        </w:rPr>
      </w:pPr>
      <w:r>
        <w:rPr>
          <w:rFonts w:eastAsia="仿宋_GB2312"/>
          <w:sz w:val="32"/>
          <w:szCs w:val="32"/>
        </w:rPr>
        <w:t>单位名称：</w:t>
      </w:r>
      <w:r>
        <w:rPr>
          <w:rFonts w:eastAsia="仿宋_GB2312"/>
          <w:sz w:val="32"/>
          <w:szCs w:val="32"/>
          <w:u w:val="single"/>
        </w:rPr>
        <w:t xml:space="preserve">（盖章）        </w:t>
      </w:r>
    </w:p>
    <w:p>
      <w:pPr>
        <w:spacing w:line="600" w:lineRule="exact"/>
        <w:ind w:firstLine="3200" w:firstLineChars="1000"/>
        <w:rPr>
          <w:rFonts w:eastAsia="楷体_GB2312"/>
          <w:sz w:val="32"/>
          <w:szCs w:val="32"/>
        </w:rPr>
      </w:pPr>
      <w:r>
        <w:rPr>
          <w:rFonts w:eastAsia="楷体_GB2312"/>
          <w:sz w:val="32"/>
          <w:szCs w:val="32"/>
        </w:rPr>
        <w:t>年  月  日</w:t>
      </w:r>
    </w:p>
    <w:p>
      <w:pPr>
        <w:jc w:val="center"/>
        <w:rPr>
          <w:rFonts w:eastAsia="黑体"/>
          <w:sz w:val="32"/>
          <w:szCs w:val="32"/>
        </w:rPr>
      </w:pPr>
    </w:p>
    <w:p>
      <w:pPr>
        <w:widowControl/>
        <w:shd w:val="clear" w:color="auto" w:fill="FFFFFF"/>
        <w:spacing w:line="600" w:lineRule="atLeast"/>
        <w:rPr>
          <w:rFonts w:eastAsia="仿宋_GB2312"/>
          <w:b/>
          <w:spacing w:val="-2"/>
          <w:sz w:val="32"/>
          <w:szCs w:val="44"/>
        </w:rPr>
      </w:pPr>
      <w:r>
        <w:rPr>
          <w:rFonts w:hint="eastAsia" w:eastAsia="仿宋_GB2312"/>
          <w:sz w:val="32"/>
          <w:szCs w:val="32"/>
        </w:rPr>
        <w:t xml:space="preserve">                    （此页为封面）</w:t>
      </w:r>
    </w:p>
    <w:p>
      <w:pPr>
        <w:widowControl/>
        <w:shd w:val="clear" w:color="auto" w:fill="FFFFFF"/>
        <w:spacing w:line="600" w:lineRule="atLeast"/>
        <w:jc w:val="center"/>
        <w:rPr>
          <w:rFonts w:ascii="黑体" w:hAnsi="黑体" w:eastAsia="黑体"/>
          <w:b/>
          <w:spacing w:val="-2"/>
          <w:sz w:val="44"/>
          <w:szCs w:val="44"/>
        </w:rPr>
      </w:pPr>
      <w:r>
        <w:rPr>
          <w:rFonts w:hint="eastAsia" w:ascii="黑体" w:hAnsi="黑体" w:eastAsia="黑体"/>
          <w:b/>
          <w:spacing w:val="-2"/>
          <w:sz w:val="44"/>
          <w:szCs w:val="44"/>
        </w:rPr>
        <w:t>怀化市住房公积金管理中心</w:t>
      </w:r>
    </w:p>
    <w:p>
      <w:pPr>
        <w:widowControl/>
        <w:shd w:val="clear" w:color="auto" w:fill="FFFFFF"/>
        <w:spacing w:line="600" w:lineRule="atLeast"/>
        <w:jc w:val="center"/>
        <w:rPr>
          <w:rFonts w:ascii="黑体" w:hAnsi="黑体" w:eastAsia="黑体"/>
          <w:b/>
          <w:spacing w:val="-2"/>
          <w:sz w:val="44"/>
          <w:szCs w:val="44"/>
        </w:rPr>
      </w:pPr>
      <w:r>
        <w:rPr>
          <w:rFonts w:hint="eastAsia" w:ascii="黑体" w:hAnsi="黑体" w:eastAsia="黑体"/>
          <w:b/>
          <w:spacing w:val="-2"/>
          <w:sz w:val="44"/>
          <w:szCs w:val="44"/>
        </w:rPr>
        <w:t>2022年度</w:t>
      </w:r>
      <w:r>
        <w:rPr>
          <w:rFonts w:ascii="黑体" w:hAnsi="黑体" w:eastAsia="黑体"/>
          <w:b/>
          <w:spacing w:val="-2"/>
          <w:sz w:val="44"/>
          <w:szCs w:val="44"/>
        </w:rPr>
        <w:t>部门整体支出绩效</w:t>
      </w:r>
      <w:r>
        <w:rPr>
          <w:rFonts w:hint="eastAsia" w:ascii="黑体" w:hAnsi="黑体" w:eastAsia="黑体"/>
          <w:b/>
          <w:spacing w:val="-2"/>
          <w:sz w:val="44"/>
          <w:szCs w:val="44"/>
        </w:rPr>
        <w:t>评价</w:t>
      </w:r>
      <w:r>
        <w:rPr>
          <w:rFonts w:ascii="黑体" w:hAnsi="黑体" w:eastAsia="黑体"/>
          <w:b/>
          <w:spacing w:val="-2"/>
          <w:sz w:val="44"/>
          <w:szCs w:val="44"/>
        </w:rPr>
        <w:t>报告</w:t>
      </w:r>
    </w:p>
    <w:p>
      <w:pPr>
        <w:widowControl/>
        <w:shd w:val="clear" w:color="auto" w:fill="FFFFFF"/>
        <w:spacing w:line="600" w:lineRule="atLeast"/>
        <w:rPr>
          <w:rFonts w:eastAsia="仿宋_GB2312"/>
          <w:b/>
          <w:spacing w:val="-2"/>
          <w:sz w:val="32"/>
          <w:szCs w:val="44"/>
        </w:rPr>
      </w:pPr>
    </w:p>
    <w:p>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为进一步规范财政资金管理，强化绩效和责任意识，提高财政资金使用效益，根据《怀化市财政局关于开展2022年度部门整体支出专项资金绩效自评工作的通知》（怀财绩【2023】51号）要求，我单位积极组织开展2022年度整体支出绩效自评工作，现将自评情况报告如下：</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w:t>
      </w:r>
    </w:p>
    <w:p>
      <w:pPr>
        <w:widowControl/>
        <w:spacing w:line="500" w:lineRule="auto"/>
        <w:ind w:firstLine="630" w:firstLineChars="196"/>
        <w:jc w:val="left"/>
        <w:rPr>
          <w:rFonts w:ascii="仿宋" w:hAnsi="仿宋" w:eastAsia="仿宋" w:cs="仿宋"/>
          <w:b/>
          <w:bCs/>
          <w:sz w:val="32"/>
          <w:szCs w:val="32"/>
        </w:rPr>
      </w:pPr>
      <w:r>
        <w:rPr>
          <w:rFonts w:hint="eastAsia" w:ascii="仿宋" w:hAnsi="仿宋" w:eastAsia="仿宋" w:cs="仿宋"/>
          <w:b/>
          <w:bCs/>
          <w:sz w:val="32"/>
          <w:szCs w:val="32"/>
        </w:rPr>
        <w:t>1、部门职责</w:t>
      </w:r>
    </w:p>
    <w:p>
      <w:pPr>
        <w:widowControl/>
        <w:ind w:firstLine="627" w:firstLineChars="196"/>
        <w:jc w:val="left"/>
        <w:rPr>
          <w:rFonts w:ascii="仿宋" w:hAnsi="仿宋" w:eastAsia="仿宋" w:cs="仿宋"/>
          <w:b/>
          <w:bCs/>
          <w:sz w:val="32"/>
          <w:szCs w:val="32"/>
        </w:rPr>
      </w:pPr>
      <w:r>
        <w:rPr>
          <w:rFonts w:hint="eastAsia" w:ascii="仿宋" w:hAnsi="仿宋" w:eastAsia="仿宋" w:cs="仿宋"/>
          <w:bCs/>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持和加强党对住房公积金管理工作的集中统一领导。主要职责是：</w:t>
      </w:r>
    </w:p>
    <w:p>
      <w:pPr>
        <w:ind w:firstLine="627" w:firstLineChars="196"/>
        <w:rPr>
          <w:rFonts w:ascii="仿宋" w:hAnsi="仿宋" w:eastAsia="仿宋" w:cs="仿宋"/>
          <w:bCs/>
          <w:sz w:val="32"/>
          <w:szCs w:val="32"/>
        </w:rPr>
      </w:pPr>
      <w:r>
        <w:rPr>
          <w:rFonts w:hint="eastAsia" w:ascii="仿宋" w:hAnsi="仿宋" w:eastAsia="仿宋"/>
          <w:sz w:val="32"/>
          <w:szCs w:val="32"/>
        </w:rPr>
        <w:t>（一）</w:t>
      </w:r>
      <w:r>
        <w:rPr>
          <w:rFonts w:hint="eastAsia" w:ascii="仿宋" w:hAnsi="仿宋" w:eastAsia="仿宋" w:cs="仿宋"/>
          <w:bCs/>
          <w:sz w:val="32"/>
          <w:szCs w:val="32"/>
        </w:rPr>
        <w:t>贯彻执行国家、省、市关于住房公积金管理的法律法规、政策规定；拟订全市住房公积金事业发展规划；负责住房公积金制度的宣传、建立和推广；负责全市住房公积金的管理运作。</w:t>
      </w:r>
    </w:p>
    <w:p>
      <w:pPr>
        <w:ind w:firstLine="627" w:firstLineChars="196"/>
        <w:rPr>
          <w:rFonts w:ascii="仿宋" w:hAnsi="仿宋" w:eastAsia="仿宋" w:cs="仿宋"/>
          <w:bCs/>
          <w:sz w:val="32"/>
          <w:szCs w:val="32"/>
        </w:rPr>
      </w:pPr>
      <w:r>
        <w:rPr>
          <w:rFonts w:hint="eastAsia" w:ascii="仿宋" w:hAnsi="仿宋" w:eastAsia="仿宋"/>
          <w:sz w:val="32"/>
          <w:szCs w:val="32"/>
        </w:rPr>
        <w:t>（二）</w:t>
      </w:r>
      <w:r>
        <w:rPr>
          <w:rFonts w:hint="eastAsia" w:ascii="仿宋" w:hAnsi="仿宋" w:eastAsia="仿宋" w:cs="仿宋"/>
          <w:bCs/>
          <w:sz w:val="32"/>
          <w:szCs w:val="32"/>
        </w:rPr>
        <w:t>拟订全市住房公积金业务操作规程、实施细则并组织实施；对住房公积金管理的法规政策、规章制度执行情况进行监督，对违规行为进行处理。</w:t>
      </w:r>
    </w:p>
    <w:p>
      <w:pPr>
        <w:ind w:firstLine="627" w:firstLineChars="196"/>
        <w:jc w:val="left"/>
        <w:rPr>
          <w:rFonts w:ascii="仿宋" w:hAnsi="仿宋" w:eastAsia="仿宋" w:cs="仿宋"/>
          <w:bCs/>
          <w:sz w:val="32"/>
          <w:szCs w:val="32"/>
        </w:rPr>
      </w:pPr>
      <w:r>
        <w:rPr>
          <w:rFonts w:hint="eastAsia" w:ascii="仿宋" w:hAnsi="仿宋" w:eastAsia="仿宋"/>
          <w:sz w:val="32"/>
          <w:szCs w:val="32"/>
        </w:rPr>
        <w:t>（三）</w:t>
      </w:r>
      <w:r>
        <w:rPr>
          <w:rFonts w:hint="eastAsia" w:ascii="仿宋" w:hAnsi="仿宋" w:eastAsia="仿宋" w:cs="仿宋"/>
          <w:bCs/>
          <w:sz w:val="32"/>
          <w:szCs w:val="32"/>
        </w:rPr>
        <w:t xml:space="preserve">编制、执行全市住房公积金年度归集、使用计划；编制全市住房公积金年度归集、使用计划执行情况报告和增值收益分配方案，经市财政部门审核，报管委会审议后执行。  </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（四）编制全市住房公积金年度预决算，经市财政部门审核，报管委会审议后执行。</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（五）编制住房公积金年度报告，经管委会审议后定期向社会公布。</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六）定期核定、调整全市住房公积金的缴存基数、缴存比例，督促缴存单位和个人按时足额缴纳住房公积金；负责记载职工个人住房公积金的缴存、使用、转移、封存、冻结、账户注销等情况以及与缴存单位、个人定期对账。</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（七）审核单位降低住房公积金缴存比例或者缓缴的申请，报管委会批准后执行。</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（八）审批个人住房公积金的提取、贷款。</w:t>
      </w:r>
    </w:p>
    <w:p>
      <w:pPr>
        <w:ind w:firstLine="627" w:firstLineChars="196"/>
        <w:jc w:val="left"/>
        <w:rPr>
          <w:rFonts w:ascii="仿宋" w:hAnsi="仿宋" w:eastAsia="仿宋" w:cs="仿宋"/>
          <w:bCs/>
          <w:sz w:val="32"/>
          <w:szCs w:val="32"/>
        </w:rPr>
      </w:pPr>
      <w:r>
        <w:rPr>
          <w:rFonts w:hint="eastAsia" w:ascii="仿宋" w:hAnsi="仿宋" w:eastAsia="仿宋" w:cs="仿宋"/>
          <w:bCs/>
          <w:sz w:val="32"/>
          <w:szCs w:val="32"/>
        </w:rPr>
        <w:t>（九）负责住房公积金的保值增值和归还。</w:t>
      </w:r>
    </w:p>
    <w:p>
      <w:pPr>
        <w:ind w:firstLine="627" w:firstLineChars="196"/>
        <w:rPr>
          <w:rFonts w:ascii="仿宋" w:hAnsi="仿宋" w:eastAsia="仿宋" w:cs="仿宋"/>
          <w:bCs/>
          <w:sz w:val="32"/>
          <w:szCs w:val="32"/>
        </w:rPr>
      </w:pPr>
      <w:r>
        <w:rPr>
          <w:rFonts w:hint="eastAsia" w:ascii="仿宋" w:hAnsi="仿宋" w:eastAsia="仿宋" w:cs="仿宋"/>
          <w:bCs/>
          <w:sz w:val="32"/>
          <w:szCs w:val="32"/>
        </w:rPr>
        <w:t>（十）依规办理全市住房公积金呆账核销工作。</w:t>
      </w:r>
    </w:p>
    <w:p>
      <w:pPr>
        <w:ind w:firstLine="627" w:firstLineChars="196"/>
        <w:rPr>
          <w:rFonts w:ascii="仿宋" w:hAnsi="仿宋" w:eastAsia="仿宋" w:cs="仿宋"/>
          <w:bCs/>
          <w:sz w:val="32"/>
          <w:szCs w:val="32"/>
        </w:rPr>
      </w:pPr>
      <w:r>
        <w:rPr>
          <w:rFonts w:hint="eastAsia" w:ascii="仿宋" w:hAnsi="仿宋" w:eastAsia="仿宋" w:cs="仿宋"/>
          <w:bCs/>
          <w:sz w:val="32"/>
          <w:szCs w:val="32"/>
        </w:rPr>
        <w:t>（十一）负责市本级原房改房住房基金及维修基金的管理工作。</w:t>
      </w:r>
    </w:p>
    <w:p>
      <w:pPr>
        <w:ind w:firstLine="627" w:firstLineChars="196"/>
        <w:rPr>
          <w:rFonts w:ascii="仿宋" w:hAnsi="仿宋" w:eastAsia="仿宋" w:cs="仿宋"/>
          <w:bCs/>
          <w:sz w:val="32"/>
          <w:szCs w:val="32"/>
        </w:rPr>
      </w:pPr>
      <w:r>
        <w:rPr>
          <w:rFonts w:hint="eastAsia" w:ascii="仿宋" w:hAnsi="仿宋" w:eastAsia="仿宋" w:cs="仿宋"/>
          <w:bCs/>
          <w:sz w:val="32"/>
          <w:szCs w:val="32"/>
        </w:rPr>
        <w:t>（十二）负责建设、维护、管理全市住房公积金业务管理信息系统，建立健全住房公积金业务信息系统互联互通和信息资源共享机制。</w:t>
      </w:r>
    </w:p>
    <w:p>
      <w:pPr>
        <w:ind w:firstLine="627" w:firstLineChars="196"/>
        <w:rPr>
          <w:rFonts w:ascii="仿宋" w:hAnsi="仿宋" w:eastAsia="仿宋" w:cs="仿宋"/>
          <w:bCs/>
          <w:sz w:val="32"/>
          <w:szCs w:val="32"/>
        </w:rPr>
      </w:pPr>
      <w:r>
        <w:rPr>
          <w:rFonts w:hint="eastAsia" w:ascii="仿宋" w:hAnsi="仿宋" w:eastAsia="仿宋" w:cs="仿宋"/>
          <w:bCs/>
          <w:sz w:val="32"/>
          <w:szCs w:val="32"/>
        </w:rPr>
        <w:t>（十三）负责全市住房公积金管理系统思想政治建设、组织文化建设和队伍建设，提高全市住房公积金管理人员的业务能力和综合素质。</w:t>
      </w:r>
    </w:p>
    <w:p>
      <w:pPr>
        <w:spacing w:line="360" w:lineRule="auto"/>
        <w:ind w:firstLine="627" w:firstLineChars="196"/>
        <w:jc w:val="left"/>
        <w:rPr>
          <w:rFonts w:ascii="仿宋" w:hAnsi="仿宋" w:eastAsia="仿宋" w:cs="仿宋"/>
          <w:bCs/>
          <w:sz w:val="28"/>
          <w:szCs w:val="28"/>
        </w:rPr>
      </w:pPr>
      <w:r>
        <w:rPr>
          <w:rFonts w:hint="eastAsia" w:ascii="仿宋" w:hAnsi="仿宋" w:eastAsia="仿宋" w:cs="仿宋"/>
          <w:bCs/>
          <w:sz w:val="32"/>
          <w:szCs w:val="32"/>
        </w:rPr>
        <w:t>（十四）负责对各县市区管理部人、财、物的全面管理，直接负责全市住房公积金管理系统人员招录、中层及以下工作人员的考察任免事项</w:t>
      </w:r>
      <w:r>
        <w:rPr>
          <w:rFonts w:hint="eastAsia" w:ascii="仿宋" w:hAnsi="仿宋" w:eastAsia="仿宋" w:cs="仿宋"/>
          <w:bCs/>
          <w:sz w:val="28"/>
          <w:szCs w:val="28"/>
        </w:rPr>
        <w:t>。</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cs="仿宋"/>
          <w:bCs/>
          <w:sz w:val="32"/>
          <w:szCs w:val="32"/>
        </w:rPr>
        <w:t>（十五）承办市委、市政府交办的其他工作。</w:t>
      </w:r>
    </w:p>
    <w:p>
      <w:pPr>
        <w:widowControl/>
        <w:spacing w:line="500" w:lineRule="auto"/>
        <w:ind w:firstLine="630" w:firstLineChars="196"/>
        <w:jc w:val="left"/>
        <w:rPr>
          <w:rFonts w:ascii="仿宋" w:hAnsi="仿宋" w:eastAsia="仿宋" w:cs="仿宋"/>
          <w:b/>
          <w:bCs/>
          <w:sz w:val="32"/>
          <w:szCs w:val="32"/>
        </w:rPr>
      </w:pPr>
      <w:r>
        <w:rPr>
          <w:rFonts w:hint="eastAsia" w:ascii="仿宋" w:hAnsi="仿宋" w:eastAsia="仿宋" w:cs="仿宋"/>
          <w:b/>
          <w:bCs/>
          <w:sz w:val="32"/>
          <w:szCs w:val="32"/>
        </w:rPr>
        <w:t>2、机构设置情况</w:t>
      </w:r>
    </w:p>
    <w:p>
      <w:pPr>
        <w:widowControl/>
        <w:spacing w:line="360" w:lineRule="auto"/>
        <w:ind w:firstLine="627" w:firstLineChars="196"/>
        <w:jc w:val="left"/>
        <w:rPr>
          <w:rFonts w:ascii="仿宋" w:hAnsi="仿宋" w:eastAsia="仿宋"/>
          <w:sz w:val="32"/>
          <w:szCs w:val="32"/>
        </w:rPr>
      </w:pPr>
      <w:r>
        <w:rPr>
          <w:rFonts w:hint="eastAsia" w:ascii="仿宋" w:hAnsi="仿宋" w:eastAsia="仿宋"/>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pPr>
        <w:widowControl/>
        <w:spacing w:line="500" w:lineRule="auto"/>
        <w:ind w:firstLine="630" w:firstLineChars="196"/>
        <w:jc w:val="left"/>
        <w:rPr>
          <w:rFonts w:ascii="仿宋" w:hAnsi="仿宋" w:eastAsia="仿宋"/>
          <w:b/>
          <w:sz w:val="32"/>
          <w:szCs w:val="32"/>
        </w:rPr>
      </w:pPr>
      <w:r>
        <w:rPr>
          <w:rFonts w:hint="eastAsia" w:ascii="仿宋" w:hAnsi="仿宋" w:eastAsia="仿宋"/>
          <w:b/>
          <w:sz w:val="32"/>
          <w:szCs w:val="32"/>
        </w:rPr>
        <w:t>3、人员情况</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rPr>
        <w:t>2022年末，单位编制人数98人。在职在编人员88人，离退休人员37人，遗属人员1人。劳务派遣人员43人。本年度新增3人，退休3人。</w:t>
      </w:r>
    </w:p>
    <w:p>
      <w:pPr>
        <w:snapToGrid w:val="0"/>
        <w:spacing w:line="360" w:lineRule="auto"/>
        <w:ind w:firstLine="643" w:firstLineChars="200"/>
        <w:jc w:val="left"/>
        <w:rPr>
          <w:rFonts w:ascii="仿宋" w:hAnsi="仿宋" w:eastAsia="仿宋"/>
          <w:b/>
          <w:sz w:val="32"/>
          <w:szCs w:val="32"/>
        </w:rPr>
      </w:pPr>
      <w:r>
        <w:rPr>
          <w:rFonts w:hint="eastAsia" w:ascii="仿宋" w:hAnsi="仿宋" w:eastAsia="仿宋"/>
          <w:b/>
          <w:sz w:val="32"/>
          <w:szCs w:val="32"/>
        </w:rPr>
        <w:t>4、重点工作计划</w:t>
      </w:r>
    </w:p>
    <w:p>
      <w:pPr>
        <w:snapToGrid w:val="0"/>
        <w:spacing w:line="360" w:lineRule="auto"/>
        <w:ind w:firstLine="643" w:firstLineChars="200"/>
        <w:jc w:val="left"/>
        <w:rPr>
          <w:rFonts w:ascii="仿宋_GB2312" w:eastAsia="仿宋_GB2312"/>
          <w:sz w:val="32"/>
          <w:szCs w:val="32"/>
        </w:rPr>
      </w:pPr>
      <w:r>
        <w:rPr>
          <w:rFonts w:hint="eastAsia" w:ascii="仿宋_GB2312" w:eastAsia="仿宋_GB2312"/>
          <w:b/>
          <w:color w:val="000000"/>
          <w:sz w:val="32"/>
          <w:szCs w:val="32"/>
        </w:rPr>
        <w:t>主要工作目标：</w:t>
      </w:r>
      <w:r>
        <w:rPr>
          <w:rFonts w:hint="eastAsia" w:ascii="仿宋_GB2312" w:eastAsia="仿宋_GB2312"/>
          <w:sz w:val="32"/>
          <w:szCs w:val="32"/>
        </w:rPr>
        <w:t>全年住房公积金缴存额增长率保持在6%以上，个贷率控制在95%以下，个贷逾期率控制在0.03%以内。</w:t>
      </w:r>
    </w:p>
    <w:p>
      <w:pPr>
        <w:snapToGrid w:val="0"/>
        <w:spacing w:line="360" w:lineRule="auto"/>
        <w:ind w:firstLine="643" w:firstLineChars="200"/>
        <w:jc w:val="left"/>
        <w:rPr>
          <w:rFonts w:ascii="仿宋_GB2312" w:eastAsia="仿宋_GB2312"/>
          <w:b/>
          <w:sz w:val="32"/>
          <w:szCs w:val="32"/>
        </w:rPr>
      </w:pPr>
      <w:r>
        <w:rPr>
          <w:rFonts w:hint="eastAsia" w:ascii="仿宋_GB2312" w:eastAsia="仿宋_GB2312"/>
          <w:b/>
          <w:sz w:val="32"/>
          <w:szCs w:val="32"/>
        </w:rPr>
        <w:t>主要工作要点：</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（1）创新归集业务发展方式，扩大制度覆盖面。</w:t>
      </w:r>
    </w:p>
    <w:p>
      <w:pPr>
        <w:snapToGrid w:val="0"/>
        <w:spacing w:line="360" w:lineRule="auto"/>
        <w:ind w:firstLine="640" w:firstLineChars="200"/>
        <w:jc w:val="left"/>
        <w:rPr>
          <w:rFonts w:ascii="仿宋_GB2312" w:eastAsia="仿宋_GB2312"/>
          <w:color w:val="000000"/>
          <w:sz w:val="32"/>
          <w:szCs w:val="32"/>
        </w:rPr>
      </w:pPr>
      <w:r>
        <w:rPr>
          <w:rFonts w:hint="eastAsia" w:ascii="宋体" w:hAnsi="宋体"/>
          <w:color w:val="000000"/>
          <w:sz w:val="32"/>
          <w:szCs w:val="32"/>
        </w:rPr>
        <w:t>⒈</w:t>
      </w:r>
      <w:r>
        <w:rPr>
          <w:rFonts w:hint="eastAsia" w:ascii="仿宋_GB2312" w:eastAsia="仿宋_GB2312"/>
          <w:color w:val="000000"/>
          <w:sz w:val="32"/>
          <w:szCs w:val="32"/>
        </w:rPr>
        <w:t>探索与社保、医保等单位建立共享数据资源机制；</w:t>
      </w:r>
      <w:r>
        <w:rPr>
          <w:rFonts w:hint="eastAsia" w:ascii="宋体" w:hAnsi="宋体"/>
          <w:color w:val="000000"/>
          <w:sz w:val="32"/>
          <w:szCs w:val="32"/>
        </w:rPr>
        <w:t>⒉</w:t>
      </w:r>
      <w:r>
        <w:rPr>
          <w:rFonts w:hint="eastAsia" w:ascii="仿宋_GB2312" w:eastAsia="仿宋_GB2312"/>
          <w:color w:val="000000"/>
          <w:sz w:val="32"/>
          <w:szCs w:val="32"/>
        </w:rPr>
        <w:t>探索与受托银行合作推进扩面工作；</w:t>
      </w:r>
      <w:r>
        <w:rPr>
          <w:rFonts w:hint="eastAsia" w:ascii="宋体" w:hAnsi="宋体"/>
          <w:color w:val="000000"/>
          <w:sz w:val="32"/>
          <w:szCs w:val="32"/>
        </w:rPr>
        <w:t>⒊</w:t>
      </w:r>
      <w:r>
        <w:rPr>
          <w:rFonts w:hint="eastAsia" w:ascii="仿宋_GB2312" w:eastAsia="仿宋_GB2312"/>
          <w:color w:val="000000"/>
          <w:sz w:val="32"/>
          <w:szCs w:val="32"/>
        </w:rPr>
        <w:t>梳理完善灵活就业人员自愿缴存使用制度；</w:t>
      </w:r>
      <w:r>
        <w:rPr>
          <w:rFonts w:hint="eastAsia" w:ascii="宋体" w:hAnsi="宋体"/>
          <w:color w:val="000000"/>
          <w:sz w:val="32"/>
          <w:szCs w:val="32"/>
        </w:rPr>
        <w:t>⒋</w:t>
      </w:r>
      <w:r>
        <w:rPr>
          <w:rFonts w:hint="eastAsia" w:ascii="仿宋_GB2312" w:eastAsia="仿宋_GB2312"/>
          <w:color w:val="000000"/>
          <w:sz w:val="32"/>
          <w:szCs w:val="32"/>
        </w:rPr>
        <w:t xml:space="preserve">贯彻落实国家、省市为妥善应对新冠肺炎疫情出台的住房公积金阶段性支持政策。 </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（2）改进提取业务发展方式，支持低收入和困难群体改善住房条件。</w:t>
      </w:r>
    </w:p>
    <w:p>
      <w:pPr>
        <w:snapToGrid w:val="0"/>
        <w:spacing w:line="360" w:lineRule="auto"/>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t>5.全面梳理购房提取政策及流程，推动租购并举的住房制度建设；6.继续提升老旧小区改造加装电梯的住房公积金提取业务服务。</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（3）改进贷款业务发展方式，突出制度的住房保障作用。</w:t>
      </w:r>
    </w:p>
    <w:p>
      <w:pPr>
        <w:snapToGrid w:val="0"/>
        <w:spacing w:line="360" w:lineRule="auto"/>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t>7.</w:t>
      </w:r>
      <w:r>
        <w:rPr>
          <w:rFonts w:hint="eastAsia" w:ascii="仿宋_GB2312" w:eastAsia="仿宋_GB2312"/>
          <w:color w:val="000000"/>
          <w:sz w:val="32"/>
          <w:szCs w:val="32"/>
        </w:rPr>
        <w:t>坚持“房子是用来住的，不是用来炒的”定位；</w:t>
      </w:r>
      <w:r>
        <w:rPr>
          <w:rFonts w:hint="eastAsia" w:ascii="仿宋" w:hAnsi="仿宋" w:eastAsia="仿宋"/>
          <w:color w:val="000000"/>
          <w:sz w:val="32"/>
          <w:szCs w:val="32"/>
        </w:rPr>
        <w:t>8.</w:t>
      </w:r>
      <w:r>
        <w:rPr>
          <w:rFonts w:hint="eastAsia" w:ascii="仿宋_GB2312" w:eastAsia="仿宋_GB2312"/>
          <w:color w:val="000000"/>
          <w:sz w:val="32"/>
          <w:szCs w:val="32"/>
        </w:rPr>
        <w:t>进一步优化贷款业务政策设计，简化办理流程，提高效率；</w:t>
      </w:r>
      <w:r>
        <w:rPr>
          <w:rFonts w:hint="eastAsia" w:ascii="仿宋" w:hAnsi="仿宋" w:eastAsia="仿宋"/>
          <w:color w:val="000000"/>
          <w:sz w:val="32"/>
          <w:szCs w:val="32"/>
        </w:rPr>
        <w:t>9.</w:t>
      </w:r>
      <w:r>
        <w:rPr>
          <w:rFonts w:hint="eastAsia" w:ascii="仿宋_GB2312" w:eastAsia="仿宋_GB2312"/>
          <w:color w:val="000000"/>
          <w:sz w:val="32"/>
          <w:szCs w:val="32"/>
        </w:rPr>
        <w:t>推进武陵山区域公积金一体化建设，建立住房公积金异地互认互贷机制，完善住房公积金异地转移接续合作机制。</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（4）健全内部组织架构。</w:t>
      </w:r>
    </w:p>
    <w:p>
      <w:pPr>
        <w:snapToGrid w:val="0"/>
        <w:spacing w:line="360" w:lineRule="auto"/>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t>10.</w:t>
      </w:r>
      <w:r>
        <w:rPr>
          <w:rFonts w:hint="eastAsia" w:ascii="仿宋_GB2312" w:eastAsia="仿宋_GB2312"/>
          <w:color w:val="000000"/>
          <w:sz w:val="32"/>
          <w:szCs w:val="32"/>
        </w:rPr>
        <w:t>全力推进机构改革；</w:t>
      </w:r>
      <w:r>
        <w:rPr>
          <w:rFonts w:hint="eastAsia" w:ascii="仿宋" w:hAnsi="仿宋" w:eastAsia="仿宋"/>
          <w:color w:val="000000"/>
          <w:sz w:val="32"/>
          <w:szCs w:val="32"/>
        </w:rPr>
        <w:t>11.</w:t>
      </w:r>
      <w:r>
        <w:rPr>
          <w:rFonts w:hint="eastAsia" w:ascii="仿宋_GB2312" w:eastAsia="仿宋_GB2312"/>
          <w:color w:val="000000"/>
          <w:sz w:val="32"/>
          <w:szCs w:val="32"/>
        </w:rPr>
        <w:t>健全工作督办和追责问责机制。</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（5）强化依法依规管理。</w:t>
      </w:r>
    </w:p>
    <w:p>
      <w:pPr>
        <w:snapToGrid w:val="0"/>
        <w:spacing w:line="360" w:lineRule="auto"/>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t>12.</w:t>
      </w:r>
      <w:r>
        <w:rPr>
          <w:rFonts w:hint="eastAsia" w:ascii="仿宋_GB2312" w:eastAsia="仿宋_GB2312"/>
          <w:color w:val="000000"/>
          <w:sz w:val="32"/>
          <w:szCs w:val="32"/>
        </w:rPr>
        <w:t>坚持依法决策；</w:t>
      </w:r>
      <w:r>
        <w:rPr>
          <w:rFonts w:hint="eastAsia" w:ascii="仿宋" w:hAnsi="仿宋" w:eastAsia="仿宋"/>
          <w:color w:val="000000"/>
          <w:sz w:val="32"/>
          <w:szCs w:val="32"/>
        </w:rPr>
        <w:t>13.加大骗取骗贷和开发商拒贷行为惩处力度</w:t>
      </w:r>
      <w:r>
        <w:rPr>
          <w:rFonts w:hint="eastAsia" w:ascii="仿宋_GB2312" w:eastAsia="仿宋_GB2312"/>
          <w:color w:val="000000"/>
          <w:sz w:val="32"/>
          <w:szCs w:val="32"/>
        </w:rPr>
        <w:t>；</w:t>
      </w:r>
      <w:r>
        <w:rPr>
          <w:rFonts w:hint="eastAsia" w:ascii="仿宋" w:hAnsi="仿宋" w:eastAsia="仿宋"/>
          <w:color w:val="000000"/>
          <w:sz w:val="32"/>
          <w:szCs w:val="32"/>
        </w:rPr>
        <w:t>14.建立住房公积金信用评价管理制度</w:t>
      </w:r>
      <w:r>
        <w:rPr>
          <w:rFonts w:hint="eastAsia" w:ascii="仿宋_GB2312" w:eastAsia="仿宋_GB2312"/>
          <w:color w:val="000000"/>
          <w:sz w:val="32"/>
          <w:szCs w:val="32"/>
        </w:rPr>
        <w:t>；</w:t>
      </w:r>
      <w:r>
        <w:rPr>
          <w:rFonts w:hint="eastAsia" w:ascii="仿宋" w:hAnsi="仿宋" w:eastAsia="仿宋"/>
          <w:color w:val="000000"/>
          <w:sz w:val="32"/>
          <w:szCs w:val="32"/>
        </w:rPr>
        <w:t>15.严格执行各项内控制度</w:t>
      </w:r>
      <w:r>
        <w:rPr>
          <w:rFonts w:hint="eastAsia" w:ascii="仿宋_GB2312" w:eastAsia="仿宋_GB2312"/>
          <w:color w:val="000000"/>
          <w:sz w:val="32"/>
          <w:szCs w:val="32"/>
        </w:rPr>
        <w:t>。</w:t>
      </w:r>
    </w:p>
    <w:p>
      <w:pPr>
        <w:snapToGrid w:val="0"/>
        <w:spacing w:line="360" w:lineRule="auto"/>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（6）强化高效运作，提高资金收益水平。</w:t>
      </w:r>
    </w:p>
    <w:p>
      <w:pPr>
        <w:snapToGrid w:val="0"/>
        <w:spacing w:line="360" w:lineRule="auto"/>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16.统筹安排资金管理使用；17.科学分析资金收益贡献率。</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（二）部门整体支出规模、使用方向和主要内容、涉及范围等。</w:t>
      </w:r>
    </w:p>
    <w:p>
      <w:pPr>
        <w:widowControl/>
        <w:shd w:val="clear" w:color="auto" w:fill="FFFFFF"/>
        <w:spacing w:line="600" w:lineRule="atLeast"/>
        <w:ind w:firstLine="476" w:firstLineChars="150"/>
        <w:rPr>
          <w:rFonts w:ascii="仿宋" w:hAnsi="仿宋" w:eastAsia="仿宋"/>
          <w:sz w:val="32"/>
          <w:szCs w:val="32"/>
        </w:rPr>
      </w:pPr>
      <w:r>
        <w:rPr>
          <w:rFonts w:hint="eastAsia" w:ascii="仿宋" w:hAnsi="仿宋" w:eastAsia="仿宋"/>
          <w:b/>
          <w:spacing w:val="-2"/>
          <w:sz w:val="32"/>
          <w:szCs w:val="32"/>
        </w:rPr>
        <w:t>部门整体支出规模：</w:t>
      </w:r>
      <w:r>
        <w:rPr>
          <w:rFonts w:hint="eastAsia" w:ascii="仿宋" w:hAnsi="仿宋" w:eastAsia="仿宋"/>
          <w:sz w:val="32"/>
          <w:szCs w:val="32"/>
        </w:rPr>
        <w:t>2022年共收入2964.44万元，其中：一般公共预算财政拨款2961.20万</w:t>
      </w:r>
      <w:r>
        <w:rPr>
          <w:rFonts w:ascii="仿宋" w:hAnsi="仿宋" w:eastAsia="仿宋"/>
          <w:sz w:val="32"/>
          <w:szCs w:val="32"/>
        </w:rPr>
        <w:t>元</w:t>
      </w:r>
      <w:r>
        <w:rPr>
          <w:rFonts w:hint="eastAsia" w:ascii="仿宋" w:hAnsi="仿宋" w:eastAsia="仿宋"/>
          <w:sz w:val="32"/>
          <w:szCs w:val="32"/>
        </w:rPr>
        <w:t>，其他收入3.24万元；2022年共支出3057.45万元。</w:t>
      </w:r>
    </w:p>
    <w:p>
      <w:pPr>
        <w:widowControl/>
        <w:shd w:val="clear" w:color="auto" w:fill="FFFFFF"/>
        <w:spacing w:line="600" w:lineRule="atLeast"/>
        <w:ind w:firstLine="476" w:firstLineChars="150"/>
        <w:rPr>
          <w:rFonts w:ascii="仿宋" w:hAnsi="仿宋" w:eastAsia="仿宋"/>
          <w:color w:val="FF0000"/>
          <w:sz w:val="32"/>
          <w:szCs w:val="32"/>
        </w:rPr>
      </w:pPr>
      <w:r>
        <w:rPr>
          <w:rFonts w:hint="eastAsia" w:ascii="仿宋" w:hAnsi="仿宋" w:eastAsia="仿宋"/>
          <w:b/>
          <w:spacing w:val="-2"/>
          <w:sz w:val="32"/>
          <w:szCs w:val="32"/>
        </w:rPr>
        <w:t>使用方向：</w:t>
      </w:r>
      <w:r>
        <w:rPr>
          <w:rFonts w:hint="eastAsia" w:ascii="仿宋" w:hAnsi="仿宋" w:eastAsia="仿宋"/>
          <w:sz w:val="32"/>
          <w:szCs w:val="32"/>
        </w:rPr>
        <w:t>用于部门人员支出1449.09万元，公用支出341.29万元，事业运行维护项目支出1267.07万元。</w:t>
      </w:r>
    </w:p>
    <w:p>
      <w:pPr>
        <w:widowControl/>
        <w:shd w:val="clear" w:color="auto" w:fill="FFFFFF"/>
        <w:spacing w:line="600" w:lineRule="atLeast"/>
        <w:ind w:firstLine="476" w:firstLineChars="150"/>
        <w:rPr>
          <w:rFonts w:ascii="仿宋" w:hAnsi="仿宋" w:eastAsia="仿宋"/>
          <w:sz w:val="32"/>
          <w:szCs w:val="32"/>
        </w:rPr>
      </w:pPr>
      <w:r>
        <w:rPr>
          <w:rFonts w:hint="eastAsia" w:ascii="仿宋" w:hAnsi="仿宋" w:eastAsia="仿宋"/>
          <w:b/>
          <w:spacing w:val="-2"/>
          <w:sz w:val="32"/>
          <w:szCs w:val="32"/>
        </w:rPr>
        <w:t>主要内容：</w:t>
      </w:r>
      <w:r>
        <w:rPr>
          <w:rFonts w:hint="eastAsia" w:ascii="仿宋" w:hAnsi="仿宋" w:eastAsia="仿宋"/>
          <w:sz w:val="32"/>
          <w:szCs w:val="32"/>
        </w:rPr>
        <w:t>部门人员支出主要是工资福利1385.63万元（含基本工资、津贴补贴、社会保障缴费、住房公积金支出等）及对个人和家庭的补助支出63.46万元（含退休人员生活补助、独生子女费等）。</w:t>
      </w:r>
    </w:p>
    <w:p>
      <w:pPr>
        <w:widowControl/>
        <w:shd w:val="clear" w:color="auto" w:fill="FFFFFF"/>
        <w:spacing w:line="600" w:lineRule="atLeast"/>
        <w:ind w:firstLine="480" w:firstLineChars="150"/>
        <w:rPr>
          <w:rFonts w:ascii="仿宋" w:hAnsi="仿宋" w:eastAsia="仿宋"/>
          <w:sz w:val="32"/>
          <w:szCs w:val="32"/>
        </w:rPr>
      </w:pPr>
      <w:r>
        <w:rPr>
          <w:rFonts w:hint="eastAsia" w:ascii="仿宋" w:hAnsi="仿宋" w:eastAsia="仿宋"/>
          <w:sz w:val="32"/>
          <w:szCs w:val="32"/>
        </w:rPr>
        <w:t>公用支出主要是为保障机构日常运转开支的商品和服务支出341.19万元（含办公费、水电费、邮电费、物业管理费、差旅费、维修（护）费、会议费、“三公经费”等）。</w:t>
      </w:r>
    </w:p>
    <w:p>
      <w:pPr>
        <w:widowControl/>
        <w:shd w:val="clear" w:color="auto" w:fill="FFFFFF"/>
        <w:spacing w:line="600" w:lineRule="atLeast"/>
        <w:ind w:firstLine="480" w:firstLineChars="150"/>
        <w:rPr>
          <w:rFonts w:ascii="仿宋" w:hAnsi="仿宋" w:eastAsia="仿宋"/>
          <w:sz w:val="32"/>
          <w:szCs w:val="32"/>
        </w:rPr>
      </w:pPr>
      <w:r>
        <w:rPr>
          <w:rFonts w:hint="eastAsia" w:ascii="仿宋" w:hAnsi="仿宋" w:eastAsia="仿宋"/>
          <w:sz w:val="32"/>
          <w:szCs w:val="32"/>
        </w:rPr>
        <w:t>事业运行维护项目支出1267.07万元,主要是为了保证住房公积金事业可持续发展、履行单位职能、创建高效便捷的服务支出（含机关及相关管理部资本性支出、信息网络购建及维护、乡村振兴帮扶资金、抗疫资金等）。</w:t>
      </w:r>
    </w:p>
    <w:p>
      <w:pPr>
        <w:widowControl/>
        <w:shd w:val="clear" w:color="auto" w:fill="FFFFFF"/>
        <w:spacing w:line="600" w:lineRule="atLeast"/>
        <w:ind w:firstLine="476" w:firstLineChars="150"/>
        <w:rPr>
          <w:rFonts w:ascii="仿宋" w:hAnsi="仿宋" w:eastAsia="仿宋"/>
          <w:sz w:val="32"/>
          <w:szCs w:val="32"/>
        </w:rPr>
      </w:pPr>
      <w:r>
        <w:rPr>
          <w:rFonts w:hint="eastAsia" w:ascii="仿宋" w:hAnsi="仿宋" w:eastAsia="仿宋"/>
          <w:b/>
          <w:spacing w:val="-2"/>
          <w:sz w:val="32"/>
          <w:szCs w:val="32"/>
        </w:rPr>
        <w:t>涉及范围：</w:t>
      </w:r>
      <w:r>
        <w:rPr>
          <w:rFonts w:hint="eastAsia" w:ascii="仿宋" w:hAnsi="仿宋" w:eastAsia="仿宋"/>
          <w:sz w:val="32"/>
          <w:szCs w:val="32"/>
        </w:rPr>
        <w:t>本部门工作人员、本机构、服务对象。</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pPr>
        <w:widowControl/>
        <w:shd w:val="clear" w:color="auto" w:fill="FFFFFF"/>
        <w:spacing w:line="600" w:lineRule="atLeast"/>
        <w:ind w:firstLine="643"/>
        <w:rPr>
          <w:rFonts w:ascii="仿宋" w:hAnsi="仿宋" w:eastAsia="仿宋"/>
          <w:sz w:val="32"/>
          <w:szCs w:val="32"/>
        </w:rPr>
      </w:pPr>
      <w:r>
        <w:rPr>
          <w:rFonts w:hint="eastAsia" w:ascii="仿宋" w:hAnsi="仿宋" w:eastAsia="仿宋"/>
          <w:sz w:val="32"/>
          <w:szCs w:val="32"/>
        </w:rPr>
        <w:t>我单位中心机关、管理部财务支出实行“统一管理、统一制度、统一核算”的原则。中心机关、管理部的人员经费由中心统一管理。人员经费严格按照相关文件标准、范围控制，不超标准、超范围发放工资、奖金，按时、足额、准确发放每月工资。</w:t>
      </w:r>
    </w:p>
    <w:p>
      <w:pPr>
        <w:widowControl/>
        <w:spacing w:line="500" w:lineRule="auto"/>
        <w:ind w:firstLine="627" w:firstLineChars="196"/>
        <w:jc w:val="left"/>
        <w:rPr>
          <w:rFonts w:ascii="仿宋" w:hAnsi="仿宋" w:eastAsia="仿宋"/>
          <w:sz w:val="32"/>
          <w:szCs w:val="32"/>
        </w:rPr>
      </w:pPr>
      <w:r>
        <w:rPr>
          <w:rFonts w:hint="eastAsia" w:ascii="仿宋" w:hAnsi="仿宋" w:eastAsia="仿宋"/>
          <w:sz w:val="32"/>
          <w:szCs w:val="32"/>
        </w:rPr>
        <w:t>公用经费管理方面，严格执行中央“八项规定”、纠“四风”要求和省委“九项规定”及市委市政府的有关规定，全面贯彻落实《党政机关厉行节约反对浪费条例》，树立过“紧日子”思想，厉行节约，严格控制各项公用经费开支。中心每年年初按财政批复的预算确定各管理部费用指标，管理部的公用经费按照中心下达的公用经费预算执行，费用支出控制在每一项指标内，严禁先斩后奏和超预算支出。</w:t>
      </w:r>
    </w:p>
    <w:p>
      <w:pPr>
        <w:widowControl/>
        <w:shd w:val="clear" w:color="auto" w:fill="FFFFFF"/>
        <w:spacing w:line="600" w:lineRule="atLeast"/>
        <w:ind w:firstLine="643"/>
        <w:rPr>
          <w:rFonts w:ascii="仿宋" w:hAnsi="仿宋" w:eastAsia="仿宋"/>
          <w:sz w:val="32"/>
          <w:szCs w:val="32"/>
        </w:rPr>
      </w:pPr>
      <w:r>
        <w:rPr>
          <w:rFonts w:hint="eastAsia" w:ascii="仿宋" w:hAnsi="仿宋" w:eastAsia="仿宋"/>
          <w:sz w:val="32"/>
          <w:szCs w:val="32"/>
        </w:rPr>
        <w:t>2022年我单位发生基本支出1790.38万元,其中：人员经费支出1449.09万元，包含工资福利支出1385.63万元，对个人和家庭的补助63.46万元，用于保障单位在职人员工资福利及退休人员生活补助等；公用经费支出341.29万元，包含商品和服务支出341.19万元，资本性支出0.1万元，用于保障单位日常运转。</w:t>
      </w:r>
    </w:p>
    <w:p>
      <w:pPr>
        <w:widowControl/>
        <w:spacing w:line="500" w:lineRule="auto"/>
        <w:ind w:firstLine="627" w:firstLineChars="196"/>
        <w:jc w:val="left"/>
        <w:rPr>
          <w:rFonts w:ascii="仿宋" w:hAnsi="仿宋" w:eastAsia="仿宋" w:cs="仿宋"/>
          <w:color w:val="000000"/>
          <w:sz w:val="32"/>
          <w:szCs w:val="32"/>
        </w:rPr>
      </w:pPr>
      <w:r>
        <w:rPr>
          <w:rFonts w:hint="eastAsia" w:ascii="仿宋" w:hAnsi="仿宋" w:eastAsia="仿宋"/>
          <w:sz w:val="32"/>
          <w:szCs w:val="32"/>
        </w:rPr>
        <w:t>2022年我单位三公经费支出22.81万元，比上年减少5.30万元，减幅为18.87%，其中：因公出国（境）费0万元，与上年一致；公务用车购置及运行费22.74万元，比上年减少4.76万元，减幅为17.31%</w:t>
      </w:r>
      <w:r>
        <w:rPr>
          <w:rFonts w:hint="eastAsia" w:ascii="仿宋" w:hAnsi="仿宋" w:eastAsia="仿宋" w:cs="仿宋"/>
          <w:color w:val="000000"/>
          <w:sz w:val="32"/>
          <w:szCs w:val="32"/>
        </w:rPr>
        <w:t>；</w:t>
      </w:r>
      <w:r>
        <w:rPr>
          <w:rFonts w:hint="eastAsia" w:ascii="仿宋" w:hAnsi="仿宋" w:eastAsia="仿宋"/>
          <w:sz w:val="32"/>
          <w:szCs w:val="32"/>
        </w:rPr>
        <w:t>公务接待费0.07万元，比上年减少0.55万元，减幅为88.65%。</w:t>
      </w:r>
      <w:r>
        <w:rPr>
          <w:rFonts w:hint="eastAsia" w:ascii="仿宋" w:hAnsi="仿宋" w:eastAsia="仿宋" w:cs="仿宋"/>
          <w:color w:val="000000"/>
          <w:sz w:val="32"/>
          <w:szCs w:val="32"/>
        </w:rPr>
        <w:t>减少原因主要在于：本年度受新冠疫情影响公务用车频率大幅度下降以及同行业内工作交流次数大幅度减少。</w:t>
      </w:r>
    </w:p>
    <w:p>
      <w:pPr>
        <w:widowControl/>
        <w:spacing w:line="500" w:lineRule="auto"/>
        <w:ind w:firstLine="622" w:firstLineChars="196"/>
        <w:jc w:val="left"/>
        <w:rPr>
          <w:rFonts w:ascii="楷体" w:hAnsi="楷体" w:eastAsia="楷体"/>
          <w:b/>
          <w:spacing w:val="-2"/>
          <w:sz w:val="32"/>
          <w:szCs w:val="21"/>
        </w:rPr>
      </w:pPr>
      <w:r>
        <w:rPr>
          <w:rFonts w:ascii="楷体" w:hAnsi="楷体" w:eastAsia="楷体"/>
          <w:b/>
          <w:spacing w:val="-2"/>
          <w:sz w:val="32"/>
          <w:szCs w:val="32"/>
        </w:rPr>
        <w:t>（二）专项支出</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1、专项资金（包括财政资金、自筹资金等）安排落实、总投入等情况分析。</w:t>
      </w:r>
    </w:p>
    <w:p>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z w:val="32"/>
          <w:szCs w:val="32"/>
        </w:rPr>
        <w:t>我中心是纳入部门预算的自收自支公益一类事业单位，专项资金性质是财政资金，来源为自筹资金。2022年年初预算安排专项资金2245.42万元，2022年调整预算后安排下达专项资金1556.06万元。</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2、专项资金（主要指财政资金）实际使用情况分析。</w:t>
      </w:r>
    </w:p>
    <w:p>
      <w:pPr>
        <w:widowControl/>
        <w:shd w:val="clear" w:color="auto" w:fill="FFFFFF"/>
        <w:ind w:firstLine="640" w:firstLineChars="200"/>
        <w:rPr>
          <w:rFonts w:ascii="仿宋" w:hAnsi="仿宋" w:eastAsia="仿宋"/>
          <w:sz w:val="32"/>
          <w:szCs w:val="32"/>
        </w:rPr>
      </w:pPr>
      <w:r>
        <w:rPr>
          <w:rFonts w:hint="eastAsia" w:ascii="仿宋" w:hAnsi="仿宋" w:eastAsia="仿宋"/>
          <w:sz w:val="32"/>
          <w:szCs w:val="32"/>
        </w:rPr>
        <w:t>2022年我中心共收到专项资金拨款1556.06万元，实际支出1267.07万元，其中：本年安排项目支出1149.11万元，本年项目结余结转406.95万元；以前年度项目支出117.96万元。</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3、专项资金管理情况分析，主要包括管理制度、办法的制订及执行情况。</w:t>
      </w:r>
    </w:p>
    <w:p>
      <w:pPr>
        <w:pStyle w:val="9"/>
        <w:spacing w:line="360" w:lineRule="auto"/>
        <w:ind w:firstLine="640" w:firstLineChars="200"/>
        <w:rPr>
          <w:rFonts w:ascii="仿宋" w:eastAsia="仿宋"/>
          <w:sz w:val="32"/>
          <w:szCs w:val="32"/>
        </w:rPr>
      </w:pPr>
      <w:r>
        <w:rPr>
          <w:rFonts w:hint="eastAsia" w:ascii="仿宋" w:eastAsia="仿宋"/>
          <w:sz w:val="32"/>
          <w:szCs w:val="32"/>
        </w:rPr>
        <w:t>我单位制订了《怀化市住房公积金管理中心专项资金管理暂行办法》、《怀化市住房公积金管理中心预决算管理办法》等，单位的项目资金管理均按照上述办法严格执行，项目资金使用实行先收后支、专款专用的原则。</w:t>
      </w:r>
    </w:p>
    <w:p>
      <w:pPr>
        <w:pStyle w:val="9"/>
        <w:spacing w:line="360" w:lineRule="auto"/>
        <w:ind w:firstLine="640" w:firstLineChars="200"/>
        <w:rPr>
          <w:rFonts w:ascii="仿宋" w:eastAsia="仿宋"/>
          <w:sz w:val="32"/>
          <w:szCs w:val="32"/>
        </w:rPr>
      </w:pPr>
      <w:r>
        <w:rPr>
          <w:rFonts w:hint="eastAsia" w:ascii="仿宋" w:eastAsia="仿宋"/>
          <w:sz w:val="32"/>
          <w:szCs w:val="32"/>
        </w:rPr>
        <w:t>专项资金使用实行申报制度。需要使用专项资金时，由职能部门或管理部向财务部提交有关专项资金用款计划，项目实施有关文件及领导批示等文本资料。财务部门根据上述文本资料进行初审，报财务主管领导审批后提交到财政归口科室</w:t>
      </w:r>
      <w:r>
        <w:rPr>
          <w:rFonts w:hint="eastAsia" w:ascii="仿宋" w:eastAsia="仿宋"/>
          <w:sz w:val="32"/>
          <w:szCs w:val="32"/>
          <w:lang w:eastAsia="zh-CN"/>
        </w:rPr>
        <w:t>审核</w:t>
      </w:r>
      <w:bookmarkStart w:id="0" w:name="_GoBack"/>
      <w:bookmarkEnd w:id="0"/>
      <w:r>
        <w:rPr>
          <w:rFonts w:hint="eastAsia" w:ascii="仿宋" w:eastAsia="仿宋"/>
          <w:sz w:val="32"/>
          <w:szCs w:val="32"/>
        </w:rPr>
        <w:t>，经财政下达指标后，按照项目进度及合同约定支付。</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三、部门专项组织实施情况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（一）专项组织情况分析，主要包括项目招投标、调整、竣工验收等情况。</w:t>
      </w:r>
    </w:p>
    <w:p>
      <w:pPr>
        <w:pStyle w:val="9"/>
        <w:spacing w:line="360" w:lineRule="auto"/>
        <w:ind w:firstLine="640" w:firstLineChars="200"/>
        <w:rPr>
          <w:rFonts w:ascii="仿宋" w:eastAsia="仿宋"/>
          <w:sz w:val="32"/>
          <w:szCs w:val="32"/>
        </w:rPr>
      </w:pPr>
      <w:r>
        <w:rPr>
          <w:rFonts w:hint="eastAsia" w:ascii="仿宋" w:eastAsia="仿宋"/>
          <w:sz w:val="32"/>
          <w:szCs w:val="32"/>
        </w:rPr>
        <w:t>2022年度年初预算安排19个项目2245.42万元，调整预算时调增8个项目，调减5个项目，调整后安排26个项目1556.06万元。</w:t>
      </w:r>
    </w:p>
    <w:p>
      <w:pPr>
        <w:pStyle w:val="9"/>
        <w:spacing w:line="360" w:lineRule="auto"/>
        <w:ind w:firstLine="640" w:firstLineChars="200"/>
        <w:rPr>
          <w:rFonts w:ascii="仿宋" w:eastAsia="仿宋"/>
          <w:sz w:val="32"/>
          <w:szCs w:val="32"/>
        </w:rPr>
      </w:pPr>
      <w:r>
        <w:rPr>
          <w:rFonts w:hint="eastAsia" w:ascii="仿宋" w:eastAsia="仿宋"/>
          <w:sz w:val="32"/>
          <w:szCs w:val="32"/>
        </w:rPr>
        <w:t>其中：单一来源采购项目1个（贷款担保服务费），由省住建厅公开招标采购项目2个（短信费用、12329热线），竞争性磋商项目1个（各管理部服务大厅门头翻修），询价项目2个（业务线路费、安全加固—数据库运维管控系统（防火墙）），公开招标项目2个（市本级物业管理费、数据治理），通过电子卖场竞价采购项目3个（电子化办公服务设备和办公家具购置、机房服务器\网络硬件服务、等保测评费），其余15个项目不需通过招投标（人事代理人员解除劳务关系赔偿金、新冠疫情防控专项工作经费、芷江县罗卜田乡兴无村乡村振兴帮扶资金、沅陵县马底驿乡茶叶产业发展帮扶资金、中心及13个县市区管理部乡村振兴点捐赠及驻村经费、麻阳县高村镇土潭村修建桥坝资金、劳务派遣人员工资奖金、原人事代理人员工资/奖金/五险一金、离退休人员特需费、绩效奖配套住房公积金、2022年晋级晋档及新进人员工资配套、福利费行政补助、工会经费行政补助、抗疫补助资金、引进人才财政补贴）。</w:t>
      </w:r>
    </w:p>
    <w:p>
      <w:pPr>
        <w:pStyle w:val="9"/>
        <w:spacing w:line="360" w:lineRule="auto"/>
        <w:ind w:firstLine="640" w:firstLineChars="200"/>
        <w:rPr>
          <w:rFonts w:ascii="仿宋" w:hAnsi="仿宋" w:eastAsia="仿宋"/>
          <w:spacing w:val="-2"/>
          <w:sz w:val="32"/>
          <w:szCs w:val="21"/>
        </w:rPr>
      </w:pPr>
      <w:r>
        <w:rPr>
          <w:rFonts w:hint="eastAsia" w:ascii="仿宋" w:eastAsia="仿宋"/>
          <w:sz w:val="32"/>
          <w:szCs w:val="32"/>
        </w:rPr>
        <w:t>其中：</w:t>
      </w:r>
      <w:r>
        <w:rPr>
          <w:rFonts w:hint="eastAsia" w:ascii="仿宋" w:hAnsi="仿宋" w:eastAsia="仿宋"/>
          <w:sz w:val="32"/>
          <w:szCs w:val="32"/>
        </w:rPr>
        <w:t>完成22个项目，共支付1105.12万元，结转结余41.54万元。未完成的4个项目中，已合计支付进度款43.99万元，余进度款365.41万元待支付。</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（二）专项管理情况分析，主要包括项目管理制度建设、日常检查监督管理等情况。</w:t>
      </w:r>
    </w:p>
    <w:p>
      <w:pPr>
        <w:pStyle w:val="9"/>
        <w:spacing w:line="360" w:lineRule="auto"/>
        <w:ind w:firstLine="640" w:firstLineChars="200"/>
        <w:rPr>
          <w:rFonts w:ascii="仿宋" w:eastAsia="仿宋"/>
          <w:sz w:val="32"/>
          <w:szCs w:val="32"/>
        </w:rPr>
      </w:pPr>
      <w:r>
        <w:rPr>
          <w:rFonts w:hint="eastAsia" w:ascii="仿宋" w:eastAsia="仿宋"/>
          <w:sz w:val="32"/>
          <w:szCs w:val="32"/>
        </w:rPr>
        <w:t>我单位财务部门负责项目的资金管理，资金收付业务及会计核算工作，并负责向领导及职能部门反馈收支进度情况。相关职能部门负责项目的执行管理工作，即项目的申报、项目的实施、项目资金使用情况的监督、评价工作。</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pPr>
        <w:spacing w:line="360" w:lineRule="auto"/>
        <w:rPr>
          <w:rFonts w:ascii="仿宋" w:hAnsi="仿宋" w:eastAsia="仿宋"/>
          <w:sz w:val="32"/>
          <w:szCs w:val="32"/>
        </w:rPr>
      </w:pPr>
      <w:r>
        <w:rPr>
          <w:rFonts w:hint="eastAsia" w:ascii="仿宋" w:hAnsi="仿宋" w:eastAsia="仿宋"/>
          <w:b/>
          <w:sz w:val="32"/>
          <w:szCs w:val="32"/>
        </w:rPr>
        <w:t>（一）制度完善。</w:t>
      </w:r>
      <w:r>
        <w:rPr>
          <w:rFonts w:hint="eastAsia" w:ascii="仿宋" w:hAnsi="仿宋" w:eastAsia="仿宋"/>
          <w:sz w:val="32"/>
          <w:szCs w:val="32"/>
        </w:rPr>
        <w:t>按照上级部门及本级财政的要求，结合单位实际，先后制定、更新了一系列文件规定：《怀化市住房公积金管理中心财务支出管理暂行规定》（怀市公积金发【2016】24号）、《怀化市住房公积金管理中心预决算管理办法》、《怀化市住房公积金管理中心资产管理办法》、《怀化市住房公积金管理中心资产清查制度》（怀市公积金发【2016】25号）、《怀化市住房公积金管理中心国债和定期存款及大额资金调度管理办法》（怀市公积金发【2017】17号）、《怀化市住房公积金管理中心政府采购内部控制管理制度》（怀市公积金发【2021】10号）等。</w:t>
      </w:r>
    </w:p>
    <w:p>
      <w:pPr>
        <w:spacing w:line="360" w:lineRule="auto"/>
        <w:rPr>
          <w:rFonts w:ascii="仿宋" w:hAnsi="仿宋" w:eastAsia="仿宋"/>
          <w:sz w:val="32"/>
          <w:szCs w:val="32"/>
        </w:rPr>
      </w:pPr>
      <w:r>
        <w:rPr>
          <w:rFonts w:hint="eastAsia" w:ascii="仿宋" w:hAnsi="仿宋" w:eastAsia="仿宋"/>
          <w:b/>
          <w:sz w:val="32"/>
          <w:szCs w:val="32"/>
        </w:rPr>
        <w:t>（二）机构设置、人员配备齐全，职责明晰。</w:t>
      </w:r>
      <w:r>
        <w:rPr>
          <w:rFonts w:hint="eastAsia" w:ascii="仿宋" w:hAnsi="仿宋" w:eastAsia="仿宋"/>
          <w:sz w:val="32"/>
          <w:szCs w:val="32"/>
        </w:rPr>
        <w:t>货币资金及应收款项由财务部门负责管理，实物资产和无形资产由综合部实施归口管理，科技信息部门和财务部门协助管理。综合部及财务部门均指定了专人负责固定资产管理，因工作管理需要，在13个管理部也指定了专门的固定资产管理员。</w:t>
      </w:r>
    </w:p>
    <w:p>
      <w:pPr>
        <w:spacing w:line="360" w:lineRule="auto"/>
        <w:rPr>
          <w:rFonts w:ascii="仿宋" w:hAnsi="仿宋" w:eastAsia="仿宋"/>
          <w:sz w:val="32"/>
          <w:szCs w:val="32"/>
        </w:rPr>
      </w:pPr>
      <w:r>
        <w:rPr>
          <w:rFonts w:hint="eastAsia" w:ascii="仿宋" w:hAnsi="仿宋" w:eastAsia="仿宋"/>
          <w:b/>
          <w:sz w:val="32"/>
          <w:szCs w:val="32"/>
        </w:rPr>
        <w:t>（三）信息化建设有力。</w:t>
      </w:r>
      <w:r>
        <w:rPr>
          <w:rFonts w:hint="eastAsia" w:ascii="仿宋" w:hAnsi="仿宋" w:eastAsia="仿宋"/>
          <w:sz w:val="32"/>
          <w:szCs w:val="32"/>
        </w:rPr>
        <w:t>在固定资产管理方面，采用了全国统一的固定资产管理系统进行管理，在系统稳定、数据安全、资产信息准确性上有了很大程度的保障。另外中心投入了条码设备，实行一物一卡一条码的管理模式，并能将实际盘点情况导入固定资产管理系统，省时省力, 确保资产清查不重不漏。</w:t>
      </w:r>
    </w:p>
    <w:p>
      <w:pPr>
        <w:spacing w:line="360" w:lineRule="auto"/>
        <w:rPr>
          <w:rFonts w:ascii="仿宋" w:hAnsi="仿宋" w:eastAsia="仿宋"/>
          <w:sz w:val="32"/>
          <w:szCs w:val="32"/>
        </w:rPr>
      </w:pPr>
      <w:r>
        <w:rPr>
          <w:rFonts w:hint="eastAsia" w:ascii="仿宋" w:hAnsi="仿宋" w:eastAsia="仿宋"/>
          <w:b/>
          <w:sz w:val="32"/>
          <w:szCs w:val="32"/>
        </w:rPr>
        <w:t>（四）资产配置、处置程序严格。</w:t>
      </w:r>
      <w:r>
        <w:rPr>
          <w:rFonts w:hint="eastAsia" w:ascii="仿宋" w:hAnsi="仿宋" w:eastAsia="仿宋"/>
          <w:sz w:val="32"/>
          <w:szCs w:val="32"/>
        </w:rPr>
        <w:t>资产配置有预算，各部门购置固定资产时，需事先向综合部申报。综合部根据存量资产的使用情况、预算上限及配置标准，经综合考量，从严从紧作出新增资产配置预算，报财政部门审批后执行。在资产购置验收环节，由综合部会同财务部专人联合验收，涉及信息类的软硬件购置要求科技信息部一同参与验收。资产处置严格按财政部令第36号、第71号、第68号的规定执行。未达到最低使用年限的资产，不得处置更新，因规定技术指标无法使用、损坏无法修复等需要提前报废的资产，国家有规定的，由职能部门出具鉴定意见；暂未规定的，应经综合部和科技信息部鉴定，并严格按照资产处置有关规定办理审批手续。已达到规定使用年限，但尚可继续使用的资产，应继续使用，充分发挥国有资产的使用效益。</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五、部门整体支出绩效情况</w:t>
      </w:r>
    </w:p>
    <w:p>
      <w:pPr>
        <w:pStyle w:val="4"/>
        <w:spacing w:before="0" w:beforeAutospacing="0" w:after="0" w:afterAutospacing="0" w:line="240" w:lineRule="atLeast"/>
        <w:ind w:firstLine="634" w:firstLineChars="200"/>
        <w:rPr>
          <w:rFonts w:ascii="仿宋" w:hAnsi="仿宋" w:eastAsia="仿宋" w:cs="Times New Roman"/>
          <w:b/>
          <w:spacing w:val="-2"/>
          <w:kern w:val="2"/>
          <w:sz w:val="32"/>
          <w:szCs w:val="32"/>
        </w:rPr>
      </w:pPr>
      <w:r>
        <w:rPr>
          <w:rFonts w:hint="eastAsia" w:ascii="仿宋" w:hAnsi="仿宋" w:eastAsia="仿宋" w:cs="Times New Roman"/>
          <w:b/>
          <w:spacing w:val="-2"/>
          <w:kern w:val="2"/>
          <w:sz w:val="32"/>
          <w:szCs w:val="32"/>
        </w:rPr>
        <w:t>经济性分析</w:t>
      </w:r>
    </w:p>
    <w:p>
      <w:pPr>
        <w:pStyle w:val="4"/>
        <w:spacing w:before="0" w:beforeAutospacing="0" w:after="0" w:afterAutospacing="0" w:line="240" w:lineRule="atLeast"/>
        <w:ind w:firstLine="640" w:firstLineChars="200"/>
        <w:rPr>
          <w:rFonts w:ascii="仿宋" w:hAnsi="仿宋" w:eastAsia="仿宋"/>
          <w:sz w:val="32"/>
          <w:szCs w:val="32"/>
        </w:rPr>
      </w:pPr>
      <w:r>
        <w:rPr>
          <w:rFonts w:hint="eastAsia" w:ascii="仿宋" w:hAnsi="仿宋" w:eastAsia="仿宋" w:cs="Times New Roman"/>
          <w:kern w:val="2"/>
          <w:sz w:val="32"/>
          <w:szCs w:val="32"/>
        </w:rPr>
        <w:t>2022年收入预算数</w:t>
      </w:r>
      <w:r>
        <w:rPr>
          <w:rFonts w:hint="eastAsia" w:ascii="仿宋" w:hAnsi="仿宋" w:eastAsia="仿宋"/>
          <w:sz w:val="32"/>
          <w:szCs w:val="32"/>
        </w:rPr>
        <w:t>3263.85</w:t>
      </w:r>
      <w:r>
        <w:rPr>
          <w:rFonts w:hint="eastAsia" w:ascii="仿宋" w:hAnsi="仿宋" w:eastAsia="仿宋" w:cs="Times New Roman"/>
          <w:kern w:val="2"/>
          <w:sz w:val="32"/>
          <w:szCs w:val="32"/>
        </w:rPr>
        <w:t>万元，决算数2964.44万元。</w:t>
      </w:r>
      <w:r>
        <w:rPr>
          <w:rFonts w:hint="eastAsia" w:ascii="仿宋" w:hAnsi="仿宋" w:eastAsia="仿宋"/>
          <w:sz w:val="32"/>
          <w:szCs w:val="32"/>
        </w:rPr>
        <w:t>支出预算数3356.99万元，决算数</w:t>
      </w:r>
      <w:r>
        <w:rPr>
          <w:rFonts w:hint="eastAsia" w:ascii="仿宋" w:hAnsi="仿宋" w:eastAsia="仿宋" w:cs="Times New Roman"/>
          <w:kern w:val="2"/>
          <w:sz w:val="32"/>
          <w:szCs w:val="32"/>
        </w:rPr>
        <w:t>3057.45</w:t>
      </w:r>
      <w:r>
        <w:rPr>
          <w:rFonts w:hint="eastAsia" w:ascii="仿宋" w:hAnsi="仿宋" w:eastAsia="仿宋"/>
          <w:sz w:val="32"/>
          <w:szCs w:val="32"/>
        </w:rPr>
        <w:t>万元。其中：人员经费支出1449.09万元（</w:t>
      </w:r>
      <w:r>
        <w:rPr>
          <w:rFonts w:ascii="仿宋" w:hAnsi="仿宋" w:eastAsia="仿宋"/>
          <w:sz w:val="32"/>
          <w:szCs w:val="32"/>
        </w:rPr>
        <w:t>工资福利支出</w:t>
      </w:r>
      <w:r>
        <w:rPr>
          <w:rFonts w:hint="eastAsia" w:ascii="仿宋" w:hAnsi="仿宋" w:eastAsia="仿宋"/>
          <w:sz w:val="32"/>
          <w:szCs w:val="32"/>
        </w:rPr>
        <w:t>1385.63万</w:t>
      </w:r>
      <w:r>
        <w:rPr>
          <w:rFonts w:ascii="仿宋" w:hAnsi="仿宋" w:eastAsia="仿宋"/>
          <w:sz w:val="32"/>
          <w:szCs w:val="32"/>
        </w:rPr>
        <w:t>元，对个人和家庭的补助支出</w:t>
      </w:r>
      <w:r>
        <w:rPr>
          <w:rFonts w:hint="eastAsia" w:ascii="仿宋" w:hAnsi="仿宋" w:eastAsia="仿宋"/>
          <w:sz w:val="32"/>
          <w:szCs w:val="32"/>
        </w:rPr>
        <w:t>63.46万</w:t>
      </w:r>
      <w:r>
        <w:rPr>
          <w:rFonts w:ascii="仿宋" w:hAnsi="仿宋" w:eastAsia="仿宋"/>
          <w:sz w:val="32"/>
          <w:szCs w:val="32"/>
        </w:rPr>
        <w:t>元</w:t>
      </w:r>
      <w:r>
        <w:rPr>
          <w:rFonts w:hint="eastAsia" w:ascii="仿宋" w:hAnsi="仿宋" w:eastAsia="仿宋"/>
          <w:sz w:val="32"/>
          <w:szCs w:val="32"/>
        </w:rPr>
        <w:t>），公用经费支出341.29万元，专项项目支出1267.07万元。</w:t>
      </w:r>
    </w:p>
    <w:p>
      <w:pPr>
        <w:pStyle w:val="4"/>
        <w:spacing w:before="0" w:beforeAutospacing="0" w:after="0" w:afterAutospacing="0" w:line="240" w:lineRule="atLeast"/>
        <w:ind w:firstLine="640" w:firstLineChars="200"/>
        <w:rPr>
          <w:rFonts w:ascii="仿宋" w:hAnsi="仿宋" w:eastAsia="仿宋"/>
          <w:sz w:val="32"/>
          <w:szCs w:val="32"/>
        </w:rPr>
      </w:pPr>
      <w:r>
        <w:rPr>
          <w:rFonts w:hint="eastAsia" w:ascii="仿宋" w:hAnsi="仿宋" w:eastAsia="仿宋"/>
          <w:sz w:val="32"/>
          <w:szCs w:val="32"/>
        </w:rPr>
        <w:t>我单位牢固树立过“紧日子”思想，2022年继续压减一般性支出，确保“三公经费”只减不增，持续严控会议费、培训费、差旅费，结合单位的实际业务需要，暂缓没有硬性需求的一般性项目，对硬性需求项目建设严格概算管理。2022年我单位收支总体基本平衡。</w:t>
      </w:r>
    </w:p>
    <w:p>
      <w:pPr>
        <w:pStyle w:val="9"/>
        <w:spacing w:line="360" w:lineRule="auto"/>
        <w:ind w:firstLine="634" w:firstLineChars="200"/>
        <w:rPr>
          <w:rFonts w:ascii="仿宋" w:hAnsi="仿宋" w:eastAsia="仿宋"/>
          <w:b/>
          <w:spacing w:val="-2"/>
          <w:sz w:val="32"/>
          <w:szCs w:val="32"/>
        </w:rPr>
      </w:pPr>
      <w:r>
        <w:rPr>
          <w:rFonts w:hint="eastAsia" w:ascii="仿宋" w:hAnsi="仿宋" w:eastAsia="仿宋"/>
          <w:b/>
          <w:spacing w:val="-2"/>
          <w:sz w:val="32"/>
          <w:szCs w:val="32"/>
        </w:rPr>
        <w:t>效率性分析</w:t>
      </w:r>
    </w:p>
    <w:p>
      <w:pPr>
        <w:pStyle w:val="9"/>
        <w:spacing w:line="360" w:lineRule="auto"/>
        <w:ind w:firstLine="640" w:firstLineChars="200"/>
        <w:rPr>
          <w:rFonts w:ascii="仿宋" w:hAnsi="仿宋" w:eastAsia="仿宋"/>
          <w:spacing w:val="-2"/>
          <w:sz w:val="32"/>
          <w:szCs w:val="32"/>
        </w:rPr>
      </w:pPr>
      <w:r>
        <w:rPr>
          <w:rFonts w:hint="eastAsia" w:ascii="仿宋" w:hAnsi="仿宋" w:eastAsia="仿宋" w:cs="仿宋_GB2312"/>
          <w:color w:val="000000"/>
          <w:sz w:val="32"/>
          <w:szCs w:val="32"/>
        </w:rPr>
        <w:t>今年以来，因受疫情、楼市持续下行等多重影响，全市住房公积金各项业务指标增幅较上年同期均有下降，归集增速放缓，贷款发放下降，但归集</w:t>
      </w:r>
      <w:r>
        <w:rPr>
          <w:rFonts w:hint="eastAsia" w:ascii="仿宋" w:hAnsi="仿宋" w:eastAsia="仿宋" w:cs="仿宋_GB2312"/>
          <w:sz w:val="32"/>
          <w:szCs w:val="32"/>
        </w:rPr>
        <w:t>总额突破</w:t>
      </w:r>
      <w:r>
        <w:rPr>
          <w:rFonts w:hint="eastAsia" w:ascii="仿宋" w:hAnsi="仿宋" w:eastAsia="仿宋" w:cs="仿宋"/>
          <w:sz w:val="32"/>
          <w:szCs w:val="32"/>
        </w:rPr>
        <w:t>300亿元大关。当年主要指标呈现“四赠两降”特点，即归集额、提取额、增值收益、年度结息较上年略有增长，新增开户人数和贷款数相比去年有所下降。</w:t>
      </w:r>
    </w:p>
    <w:p>
      <w:pPr>
        <w:pStyle w:val="9"/>
        <w:spacing w:line="360" w:lineRule="auto"/>
        <w:ind w:firstLine="640" w:firstLineChars="200"/>
        <w:rPr>
          <w:rFonts w:ascii="仿宋" w:hAnsi="仿宋" w:eastAsia="仿宋"/>
          <w:spacing w:val="-2"/>
          <w:sz w:val="32"/>
          <w:szCs w:val="21"/>
        </w:rPr>
      </w:pPr>
      <w:r>
        <w:rPr>
          <w:rFonts w:hint="eastAsia" w:ascii="仿宋" w:hAnsi="仿宋" w:eastAsia="仿宋"/>
          <w:sz w:val="32"/>
          <w:szCs w:val="32"/>
        </w:rPr>
        <w:t>2022年度共26个项目：完成22个项目，共支付1105.12万元，结转结余41.54万元。未完成的4个项目中，已合计支付进度款43.99万元，余进度款365.41万元待支付。</w:t>
      </w:r>
    </w:p>
    <w:p>
      <w:pPr>
        <w:pStyle w:val="9"/>
        <w:spacing w:line="360" w:lineRule="auto"/>
        <w:ind w:firstLine="640" w:firstLineChars="200"/>
        <w:rPr>
          <w:rFonts w:ascii="仿宋" w:hAnsi="仿宋" w:eastAsia="仿宋" w:cs="宋体"/>
          <w:kern w:val="0"/>
          <w:sz w:val="32"/>
          <w:szCs w:val="32"/>
        </w:rPr>
      </w:pPr>
      <w:r>
        <w:rPr>
          <w:rFonts w:hint="eastAsia" w:ascii="仿宋" w:eastAsia="仿宋"/>
          <w:sz w:val="32"/>
          <w:szCs w:val="32"/>
        </w:rPr>
        <w:t>我单位严格把关项目质量，对于</w:t>
      </w:r>
      <w:r>
        <w:rPr>
          <w:rFonts w:hint="eastAsia" w:ascii="仿宋" w:hAnsi="仿宋" w:eastAsia="仿宋" w:cs="宋体"/>
          <w:kern w:val="0"/>
          <w:sz w:val="32"/>
          <w:szCs w:val="32"/>
        </w:rPr>
        <w:t>项目形成的固定资产，我单位组织专人对照采购或招标合同进行验收，对技术含量高的信息化建设项目，聘请第三方机构进行评估验收，以保证项目的实施质量。</w:t>
      </w:r>
    </w:p>
    <w:p>
      <w:pPr>
        <w:widowControl/>
        <w:shd w:val="clear" w:color="auto" w:fill="FFFFFF"/>
        <w:rPr>
          <w:rFonts w:ascii="仿宋" w:hAnsi="仿宋" w:eastAsia="仿宋" w:cs="宋体"/>
          <w:b/>
          <w:kern w:val="0"/>
          <w:sz w:val="32"/>
          <w:szCs w:val="32"/>
        </w:rPr>
      </w:pPr>
      <w:r>
        <w:rPr>
          <w:rFonts w:hint="eastAsia" w:ascii="仿宋" w:hAnsi="仿宋" w:eastAsia="仿宋" w:cs="宋体"/>
          <w:b/>
          <w:kern w:val="0"/>
          <w:sz w:val="32"/>
          <w:szCs w:val="32"/>
        </w:rPr>
        <w:t>有效性分析</w:t>
      </w:r>
    </w:p>
    <w:p>
      <w:pPr>
        <w:widowControl/>
        <w:shd w:val="clear" w:color="auto" w:fill="FFFFFF"/>
        <w:rPr>
          <w:rFonts w:ascii="仿宋" w:hAnsi="仿宋" w:eastAsia="仿宋" w:cs="宋体"/>
          <w:b/>
          <w:kern w:val="0"/>
          <w:sz w:val="32"/>
          <w:szCs w:val="32"/>
        </w:rPr>
      </w:pPr>
      <w:r>
        <w:rPr>
          <w:rFonts w:hint="eastAsia" w:ascii="仿宋" w:hAnsi="仿宋" w:eastAsia="仿宋"/>
          <w:b/>
          <w:sz w:val="32"/>
          <w:szCs w:val="32"/>
        </w:rPr>
        <w:t>（一）业务运行经济效益</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（一）业务收入：202</w:t>
      </w:r>
      <w:r>
        <w:rPr>
          <w:rFonts w:hint="eastAsia" w:ascii="仿宋" w:hAnsi="仿宋" w:eastAsia="仿宋" w:cs="宋体"/>
          <w:kern w:val="0"/>
          <w:sz w:val="32"/>
          <w:szCs w:val="32"/>
        </w:rPr>
        <w:t>2</w:t>
      </w:r>
      <w:r>
        <w:rPr>
          <w:rFonts w:ascii="仿宋" w:hAnsi="仿宋" w:eastAsia="仿宋" w:cs="宋体"/>
          <w:kern w:val="0"/>
          <w:sz w:val="32"/>
          <w:szCs w:val="32"/>
        </w:rPr>
        <w:t>年，业务收入</w:t>
      </w:r>
      <w:r>
        <w:rPr>
          <w:rFonts w:hint="eastAsia" w:ascii="仿宋" w:hAnsi="仿宋" w:eastAsia="仿宋" w:cs="宋体"/>
          <w:kern w:val="0"/>
          <w:sz w:val="32"/>
          <w:szCs w:val="32"/>
        </w:rPr>
        <w:t>44594.64</w:t>
      </w:r>
      <w:r>
        <w:rPr>
          <w:rFonts w:ascii="仿宋" w:hAnsi="仿宋" w:eastAsia="仿宋" w:cs="宋体"/>
          <w:kern w:val="0"/>
          <w:sz w:val="32"/>
          <w:szCs w:val="32"/>
        </w:rPr>
        <w:t>万元，同比增长10.</w:t>
      </w:r>
      <w:r>
        <w:rPr>
          <w:rFonts w:hint="eastAsia" w:ascii="仿宋" w:hAnsi="仿宋" w:eastAsia="仿宋" w:cs="宋体"/>
          <w:kern w:val="0"/>
          <w:sz w:val="32"/>
          <w:szCs w:val="32"/>
        </w:rPr>
        <w:t>77</w:t>
      </w:r>
      <w:r>
        <w:rPr>
          <w:rFonts w:ascii="仿宋" w:hAnsi="仿宋" w:eastAsia="仿宋" w:cs="宋体"/>
          <w:kern w:val="0"/>
          <w:sz w:val="32"/>
          <w:szCs w:val="32"/>
        </w:rPr>
        <w:t>%。其中，存款利息</w:t>
      </w:r>
      <w:r>
        <w:rPr>
          <w:rFonts w:hint="eastAsia" w:ascii="仿宋" w:hAnsi="仿宋" w:eastAsia="仿宋" w:cs="宋体"/>
          <w:kern w:val="0"/>
          <w:sz w:val="32"/>
          <w:szCs w:val="32"/>
        </w:rPr>
        <w:t>4871.36</w:t>
      </w:r>
      <w:r>
        <w:rPr>
          <w:rFonts w:ascii="仿宋" w:hAnsi="仿宋" w:eastAsia="仿宋" w:cs="宋体"/>
          <w:kern w:val="0"/>
          <w:sz w:val="32"/>
          <w:szCs w:val="32"/>
        </w:rPr>
        <w:t>万元，委托贷款利息</w:t>
      </w:r>
      <w:r>
        <w:rPr>
          <w:rFonts w:hint="eastAsia" w:ascii="仿宋" w:hAnsi="仿宋" w:eastAsia="仿宋" w:cs="宋体"/>
          <w:kern w:val="0"/>
          <w:sz w:val="32"/>
          <w:szCs w:val="32"/>
        </w:rPr>
        <w:t>39717.20</w:t>
      </w:r>
      <w:r>
        <w:rPr>
          <w:rFonts w:ascii="仿宋" w:hAnsi="仿宋" w:eastAsia="仿宋" w:cs="宋体"/>
          <w:kern w:val="0"/>
          <w:sz w:val="32"/>
          <w:szCs w:val="32"/>
        </w:rPr>
        <w:t>万元，其他</w:t>
      </w:r>
      <w:r>
        <w:rPr>
          <w:rFonts w:hint="eastAsia" w:ascii="仿宋" w:hAnsi="仿宋" w:eastAsia="仿宋" w:cs="宋体"/>
          <w:kern w:val="0"/>
          <w:sz w:val="32"/>
          <w:szCs w:val="32"/>
        </w:rPr>
        <w:t>6.08</w:t>
      </w:r>
      <w:r>
        <w:rPr>
          <w:rFonts w:ascii="仿宋" w:hAnsi="仿宋" w:eastAsia="仿宋" w:cs="宋体"/>
          <w:kern w:val="0"/>
          <w:sz w:val="32"/>
          <w:szCs w:val="32"/>
        </w:rPr>
        <w:t>万元。</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（二）业务支出：202</w:t>
      </w:r>
      <w:r>
        <w:rPr>
          <w:rFonts w:hint="eastAsia" w:ascii="仿宋" w:hAnsi="仿宋" w:eastAsia="仿宋" w:cs="宋体"/>
          <w:kern w:val="0"/>
          <w:sz w:val="32"/>
          <w:szCs w:val="32"/>
        </w:rPr>
        <w:t>2</w:t>
      </w:r>
      <w:r>
        <w:rPr>
          <w:rFonts w:ascii="仿宋" w:hAnsi="仿宋" w:eastAsia="仿宋" w:cs="宋体"/>
          <w:kern w:val="0"/>
          <w:sz w:val="32"/>
          <w:szCs w:val="32"/>
        </w:rPr>
        <w:t>年，业务支出</w:t>
      </w:r>
      <w:r>
        <w:rPr>
          <w:rFonts w:hint="eastAsia" w:ascii="仿宋" w:hAnsi="仿宋" w:eastAsia="仿宋" w:cs="宋体"/>
          <w:kern w:val="0"/>
          <w:sz w:val="32"/>
          <w:szCs w:val="32"/>
        </w:rPr>
        <w:t>20620.26</w:t>
      </w:r>
      <w:r>
        <w:rPr>
          <w:rFonts w:ascii="仿宋" w:hAnsi="仿宋" w:eastAsia="仿宋" w:cs="宋体"/>
          <w:kern w:val="0"/>
          <w:sz w:val="32"/>
          <w:szCs w:val="32"/>
        </w:rPr>
        <w:t>万元，同比增长1</w:t>
      </w:r>
      <w:r>
        <w:rPr>
          <w:rFonts w:hint="eastAsia" w:ascii="仿宋" w:hAnsi="仿宋" w:eastAsia="仿宋" w:cs="宋体"/>
          <w:kern w:val="0"/>
          <w:sz w:val="32"/>
          <w:szCs w:val="32"/>
        </w:rPr>
        <w:t>0.09</w:t>
      </w:r>
      <w:r>
        <w:rPr>
          <w:rFonts w:ascii="仿宋" w:hAnsi="仿宋" w:eastAsia="仿宋" w:cs="宋体"/>
          <w:kern w:val="0"/>
          <w:sz w:val="32"/>
          <w:szCs w:val="32"/>
        </w:rPr>
        <w:t>%。其中，支付职工住房公积金利息</w:t>
      </w:r>
      <w:r>
        <w:rPr>
          <w:rFonts w:hint="eastAsia" w:ascii="仿宋" w:hAnsi="仿宋" w:eastAsia="仿宋" w:cs="宋体"/>
          <w:kern w:val="0"/>
          <w:sz w:val="32"/>
          <w:szCs w:val="32"/>
        </w:rPr>
        <w:t>20554.65</w:t>
      </w:r>
      <w:r>
        <w:rPr>
          <w:rFonts w:ascii="仿宋" w:hAnsi="仿宋" w:eastAsia="仿宋" w:cs="宋体"/>
          <w:kern w:val="0"/>
          <w:sz w:val="32"/>
          <w:szCs w:val="32"/>
        </w:rPr>
        <w:t>万元，其他</w:t>
      </w:r>
      <w:r>
        <w:rPr>
          <w:rFonts w:hint="eastAsia" w:ascii="仿宋" w:hAnsi="仿宋" w:eastAsia="仿宋" w:cs="宋体"/>
          <w:kern w:val="0"/>
          <w:sz w:val="32"/>
          <w:szCs w:val="32"/>
        </w:rPr>
        <w:t>65.61</w:t>
      </w:r>
      <w:r>
        <w:rPr>
          <w:rFonts w:ascii="仿宋" w:hAnsi="仿宋" w:eastAsia="仿宋" w:cs="宋体"/>
          <w:kern w:val="0"/>
          <w:sz w:val="32"/>
          <w:szCs w:val="32"/>
        </w:rPr>
        <w:t>万元。</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（三）增值收益：202</w:t>
      </w:r>
      <w:r>
        <w:rPr>
          <w:rFonts w:hint="eastAsia" w:ascii="仿宋" w:hAnsi="仿宋" w:eastAsia="仿宋" w:cs="宋体"/>
          <w:kern w:val="0"/>
          <w:sz w:val="32"/>
          <w:szCs w:val="32"/>
        </w:rPr>
        <w:t>2</w:t>
      </w:r>
      <w:r>
        <w:rPr>
          <w:rFonts w:ascii="仿宋" w:hAnsi="仿宋" w:eastAsia="仿宋" w:cs="宋体"/>
          <w:kern w:val="0"/>
          <w:sz w:val="32"/>
          <w:szCs w:val="32"/>
        </w:rPr>
        <w:t>年，增值收益</w:t>
      </w:r>
      <w:r>
        <w:rPr>
          <w:rFonts w:hint="eastAsia" w:ascii="仿宋" w:hAnsi="仿宋" w:eastAsia="仿宋" w:cs="宋体"/>
          <w:kern w:val="0"/>
          <w:sz w:val="32"/>
          <w:szCs w:val="32"/>
        </w:rPr>
        <w:t>23974.38</w:t>
      </w:r>
      <w:r>
        <w:rPr>
          <w:rFonts w:ascii="仿宋" w:hAnsi="仿宋" w:eastAsia="仿宋" w:cs="宋体"/>
          <w:kern w:val="0"/>
          <w:sz w:val="32"/>
          <w:szCs w:val="32"/>
        </w:rPr>
        <w:t>万元，同比增长</w:t>
      </w:r>
      <w:r>
        <w:rPr>
          <w:rFonts w:hint="eastAsia" w:ascii="仿宋" w:hAnsi="仿宋" w:eastAsia="仿宋" w:cs="宋体"/>
          <w:kern w:val="0"/>
          <w:sz w:val="32"/>
          <w:szCs w:val="32"/>
        </w:rPr>
        <w:t>11.35</w:t>
      </w:r>
      <w:r>
        <w:rPr>
          <w:rFonts w:ascii="仿宋" w:hAnsi="仿宋" w:eastAsia="仿宋" w:cs="宋体"/>
          <w:kern w:val="0"/>
          <w:sz w:val="32"/>
          <w:szCs w:val="32"/>
        </w:rPr>
        <w:t>%。增值收益率1.7</w:t>
      </w:r>
      <w:r>
        <w:rPr>
          <w:rFonts w:hint="eastAsia" w:ascii="仿宋" w:hAnsi="仿宋" w:eastAsia="仿宋" w:cs="宋体"/>
          <w:kern w:val="0"/>
          <w:sz w:val="32"/>
          <w:szCs w:val="32"/>
        </w:rPr>
        <w:t>8%</w:t>
      </w:r>
      <w:r>
        <w:rPr>
          <w:rFonts w:ascii="仿宋" w:hAnsi="仿宋" w:eastAsia="仿宋" w:cs="宋体"/>
          <w:kern w:val="0"/>
          <w:sz w:val="32"/>
          <w:szCs w:val="32"/>
        </w:rPr>
        <w:t>，比上年减少0.0</w:t>
      </w:r>
      <w:r>
        <w:rPr>
          <w:rFonts w:hint="eastAsia" w:ascii="仿宋" w:hAnsi="仿宋" w:eastAsia="仿宋" w:cs="宋体"/>
          <w:kern w:val="0"/>
          <w:sz w:val="32"/>
          <w:szCs w:val="32"/>
        </w:rPr>
        <w:t>1</w:t>
      </w:r>
      <w:r>
        <w:rPr>
          <w:rFonts w:ascii="仿宋" w:hAnsi="仿宋" w:eastAsia="仿宋" w:cs="宋体"/>
          <w:kern w:val="0"/>
          <w:sz w:val="32"/>
          <w:szCs w:val="32"/>
        </w:rPr>
        <w:t>个百分点。</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（四）增值收益分配：202</w:t>
      </w:r>
      <w:r>
        <w:rPr>
          <w:rFonts w:hint="eastAsia" w:ascii="仿宋" w:hAnsi="仿宋" w:eastAsia="仿宋" w:cs="宋体"/>
          <w:kern w:val="0"/>
          <w:sz w:val="32"/>
          <w:szCs w:val="32"/>
        </w:rPr>
        <w:t>2</w:t>
      </w:r>
      <w:r>
        <w:rPr>
          <w:rFonts w:ascii="仿宋" w:hAnsi="仿宋" w:eastAsia="仿宋" w:cs="宋体"/>
          <w:kern w:val="0"/>
          <w:sz w:val="32"/>
          <w:szCs w:val="32"/>
        </w:rPr>
        <w:t>年，提取贷款风险准备金    </w:t>
      </w:r>
      <w:r>
        <w:rPr>
          <w:rFonts w:hint="eastAsia" w:ascii="仿宋" w:hAnsi="仿宋" w:eastAsia="仿宋" w:cs="宋体"/>
          <w:kern w:val="0"/>
          <w:sz w:val="32"/>
          <w:szCs w:val="32"/>
        </w:rPr>
        <w:t>331.63</w:t>
      </w:r>
      <w:r>
        <w:rPr>
          <w:rFonts w:ascii="仿宋" w:hAnsi="仿宋" w:eastAsia="仿宋" w:cs="宋体"/>
          <w:kern w:val="0"/>
          <w:sz w:val="32"/>
          <w:szCs w:val="32"/>
        </w:rPr>
        <w:t>万元，提取管理费用</w:t>
      </w:r>
      <w:r>
        <w:rPr>
          <w:rFonts w:hint="eastAsia" w:ascii="仿宋" w:hAnsi="仿宋" w:eastAsia="仿宋" w:cs="宋体"/>
          <w:kern w:val="0"/>
          <w:sz w:val="32"/>
          <w:szCs w:val="32"/>
        </w:rPr>
        <w:t>3612.68</w:t>
      </w:r>
      <w:r>
        <w:rPr>
          <w:rFonts w:ascii="仿宋" w:hAnsi="仿宋" w:eastAsia="仿宋" w:cs="宋体"/>
          <w:kern w:val="0"/>
          <w:sz w:val="32"/>
          <w:szCs w:val="32"/>
        </w:rPr>
        <w:t>万元，提取城市廉租住房（公共租赁住房）建设补充资金</w:t>
      </w:r>
      <w:r>
        <w:rPr>
          <w:rFonts w:hint="eastAsia" w:ascii="仿宋" w:hAnsi="仿宋" w:eastAsia="仿宋" w:cs="宋体"/>
          <w:kern w:val="0"/>
          <w:sz w:val="32"/>
          <w:szCs w:val="32"/>
        </w:rPr>
        <w:t>20030.06</w:t>
      </w:r>
      <w:r>
        <w:rPr>
          <w:rFonts w:ascii="仿宋" w:hAnsi="仿宋" w:eastAsia="仿宋" w:cs="宋体"/>
          <w:kern w:val="0"/>
          <w:sz w:val="32"/>
          <w:szCs w:val="32"/>
        </w:rPr>
        <w:t>万元。</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202</w:t>
      </w:r>
      <w:r>
        <w:rPr>
          <w:rFonts w:hint="eastAsia" w:ascii="仿宋" w:hAnsi="仿宋" w:eastAsia="仿宋" w:cs="宋体"/>
          <w:kern w:val="0"/>
          <w:sz w:val="32"/>
          <w:szCs w:val="32"/>
        </w:rPr>
        <w:t>2</w:t>
      </w:r>
      <w:r>
        <w:rPr>
          <w:rFonts w:ascii="仿宋" w:hAnsi="仿宋" w:eastAsia="仿宋" w:cs="宋体"/>
          <w:kern w:val="0"/>
          <w:sz w:val="32"/>
          <w:szCs w:val="32"/>
        </w:rPr>
        <w:t>年，上缴财政管理费用</w:t>
      </w:r>
      <w:r>
        <w:rPr>
          <w:rFonts w:hint="eastAsia" w:ascii="仿宋" w:hAnsi="仿宋" w:eastAsia="仿宋" w:cs="宋体"/>
          <w:kern w:val="0"/>
          <w:sz w:val="32"/>
          <w:szCs w:val="32"/>
        </w:rPr>
        <w:t>3612.63</w:t>
      </w:r>
      <w:r>
        <w:rPr>
          <w:rFonts w:ascii="仿宋" w:hAnsi="仿宋" w:eastAsia="仿宋" w:cs="宋体"/>
          <w:kern w:val="0"/>
          <w:sz w:val="32"/>
          <w:szCs w:val="32"/>
        </w:rPr>
        <w:t>万元。上缴财政城市廉租住房（公共租赁住房）建设补充资金</w:t>
      </w:r>
      <w:r>
        <w:rPr>
          <w:rFonts w:hint="eastAsia" w:ascii="仿宋" w:hAnsi="仿宋" w:eastAsia="仿宋" w:cs="宋体"/>
          <w:kern w:val="0"/>
          <w:sz w:val="32"/>
          <w:szCs w:val="32"/>
        </w:rPr>
        <w:t>15707.21</w:t>
      </w:r>
      <w:r>
        <w:rPr>
          <w:rFonts w:ascii="仿宋" w:hAnsi="仿宋" w:eastAsia="仿宋" w:cs="宋体"/>
          <w:kern w:val="0"/>
          <w:sz w:val="32"/>
          <w:szCs w:val="32"/>
        </w:rPr>
        <w:t>万元。</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202</w:t>
      </w:r>
      <w:r>
        <w:rPr>
          <w:rFonts w:hint="eastAsia" w:ascii="仿宋" w:hAnsi="仿宋" w:eastAsia="仿宋" w:cs="宋体"/>
          <w:kern w:val="0"/>
          <w:sz w:val="32"/>
          <w:szCs w:val="32"/>
        </w:rPr>
        <w:t>2</w:t>
      </w:r>
      <w:r>
        <w:rPr>
          <w:rFonts w:ascii="仿宋" w:hAnsi="仿宋" w:eastAsia="仿宋" w:cs="宋体"/>
          <w:kern w:val="0"/>
          <w:sz w:val="32"/>
          <w:szCs w:val="32"/>
        </w:rPr>
        <w:t>年末，贷款风险准备金余额</w:t>
      </w:r>
      <w:r>
        <w:rPr>
          <w:rFonts w:hint="eastAsia" w:ascii="仿宋" w:hAnsi="仿宋" w:eastAsia="仿宋" w:cs="宋体"/>
          <w:kern w:val="0"/>
          <w:sz w:val="32"/>
          <w:szCs w:val="32"/>
        </w:rPr>
        <w:t>24248.19</w:t>
      </w:r>
      <w:r>
        <w:rPr>
          <w:rFonts w:ascii="仿宋" w:hAnsi="仿宋" w:eastAsia="仿宋" w:cs="宋体"/>
          <w:kern w:val="0"/>
          <w:sz w:val="32"/>
          <w:szCs w:val="32"/>
        </w:rPr>
        <w:t>万元。累计提取城市廉租住房（公共租赁住房）建设补充资金</w:t>
      </w:r>
      <w:r>
        <w:rPr>
          <w:rFonts w:hint="eastAsia" w:ascii="仿宋" w:hAnsi="仿宋" w:eastAsia="仿宋" w:cs="宋体"/>
          <w:kern w:val="0"/>
          <w:sz w:val="32"/>
          <w:szCs w:val="32"/>
        </w:rPr>
        <w:t>122303.24</w:t>
      </w:r>
      <w:r>
        <w:rPr>
          <w:rFonts w:ascii="仿宋" w:hAnsi="仿宋" w:eastAsia="仿宋" w:cs="宋体"/>
          <w:kern w:val="0"/>
          <w:sz w:val="32"/>
          <w:szCs w:val="32"/>
        </w:rPr>
        <w:t>万元。</w:t>
      </w:r>
    </w:p>
    <w:p>
      <w:pPr>
        <w:pStyle w:val="4"/>
        <w:snapToGrid w:val="0"/>
        <w:spacing w:before="0" w:beforeAutospacing="0" w:after="0" w:afterAutospacing="0" w:line="570" w:lineRule="atLeast"/>
        <w:ind w:firstLine="641"/>
        <w:rPr>
          <w:rFonts w:ascii="仿宋" w:hAnsi="仿宋" w:eastAsia="仿宋"/>
          <w:sz w:val="32"/>
          <w:szCs w:val="32"/>
        </w:rPr>
      </w:pPr>
      <w:r>
        <w:rPr>
          <w:rFonts w:hint="eastAsia" w:ascii="仿宋" w:hAnsi="仿宋" w:eastAsia="仿宋"/>
          <w:sz w:val="32"/>
          <w:szCs w:val="32"/>
        </w:rPr>
        <w:t>（二）社会效益</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缴存业务</w:t>
      </w:r>
    </w:p>
    <w:p>
      <w:pPr>
        <w:widowControl/>
        <w:adjustRightInd w:val="0"/>
        <w:spacing w:line="560" w:lineRule="exact"/>
        <w:jc w:val="left"/>
        <w:rPr>
          <w:rFonts w:ascii="仿宋" w:hAnsi="仿宋" w:eastAsia="仿宋" w:cs="宋体"/>
          <w:kern w:val="0"/>
          <w:sz w:val="32"/>
          <w:szCs w:val="32"/>
        </w:rPr>
      </w:pPr>
      <w:r>
        <w:rPr>
          <w:rFonts w:ascii="仿宋" w:hAnsi="仿宋" w:eastAsia="仿宋" w:cs="宋体"/>
          <w:kern w:val="0"/>
          <w:sz w:val="32"/>
          <w:szCs w:val="32"/>
        </w:rPr>
        <w:t>    缴存职工中，国家机关和事业单位占69.</w:t>
      </w:r>
      <w:r>
        <w:rPr>
          <w:rFonts w:hint="eastAsia" w:ascii="仿宋" w:hAnsi="仿宋" w:eastAsia="仿宋" w:cs="宋体"/>
          <w:kern w:val="0"/>
          <w:sz w:val="32"/>
          <w:szCs w:val="32"/>
        </w:rPr>
        <w:t>61</w:t>
      </w:r>
      <w:r>
        <w:rPr>
          <w:rFonts w:ascii="仿宋" w:hAnsi="仿宋" w:eastAsia="仿宋" w:cs="宋体"/>
          <w:kern w:val="0"/>
          <w:sz w:val="32"/>
          <w:szCs w:val="32"/>
        </w:rPr>
        <w:t>%，国有企业占14.</w:t>
      </w:r>
      <w:r>
        <w:rPr>
          <w:rFonts w:hint="eastAsia" w:ascii="仿宋" w:hAnsi="仿宋" w:eastAsia="仿宋" w:cs="宋体"/>
          <w:kern w:val="0"/>
          <w:sz w:val="32"/>
          <w:szCs w:val="32"/>
        </w:rPr>
        <w:t>06</w:t>
      </w:r>
      <w:r>
        <w:rPr>
          <w:rFonts w:ascii="仿宋" w:hAnsi="仿宋" w:eastAsia="仿宋" w:cs="宋体"/>
          <w:kern w:val="0"/>
          <w:sz w:val="32"/>
          <w:szCs w:val="32"/>
        </w:rPr>
        <w:t>%，城镇集体企业占0.</w:t>
      </w:r>
      <w:r>
        <w:rPr>
          <w:rFonts w:hint="eastAsia" w:ascii="仿宋" w:hAnsi="仿宋" w:eastAsia="仿宋" w:cs="宋体"/>
          <w:kern w:val="0"/>
          <w:sz w:val="32"/>
          <w:szCs w:val="32"/>
        </w:rPr>
        <w:t>3</w:t>
      </w:r>
      <w:r>
        <w:rPr>
          <w:rFonts w:ascii="仿宋" w:hAnsi="仿宋" w:eastAsia="仿宋" w:cs="宋体"/>
          <w:kern w:val="0"/>
          <w:sz w:val="32"/>
          <w:szCs w:val="32"/>
        </w:rPr>
        <w:t>2%，外商投资企业占0.</w:t>
      </w:r>
      <w:r>
        <w:rPr>
          <w:rFonts w:hint="eastAsia" w:ascii="仿宋" w:hAnsi="仿宋" w:eastAsia="仿宋" w:cs="宋体"/>
          <w:kern w:val="0"/>
          <w:sz w:val="32"/>
          <w:szCs w:val="32"/>
        </w:rPr>
        <w:t>58</w:t>
      </w:r>
      <w:r>
        <w:rPr>
          <w:rFonts w:ascii="仿宋" w:hAnsi="仿宋" w:eastAsia="仿宋" w:cs="宋体"/>
          <w:kern w:val="0"/>
          <w:sz w:val="32"/>
          <w:szCs w:val="32"/>
        </w:rPr>
        <w:t>%，城镇私营企业及其他城镇企业占7.</w:t>
      </w:r>
      <w:r>
        <w:rPr>
          <w:rFonts w:hint="eastAsia" w:ascii="仿宋" w:hAnsi="仿宋" w:eastAsia="仿宋" w:cs="宋体"/>
          <w:kern w:val="0"/>
          <w:sz w:val="32"/>
          <w:szCs w:val="32"/>
        </w:rPr>
        <w:t>51</w:t>
      </w:r>
      <w:r>
        <w:rPr>
          <w:rFonts w:ascii="仿宋" w:hAnsi="仿宋" w:eastAsia="仿宋" w:cs="宋体"/>
          <w:kern w:val="0"/>
          <w:sz w:val="32"/>
          <w:szCs w:val="32"/>
        </w:rPr>
        <w:t>%，民办非企业单位和社会团体占2.</w:t>
      </w:r>
      <w:r>
        <w:rPr>
          <w:rFonts w:hint="eastAsia" w:ascii="仿宋" w:hAnsi="仿宋" w:eastAsia="仿宋" w:cs="宋体"/>
          <w:kern w:val="0"/>
          <w:sz w:val="32"/>
          <w:szCs w:val="32"/>
        </w:rPr>
        <w:t>53</w:t>
      </w:r>
      <w:r>
        <w:rPr>
          <w:rFonts w:ascii="仿宋" w:hAnsi="仿宋" w:eastAsia="仿宋" w:cs="宋体"/>
          <w:kern w:val="0"/>
          <w:sz w:val="32"/>
          <w:szCs w:val="32"/>
        </w:rPr>
        <w:t>%，灵活就业人员占4.</w:t>
      </w:r>
      <w:r>
        <w:rPr>
          <w:rFonts w:hint="eastAsia" w:ascii="仿宋" w:hAnsi="仿宋" w:eastAsia="仿宋" w:cs="宋体"/>
          <w:kern w:val="0"/>
          <w:sz w:val="32"/>
          <w:szCs w:val="32"/>
        </w:rPr>
        <w:t>15</w:t>
      </w:r>
      <w:r>
        <w:rPr>
          <w:rFonts w:ascii="仿宋" w:hAnsi="仿宋" w:eastAsia="仿宋" w:cs="宋体"/>
          <w:kern w:val="0"/>
          <w:sz w:val="32"/>
          <w:szCs w:val="32"/>
        </w:rPr>
        <w:t>%,其他占1.</w:t>
      </w:r>
      <w:r>
        <w:rPr>
          <w:rFonts w:hint="eastAsia" w:ascii="仿宋" w:hAnsi="仿宋" w:eastAsia="仿宋" w:cs="宋体"/>
          <w:kern w:val="0"/>
          <w:sz w:val="32"/>
          <w:szCs w:val="32"/>
        </w:rPr>
        <w:t>24</w:t>
      </w:r>
      <w:r>
        <w:rPr>
          <w:rFonts w:ascii="仿宋" w:hAnsi="仿宋" w:eastAsia="仿宋" w:cs="宋体"/>
          <w:kern w:val="0"/>
          <w:sz w:val="32"/>
          <w:szCs w:val="32"/>
        </w:rPr>
        <w:t>%；中、低收入占98.</w:t>
      </w:r>
      <w:r>
        <w:rPr>
          <w:rFonts w:hint="eastAsia" w:ascii="仿宋" w:hAnsi="仿宋" w:eastAsia="仿宋" w:cs="宋体"/>
          <w:kern w:val="0"/>
          <w:sz w:val="32"/>
          <w:szCs w:val="32"/>
        </w:rPr>
        <w:t>23</w:t>
      </w:r>
      <w:r>
        <w:rPr>
          <w:rFonts w:ascii="仿宋" w:hAnsi="仿宋" w:eastAsia="仿宋" w:cs="宋体"/>
          <w:kern w:val="0"/>
          <w:sz w:val="32"/>
          <w:szCs w:val="32"/>
        </w:rPr>
        <w:t>%，高收入占1.</w:t>
      </w:r>
      <w:r>
        <w:rPr>
          <w:rFonts w:hint="eastAsia" w:ascii="仿宋" w:hAnsi="仿宋" w:eastAsia="仿宋" w:cs="宋体"/>
          <w:kern w:val="0"/>
          <w:sz w:val="32"/>
          <w:szCs w:val="32"/>
        </w:rPr>
        <w:t>77</w:t>
      </w:r>
      <w:r>
        <w:rPr>
          <w:rFonts w:ascii="仿宋" w:hAnsi="仿宋" w:eastAsia="仿宋" w:cs="宋体"/>
          <w:kern w:val="0"/>
          <w:sz w:val="32"/>
          <w:szCs w:val="32"/>
        </w:rPr>
        <w:t>%。</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新开户职工中，国家机关和事业单位占49.</w:t>
      </w:r>
      <w:r>
        <w:rPr>
          <w:rFonts w:hint="eastAsia" w:ascii="仿宋" w:hAnsi="仿宋" w:eastAsia="仿宋" w:cs="宋体"/>
          <w:kern w:val="0"/>
          <w:sz w:val="32"/>
          <w:szCs w:val="32"/>
        </w:rPr>
        <w:t>71</w:t>
      </w:r>
      <w:r>
        <w:rPr>
          <w:rFonts w:ascii="仿宋" w:hAnsi="仿宋" w:eastAsia="仿宋" w:cs="宋体"/>
          <w:kern w:val="0"/>
          <w:sz w:val="32"/>
          <w:szCs w:val="32"/>
        </w:rPr>
        <w:t>%，国有企业占</w:t>
      </w:r>
      <w:r>
        <w:rPr>
          <w:rFonts w:hint="eastAsia" w:ascii="仿宋" w:hAnsi="仿宋" w:eastAsia="仿宋" w:cs="宋体"/>
          <w:kern w:val="0"/>
          <w:sz w:val="32"/>
          <w:szCs w:val="32"/>
        </w:rPr>
        <w:t>8.74</w:t>
      </w:r>
      <w:r>
        <w:rPr>
          <w:rFonts w:ascii="仿宋" w:hAnsi="仿宋" w:eastAsia="仿宋" w:cs="宋体"/>
          <w:kern w:val="0"/>
          <w:sz w:val="32"/>
          <w:szCs w:val="32"/>
        </w:rPr>
        <w:t>%，城镇集体企业占</w:t>
      </w:r>
      <w:r>
        <w:rPr>
          <w:rFonts w:hint="eastAsia" w:ascii="仿宋" w:hAnsi="仿宋" w:eastAsia="仿宋" w:cs="宋体"/>
          <w:kern w:val="0"/>
          <w:sz w:val="32"/>
          <w:szCs w:val="32"/>
        </w:rPr>
        <w:t>1.05</w:t>
      </w:r>
      <w:r>
        <w:rPr>
          <w:rFonts w:ascii="仿宋" w:hAnsi="仿宋" w:eastAsia="仿宋" w:cs="宋体"/>
          <w:kern w:val="0"/>
          <w:sz w:val="32"/>
          <w:szCs w:val="32"/>
        </w:rPr>
        <w:t>%，外商投资企业占1.</w:t>
      </w:r>
      <w:r>
        <w:rPr>
          <w:rFonts w:hint="eastAsia" w:ascii="仿宋" w:hAnsi="仿宋" w:eastAsia="仿宋" w:cs="宋体"/>
          <w:kern w:val="0"/>
          <w:sz w:val="32"/>
          <w:szCs w:val="32"/>
        </w:rPr>
        <w:t>52</w:t>
      </w:r>
      <w:r>
        <w:rPr>
          <w:rFonts w:ascii="仿宋" w:hAnsi="仿宋" w:eastAsia="仿宋" w:cs="宋体"/>
          <w:kern w:val="0"/>
          <w:sz w:val="32"/>
          <w:szCs w:val="32"/>
        </w:rPr>
        <w:t>%，城镇私营企业及其他城镇企业占</w:t>
      </w:r>
      <w:r>
        <w:rPr>
          <w:rFonts w:hint="eastAsia" w:ascii="仿宋" w:hAnsi="仿宋" w:eastAsia="仿宋" w:cs="宋体"/>
          <w:kern w:val="0"/>
          <w:sz w:val="32"/>
          <w:szCs w:val="32"/>
        </w:rPr>
        <w:t>18.93</w:t>
      </w:r>
      <w:r>
        <w:rPr>
          <w:rFonts w:ascii="仿宋" w:hAnsi="仿宋" w:eastAsia="仿宋" w:cs="宋体"/>
          <w:kern w:val="0"/>
          <w:sz w:val="32"/>
          <w:szCs w:val="32"/>
        </w:rPr>
        <w:t>%，民办非企业单位和社会团体占</w:t>
      </w:r>
      <w:r>
        <w:rPr>
          <w:rFonts w:hint="eastAsia" w:ascii="仿宋" w:hAnsi="仿宋" w:eastAsia="仿宋" w:cs="宋体"/>
          <w:kern w:val="0"/>
          <w:sz w:val="32"/>
          <w:szCs w:val="32"/>
        </w:rPr>
        <w:t>7.48</w:t>
      </w:r>
      <w:r>
        <w:rPr>
          <w:rFonts w:ascii="仿宋" w:hAnsi="仿宋" w:eastAsia="仿宋" w:cs="宋体"/>
          <w:kern w:val="0"/>
          <w:sz w:val="32"/>
          <w:szCs w:val="32"/>
        </w:rPr>
        <w:t>%，灵活就业人员占1</w:t>
      </w:r>
      <w:r>
        <w:rPr>
          <w:rFonts w:hint="eastAsia" w:ascii="仿宋" w:hAnsi="仿宋" w:eastAsia="仿宋" w:cs="宋体"/>
          <w:kern w:val="0"/>
          <w:sz w:val="32"/>
          <w:szCs w:val="32"/>
        </w:rPr>
        <w:t>0.36</w:t>
      </w:r>
      <w:r>
        <w:rPr>
          <w:rFonts w:ascii="仿宋" w:hAnsi="仿宋" w:eastAsia="仿宋" w:cs="宋体"/>
          <w:kern w:val="0"/>
          <w:sz w:val="32"/>
          <w:szCs w:val="32"/>
        </w:rPr>
        <w:t>%，其他占2</w:t>
      </w:r>
      <w:r>
        <w:rPr>
          <w:rFonts w:hint="eastAsia" w:ascii="仿宋" w:hAnsi="仿宋" w:eastAsia="仿宋" w:cs="宋体"/>
          <w:kern w:val="0"/>
          <w:sz w:val="32"/>
          <w:szCs w:val="32"/>
        </w:rPr>
        <w:t>.21</w:t>
      </w:r>
      <w:r>
        <w:rPr>
          <w:rFonts w:ascii="仿宋" w:hAnsi="仿宋" w:eastAsia="仿宋" w:cs="宋体"/>
          <w:kern w:val="0"/>
          <w:sz w:val="32"/>
          <w:szCs w:val="32"/>
        </w:rPr>
        <w:t>%；中、低收入占99.</w:t>
      </w:r>
      <w:r>
        <w:rPr>
          <w:rFonts w:hint="eastAsia" w:ascii="仿宋" w:hAnsi="仿宋" w:eastAsia="仿宋" w:cs="宋体"/>
          <w:kern w:val="0"/>
          <w:sz w:val="32"/>
          <w:szCs w:val="32"/>
        </w:rPr>
        <w:t>66</w:t>
      </w:r>
      <w:r>
        <w:rPr>
          <w:rFonts w:ascii="仿宋" w:hAnsi="仿宋" w:eastAsia="仿宋" w:cs="宋体"/>
          <w:kern w:val="0"/>
          <w:sz w:val="32"/>
          <w:szCs w:val="32"/>
        </w:rPr>
        <w:t>%，高收入占0.</w:t>
      </w:r>
      <w:r>
        <w:rPr>
          <w:rFonts w:hint="eastAsia" w:ascii="仿宋" w:hAnsi="仿宋" w:eastAsia="仿宋" w:cs="宋体"/>
          <w:kern w:val="0"/>
          <w:sz w:val="32"/>
          <w:szCs w:val="32"/>
        </w:rPr>
        <w:t>34</w:t>
      </w:r>
      <w:r>
        <w:rPr>
          <w:rFonts w:ascii="仿宋" w:hAnsi="仿宋" w:eastAsia="仿宋" w:cs="宋体"/>
          <w:kern w:val="0"/>
          <w:sz w:val="32"/>
          <w:szCs w:val="32"/>
        </w:rPr>
        <w:t>%。</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提取业务</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提取金额中，购买、建造、翻建、大修自住住房占</w:t>
      </w:r>
      <w:r>
        <w:rPr>
          <w:rFonts w:hint="eastAsia" w:ascii="仿宋" w:hAnsi="仿宋" w:eastAsia="仿宋" w:cs="宋体"/>
          <w:kern w:val="0"/>
          <w:sz w:val="32"/>
          <w:szCs w:val="32"/>
        </w:rPr>
        <w:t>18.555</w:t>
      </w:r>
      <w:r>
        <w:rPr>
          <w:rFonts w:ascii="仿宋" w:hAnsi="仿宋" w:eastAsia="仿宋" w:cs="宋体"/>
          <w:kern w:val="0"/>
          <w:sz w:val="32"/>
          <w:szCs w:val="32"/>
        </w:rPr>
        <w:t>%，偿还购房贷款本息占5</w:t>
      </w:r>
      <w:r>
        <w:rPr>
          <w:rFonts w:hint="eastAsia" w:ascii="仿宋" w:hAnsi="仿宋" w:eastAsia="仿宋" w:cs="宋体"/>
          <w:kern w:val="0"/>
          <w:sz w:val="32"/>
          <w:szCs w:val="32"/>
        </w:rPr>
        <w:t>2.65</w:t>
      </w:r>
      <w:r>
        <w:rPr>
          <w:rFonts w:ascii="仿宋" w:hAnsi="仿宋" w:eastAsia="仿宋" w:cs="宋体"/>
          <w:kern w:val="0"/>
          <w:sz w:val="32"/>
          <w:szCs w:val="32"/>
        </w:rPr>
        <w:t>%，租赁住房占0.2</w:t>
      </w:r>
      <w:r>
        <w:rPr>
          <w:rFonts w:hint="eastAsia" w:ascii="仿宋" w:hAnsi="仿宋" w:eastAsia="仿宋" w:cs="宋体"/>
          <w:kern w:val="0"/>
          <w:sz w:val="32"/>
          <w:szCs w:val="32"/>
        </w:rPr>
        <w:t>7</w:t>
      </w:r>
      <w:r>
        <w:rPr>
          <w:rFonts w:ascii="仿宋" w:hAnsi="仿宋" w:eastAsia="仿宋" w:cs="宋体"/>
          <w:kern w:val="0"/>
          <w:sz w:val="32"/>
          <w:szCs w:val="32"/>
        </w:rPr>
        <w:t>%；支持老旧小区改造占0.005%，离休和退休提取占</w:t>
      </w:r>
      <w:r>
        <w:rPr>
          <w:rFonts w:hint="eastAsia" w:ascii="仿宋" w:hAnsi="仿宋" w:eastAsia="仿宋" w:cs="宋体"/>
          <w:kern w:val="0"/>
          <w:sz w:val="32"/>
          <w:szCs w:val="32"/>
        </w:rPr>
        <w:t>23.82</w:t>
      </w:r>
      <w:r>
        <w:rPr>
          <w:rFonts w:ascii="仿宋" w:hAnsi="仿宋" w:eastAsia="仿宋" w:cs="宋体"/>
          <w:kern w:val="0"/>
          <w:sz w:val="32"/>
          <w:szCs w:val="32"/>
        </w:rPr>
        <w:t>%，完全丧失劳动能力并与单位终止劳动关系提取占2.</w:t>
      </w:r>
      <w:r>
        <w:rPr>
          <w:rFonts w:hint="eastAsia" w:ascii="仿宋" w:hAnsi="仿宋" w:eastAsia="仿宋" w:cs="宋体"/>
          <w:kern w:val="0"/>
          <w:sz w:val="32"/>
          <w:szCs w:val="32"/>
        </w:rPr>
        <w:t>43</w:t>
      </w:r>
      <w:r>
        <w:rPr>
          <w:rFonts w:ascii="仿宋" w:hAnsi="仿宋" w:eastAsia="仿宋" w:cs="宋体"/>
          <w:kern w:val="0"/>
          <w:sz w:val="32"/>
          <w:szCs w:val="32"/>
        </w:rPr>
        <w:t>%，其他占</w:t>
      </w:r>
      <w:r>
        <w:rPr>
          <w:rFonts w:hint="eastAsia" w:ascii="仿宋" w:hAnsi="仿宋" w:eastAsia="仿宋" w:cs="宋体"/>
          <w:kern w:val="0"/>
          <w:sz w:val="32"/>
          <w:szCs w:val="32"/>
        </w:rPr>
        <w:t>2.27</w:t>
      </w:r>
      <w:r>
        <w:rPr>
          <w:rFonts w:ascii="仿宋" w:hAnsi="仿宋" w:eastAsia="仿宋" w:cs="宋体"/>
          <w:kern w:val="0"/>
          <w:sz w:val="32"/>
          <w:szCs w:val="32"/>
        </w:rPr>
        <w:t>%，提取职工中，中、低收入占</w:t>
      </w:r>
      <w:r>
        <w:rPr>
          <w:rFonts w:hint="eastAsia" w:ascii="仿宋" w:hAnsi="仿宋" w:eastAsia="仿宋" w:cs="宋体"/>
          <w:kern w:val="0"/>
          <w:sz w:val="32"/>
          <w:szCs w:val="32"/>
        </w:rPr>
        <w:t>97.76</w:t>
      </w:r>
      <w:r>
        <w:rPr>
          <w:rFonts w:ascii="仿宋" w:hAnsi="仿宋" w:eastAsia="仿宋" w:cs="宋体"/>
          <w:kern w:val="0"/>
          <w:sz w:val="32"/>
          <w:szCs w:val="32"/>
        </w:rPr>
        <w:t>%，高收入占</w:t>
      </w:r>
      <w:r>
        <w:rPr>
          <w:rFonts w:hint="eastAsia" w:ascii="仿宋" w:hAnsi="仿宋" w:eastAsia="仿宋" w:cs="宋体"/>
          <w:kern w:val="0"/>
          <w:sz w:val="32"/>
          <w:szCs w:val="32"/>
        </w:rPr>
        <w:t>2.24</w:t>
      </w:r>
      <w:r>
        <w:rPr>
          <w:rFonts w:ascii="仿宋" w:hAnsi="仿宋" w:eastAsia="仿宋" w:cs="宋体"/>
          <w:kern w:val="0"/>
          <w:sz w:val="32"/>
          <w:szCs w:val="32"/>
        </w:rPr>
        <w:t>%。</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贷款业务</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个人住房贷款：202</w:t>
      </w:r>
      <w:r>
        <w:rPr>
          <w:rFonts w:hint="eastAsia" w:ascii="仿宋" w:hAnsi="仿宋" w:eastAsia="仿宋" w:cs="宋体"/>
          <w:kern w:val="0"/>
          <w:sz w:val="32"/>
          <w:szCs w:val="32"/>
        </w:rPr>
        <w:t>2</w:t>
      </w:r>
      <w:r>
        <w:rPr>
          <w:rFonts w:ascii="仿宋" w:hAnsi="仿宋" w:eastAsia="仿宋" w:cs="宋体"/>
          <w:kern w:val="0"/>
          <w:sz w:val="32"/>
          <w:szCs w:val="32"/>
        </w:rPr>
        <w:t>年，支持职工购建房</w:t>
      </w:r>
      <w:r>
        <w:rPr>
          <w:rFonts w:hint="eastAsia" w:ascii="仿宋" w:hAnsi="仿宋" w:eastAsia="仿宋" w:cs="宋体"/>
          <w:kern w:val="0"/>
          <w:sz w:val="32"/>
          <w:szCs w:val="32"/>
        </w:rPr>
        <w:t>45.29</w:t>
      </w:r>
      <w:r>
        <w:rPr>
          <w:rFonts w:ascii="仿宋" w:hAnsi="仿宋" w:eastAsia="仿宋" w:cs="宋体"/>
          <w:kern w:val="0"/>
          <w:sz w:val="32"/>
          <w:szCs w:val="32"/>
        </w:rPr>
        <w:t>万平方米，年末个人住房贷款市场占有率为18.</w:t>
      </w:r>
      <w:r>
        <w:rPr>
          <w:rFonts w:hint="eastAsia" w:ascii="仿宋" w:hAnsi="仿宋" w:eastAsia="仿宋" w:cs="宋体"/>
          <w:kern w:val="0"/>
          <w:sz w:val="32"/>
          <w:szCs w:val="32"/>
        </w:rPr>
        <w:t>6</w:t>
      </w:r>
      <w:r>
        <w:rPr>
          <w:rFonts w:ascii="仿宋" w:hAnsi="仿宋" w:eastAsia="仿宋" w:cs="宋体"/>
          <w:kern w:val="0"/>
          <w:sz w:val="32"/>
          <w:szCs w:val="32"/>
        </w:rPr>
        <w:t>2%，比上年末增加0.</w:t>
      </w:r>
      <w:r>
        <w:rPr>
          <w:rFonts w:hint="eastAsia" w:ascii="仿宋" w:hAnsi="仿宋" w:eastAsia="仿宋" w:cs="宋体"/>
          <w:kern w:val="0"/>
          <w:sz w:val="32"/>
          <w:szCs w:val="32"/>
        </w:rPr>
        <w:t>1</w:t>
      </w:r>
      <w:r>
        <w:rPr>
          <w:rFonts w:ascii="仿宋" w:hAnsi="仿宋" w:eastAsia="仿宋" w:cs="宋体"/>
          <w:kern w:val="0"/>
          <w:sz w:val="32"/>
          <w:szCs w:val="32"/>
        </w:rPr>
        <w:t>个百分点。通过申请住房公积金个人住房贷款，可节约职工购房利息支出</w:t>
      </w:r>
      <w:r>
        <w:rPr>
          <w:rFonts w:hint="eastAsia" w:ascii="仿宋" w:hAnsi="仿宋" w:eastAsia="仿宋" w:cs="宋体"/>
          <w:kern w:val="0"/>
          <w:sz w:val="32"/>
          <w:szCs w:val="32"/>
        </w:rPr>
        <w:t>19951.87</w:t>
      </w:r>
      <w:r>
        <w:rPr>
          <w:rFonts w:ascii="仿宋" w:hAnsi="仿宋" w:eastAsia="仿宋" w:cs="宋体"/>
          <w:kern w:val="0"/>
          <w:sz w:val="32"/>
          <w:szCs w:val="32"/>
        </w:rPr>
        <w:t>万元。</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职工贷款笔数中，购房建筑面积90（含）平方米以下占    </w:t>
      </w:r>
      <w:r>
        <w:rPr>
          <w:rFonts w:hint="eastAsia" w:ascii="仿宋" w:hAnsi="仿宋" w:eastAsia="仿宋" w:cs="宋体"/>
          <w:kern w:val="0"/>
          <w:sz w:val="32"/>
          <w:szCs w:val="32"/>
        </w:rPr>
        <w:t>4.69</w:t>
      </w:r>
      <w:r>
        <w:rPr>
          <w:rFonts w:ascii="仿宋" w:hAnsi="仿宋" w:eastAsia="仿宋" w:cs="宋体"/>
          <w:kern w:val="0"/>
          <w:sz w:val="32"/>
          <w:szCs w:val="32"/>
        </w:rPr>
        <w:t>%，90-144（含）平方米占</w:t>
      </w:r>
      <w:r>
        <w:rPr>
          <w:rFonts w:hint="eastAsia" w:ascii="仿宋" w:hAnsi="仿宋" w:eastAsia="仿宋" w:cs="宋体"/>
          <w:kern w:val="0"/>
          <w:sz w:val="32"/>
          <w:szCs w:val="32"/>
        </w:rPr>
        <w:t>81.98</w:t>
      </w:r>
      <w:r>
        <w:rPr>
          <w:rFonts w:ascii="仿宋" w:hAnsi="仿宋" w:eastAsia="仿宋" w:cs="宋体"/>
          <w:kern w:val="0"/>
          <w:sz w:val="32"/>
          <w:szCs w:val="32"/>
        </w:rPr>
        <w:t>%，144平方米以上</w:t>
      </w:r>
      <w:r>
        <w:rPr>
          <w:rFonts w:hint="eastAsia" w:ascii="仿宋" w:hAnsi="仿宋" w:eastAsia="仿宋" w:cs="宋体"/>
          <w:kern w:val="0"/>
          <w:sz w:val="32"/>
          <w:szCs w:val="32"/>
        </w:rPr>
        <w:t>13.33</w:t>
      </w:r>
      <w:r>
        <w:rPr>
          <w:rFonts w:ascii="仿宋" w:hAnsi="仿宋" w:eastAsia="仿宋" w:cs="宋体"/>
          <w:kern w:val="0"/>
          <w:sz w:val="32"/>
          <w:szCs w:val="32"/>
        </w:rPr>
        <w:t>%。购买新房占</w:t>
      </w:r>
      <w:r>
        <w:rPr>
          <w:rFonts w:hint="eastAsia" w:ascii="仿宋" w:hAnsi="仿宋" w:eastAsia="仿宋" w:cs="宋体"/>
          <w:kern w:val="0"/>
          <w:sz w:val="32"/>
          <w:szCs w:val="32"/>
        </w:rPr>
        <w:t>84.72</w:t>
      </w:r>
      <w:r>
        <w:rPr>
          <w:rFonts w:ascii="仿宋" w:hAnsi="仿宋" w:eastAsia="仿宋" w:cs="宋体"/>
          <w:kern w:val="0"/>
          <w:sz w:val="32"/>
          <w:szCs w:val="32"/>
        </w:rPr>
        <w:t>%，购买二手房占</w:t>
      </w:r>
      <w:r>
        <w:rPr>
          <w:rFonts w:hint="eastAsia" w:ascii="仿宋" w:hAnsi="仿宋" w:eastAsia="仿宋" w:cs="宋体"/>
          <w:kern w:val="0"/>
          <w:sz w:val="32"/>
          <w:szCs w:val="32"/>
        </w:rPr>
        <w:t>15.26</w:t>
      </w:r>
      <w:r>
        <w:rPr>
          <w:rFonts w:ascii="仿宋" w:hAnsi="仿宋" w:eastAsia="仿宋" w:cs="宋体"/>
          <w:kern w:val="0"/>
          <w:sz w:val="32"/>
          <w:szCs w:val="32"/>
        </w:rPr>
        <w:t xml:space="preserve"> %，建造、翻建、大修自住住房占0.0</w:t>
      </w:r>
      <w:r>
        <w:rPr>
          <w:rFonts w:hint="eastAsia" w:ascii="仿宋" w:hAnsi="仿宋" w:eastAsia="仿宋" w:cs="宋体"/>
          <w:kern w:val="0"/>
          <w:sz w:val="32"/>
          <w:szCs w:val="32"/>
        </w:rPr>
        <w:t>2</w:t>
      </w:r>
      <w:r>
        <w:rPr>
          <w:rFonts w:ascii="仿宋" w:hAnsi="仿宋" w:eastAsia="仿宋" w:cs="宋体"/>
          <w:kern w:val="0"/>
          <w:sz w:val="32"/>
          <w:szCs w:val="32"/>
        </w:rPr>
        <w:t>%。</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职工贷款笔数中，单缴存职工申请贷款占4</w:t>
      </w:r>
      <w:r>
        <w:rPr>
          <w:rFonts w:hint="eastAsia" w:ascii="仿宋" w:hAnsi="仿宋" w:eastAsia="仿宋" w:cs="宋体"/>
          <w:kern w:val="0"/>
          <w:sz w:val="32"/>
          <w:szCs w:val="32"/>
        </w:rPr>
        <w:t>6.54</w:t>
      </w:r>
      <w:r>
        <w:rPr>
          <w:rFonts w:ascii="仿宋" w:hAnsi="仿宋" w:eastAsia="仿宋" w:cs="宋体"/>
          <w:kern w:val="0"/>
          <w:sz w:val="32"/>
          <w:szCs w:val="32"/>
        </w:rPr>
        <w:t>%，双缴存职工申请贷款占5</w:t>
      </w:r>
      <w:r>
        <w:rPr>
          <w:rFonts w:hint="eastAsia" w:ascii="仿宋" w:hAnsi="仿宋" w:eastAsia="仿宋" w:cs="宋体"/>
          <w:kern w:val="0"/>
          <w:sz w:val="32"/>
          <w:szCs w:val="32"/>
        </w:rPr>
        <w:t>3.43</w:t>
      </w:r>
      <w:r>
        <w:rPr>
          <w:rFonts w:ascii="仿宋" w:hAnsi="仿宋" w:eastAsia="仿宋" w:cs="宋体"/>
          <w:kern w:val="0"/>
          <w:sz w:val="32"/>
          <w:szCs w:val="32"/>
        </w:rPr>
        <w:t>%，三人及以上缴存职工共同申请贷款占0.03%。</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贷款职工中，30岁（含）以下占</w:t>
      </w:r>
      <w:r>
        <w:rPr>
          <w:rFonts w:hint="eastAsia" w:ascii="仿宋" w:hAnsi="仿宋" w:eastAsia="仿宋" w:cs="宋体"/>
          <w:kern w:val="0"/>
          <w:sz w:val="32"/>
          <w:szCs w:val="32"/>
        </w:rPr>
        <w:t>38.55</w:t>
      </w:r>
      <w:r>
        <w:rPr>
          <w:rFonts w:ascii="仿宋" w:hAnsi="仿宋" w:eastAsia="仿宋" w:cs="宋体"/>
          <w:kern w:val="0"/>
          <w:sz w:val="32"/>
          <w:szCs w:val="32"/>
        </w:rPr>
        <w:t>%，30岁-40岁（含）占3</w:t>
      </w:r>
      <w:r>
        <w:rPr>
          <w:rFonts w:hint="eastAsia" w:ascii="仿宋" w:hAnsi="仿宋" w:eastAsia="仿宋" w:cs="宋体"/>
          <w:kern w:val="0"/>
          <w:sz w:val="32"/>
          <w:szCs w:val="32"/>
        </w:rPr>
        <w:t>7.39</w:t>
      </w:r>
      <w:r>
        <w:rPr>
          <w:rFonts w:ascii="仿宋" w:hAnsi="仿宋" w:eastAsia="仿宋" w:cs="宋体"/>
          <w:kern w:val="0"/>
          <w:sz w:val="32"/>
          <w:szCs w:val="32"/>
        </w:rPr>
        <w:t>%，40岁-50岁（含）占2</w:t>
      </w:r>
      <w:r>
        <w:rPr>
          <w:rFonts w:hint="eastAsia" w:ascii="仿宋" w:hAnsi="仿宋" w:eastAsia="仿宋" w:cs="宋体"/>
          <w:kern w:val="0"/>
          <w:sz w:val="32"/>
          <w:szCs w:val="32"/>
        </w:rPr>
        <w:t>0.22</w:t>
      </w:r>
      <w:r>
        <w:rPr>
          <w:rFonts w:ascii="仿宋" w:hAnsi="仿宋" w:eastAsia="仿宋" w:cs="宋体"/>
          <w:kern w:val="0"/>
          <w:sz w:val="32"/>
          <w:szCs w:val="32"/>
        </w:rPr>
        <w:t>%，50岁以上占3.</w:t>
      </w:r>
      <w:r>
        <w:rPr>
          <w:rFonts w:hint="eastAsia" w:ascii="仿宋" w:hAnsi="仿宋" w:eastAsia="仿宋" w:cs="宋体"/>
          <w:kern w:val="0"/>
          <w:sz w:val="32"/>
          <w:szCs w:val="32"/>
        </w:rPr>
        <w:t>84</w:t>
      </w:r>
      <w:r>
        <w:rPr>
          <w:rFonts w:ascii="仿宋" w:hAnsi="仿宋" w:eastAsia="仿宋" w:cs="宋体"/>
          <w:kern w:val="0"/>
          <w:sz w:val="32"/>
          <w:szCs w:val="32"/>
        </w:rPr>
        <w:t>%；首次申请贷款占8</w:t>
      </w:r>
      <w:r>
        <w:rPr>
          <w:rFonts w:hint="eastAsia" w:ascii="仿宋" w:hAnsi="仿宋" w:eastAsia="仿宋" w:cs="宋体"/>
          <w:kern w:val="0"/>
          <w:sz w:val="32"/>
          <w:szCs w:val="32"/>
        </w:rPr>
        <w:t>4.33</w:t>
      </w:r>
      <w:r>
        <w:rPr>
          <w:rFonts w:ascii="仿宋" w:hAnsi="仿宋" w:eastAsia="仿宋" w:cs="宋体"/>
          <w:kern w:val="0"/>
          <w:sz w:val="32"/>
          <w:szCs w:val="32"/>
        </w:rPr>
        <w:t>%，二次及以上申请贷款占1</w:t>
      </w:r>
      <w:r>
        <w:rPr>
          <w:rFonts w:hint="eastAsia" w:ascii="仿宋" w:hAnsi="仿宋" w:eastAsia="仿宋" w:cs="宋体"/>
          <w:kern w:val="0"/>
          <w:sz w:val="32"/>
          <w:szCs w:val="32"/>
        </w:rPr>
        <w:t>5.67</w:t>
      </w:r>
      <w:r>
        <w:rPr>
          <w:rFonts w:ascii="仿宋" w:hAnsi="仿宋" w:eastAsia="仿宋" w:cs="宋体"/>
          <w:kern w:val="0"/>
          <w:sz w:val="32"/>
          <w:szCs w:val="32"/>
        </w:rPr>
        <w:t>%；中、低收入占99.</w:t>
      </w:r>
      <w:r>
        <w:rPr>
          <w:rFonts w:hint="eastAsia" w:ascii="仿宋" w:hAnsi="仿宋" w:eastAsia="仿宋" w:cs="宋体"/>
          <w:kern w:val="0"/>
          <w:sz w:val="32"/>
          <w:szCs w:val="32"/>
        </w:rPr>
        <w:t>83</w:t>
      </w:r>
      <w:r>
        <w:rPr>
          <w:rFonts w:ascii="仿宋" w:hAnsi="仿宋" w:eastAsia="仿宋" w:cs="宋体"/>
          <w:kern w:val="0"/>
          <w:sz w:val="32"/>
          <w:szCs w:val="32"/>
        </w:rPr>
        <w:t>%，高收入占0.</w:t>
      </w:r>
      <w:r>
        <w:rPr>
          <w:rFonts w:hint="eastAsia" w:ascii="仿宋" w:hAnsi="仿宋" w:eastAsia="仿宋" w:cs="宋体"/>
          <w:kern w:val="0"/>
          <w:sz w:val="32"/>
          <w:szCs w:val="32"/>
        </w:rPr>
        <w:t>17</w:t>
      </w:r>
      <w:r>
        <w:rPr>
          <w:rFonts w:ascii="仿宋" w:hAnsi="仿宋" w:eastAsia="仿宋" w:cs="宋体"/>
          <w:kern w:val="0"/>
          <w:sz w:val="32"/>
          <w:szCs w:val="32"/>
        </w:rPr>
        <w:t>%。</w:t>
      </w:r>
    </w:p>
    <w:p>
      <w:pPr>
        <w:widowControl/>
        <w:adjustRightInd w:val="0"/>
        <w:spacing w:line="560" w:lineRule="exact"/>
        <w:ind w:firstLine="640" w:firstLineChars="200"/>
        <w:jc w:val="left"/>
        <w:rPr>
          <w:rFonts w:ascii="仿宋" w:hAnsi="仿宋" w:eastAsia="仿宋" w:cs="宋体"/>
          <w:kern w:val="0"/>
          <w:sz w:val="32"/>
          <w:szCs w:val="32"/>
        </w:rPr>
      </w:pPr>
      <w:r>
        <w:rPr>
          <w:rFonts w:ascii="仿宋" w:hAnsi="仿宋" w:eastAsia="仿宋" w:cs="宋体"/>
          <w:kern w:val="0"/>
          <w:sz w:val="32"/>
          <w:szCs w:val="32"/>
        </w:rPr>
        <w:t>住房贡献率</w:t>
      </w:r>
    </w:p>
    <w:p>
      <w:pPr>
        <w:widowControl/>
        <w:adjustRightInd w:val="0"/>
        <w:spacing w:line="360" w:lineRule="auto"/>
        <w:ind w:firstLine="640" w:firstLineChars="200"/>
        <w:jc w:val="left"/>
        <w:rPr>
          <w:rFonts w:ascii="仿宋" w:hAnsi="仿宋" w:eastAsia="仿宋" w:cs="宋体"/>
          <w:kern w:val="0"/>
          <w:sz w:val="32"/>
          <w:szCs w:val="32"/>
        </w:rPr>
      </w:pPr>
      <w:r>
        <w:rPr>
          <w:rFonts w:ascii="仿宋" w:hAnsi="仿宋" w:eastAsia="仿宋" w:cs="宋体"/>
          <w:kern w:val="0"/>
          <w:sz w:val="32"/>
          <w:szCs w:val="32"/>
        </w:rPr>
        <w:t>202</w:t>
      </w:r>
      <w:r>
        <w:rPr>
          <w:rFonts w:hint="eastAsia" w:ascii="仿宋" w:hAnsi="仿宋" w:eastAsia="仿宋" w:cs="宋体"/>
          <w:kern w:val="0"/>
          <w:sz w:val="32"/>
          <w:szCs w:val="32"/>
        </w:rPr>
        <w:t>2</w:t>
      </w:r>
      <w:r>
        <w:rPr>
          <w:rFonts w:ascii="仿宋" w:hAnsi="仿宋" w:eastAsia="仿宋" w:cs="宋体"/>
          <w:kern w:val="0"/>
          <w:sz w:val="32"/>
          <w:szCs w:val="32"/>
        </w:rPr>
        <w:t>年，个人住房贷款发放额、住房消费提取额的总和与当年缴存额的比率为</w:t>
      </w:r>
      <w:r>
        <w:rPr>
          <w:rFonts w:hint="eastAsia" w:ascii="仿宋" w:hAnsi="仿宋" w:eastAsia="仿宋" w:cs="宋体"/>
          <w:kern w:val="0"/>
          <w:sz w:val="32"/>
          <w:szCs w:val="32"/>
        </w:rPr>
        <w:t>95.98</w:t>
      </w:r>
      <w:r>
        <w:rPr>
          <w:rFonts w:ascii="仿宋" w:hAnsi="仿宋" w:eastAsia="仿宋" w:cs="宋体"/>
          <w:kern w:val="0"/>
          <w:sz w:val="32"/>
          <w:szCs w:val="32"/>
        </w:rPr>
        <w:t>%，比上年</w:t>
      </w:r>
      <w:r>
        <w:rPr>
          <w:rFonts w:hint="eastAsia" w:ascii="仿宋" w:hAnsi="仿宋" w:eastAsia="仿宋" w:cs="宋体"/>
          <w:kern w:val="0"/>
          <w:sz w:val="32"/>
          <w:szCs w:val="32"/>
        </w:rPr>
        <w:t>下降20.24</w:t>
      </w:r>
      <w:r>
        <w:rPr>
          <w:rFonts w:ascii="仿宋" w:hAnsi="仿宋" w:eastAsia="仿宋" w:cs="宋体"/>
          <w:kern w:val="0"/>
          <w:sz w:val="32"/>
          <w:szCs w:val="32"/>
        </w:rPr>
        <w:t>个百分点。</w:t>
      </w:r>
    </w:p>
    <w:p>
      <w:pPr>
        <w:pStyle w:val="4"/>
        <w:snapToGrid w:val="0"/>
        <w:spacing w:before="0" w:beforeAutospacing="0" w:after="0" w:afterAutospacing="0" w:line="360" w:lineRule="auto"/>
        <w:ind w:firstLine="641"/>
        <w:rPr>
          <w:rFonts w:ascii="仿宋" w:hAnsi="仿宋" w:eastAsia="仿宋"/>
          <w:sz w:val="32"/>
          <w:szCs w:val="32"/>
        </w:rPr>
      </w:pPr>
      <w:r>
        <w:rPr>
          <w:rFonts w:hint="eastAsia" w:ascii="仿宋" w:hAnsi="仿宋" w:eastAsia="仿宋"/>
          <w:sz w:val="32"/>
          <w:szCs w:val="32"/>
        </w:rPr>
        <w:t>可持续性分析</w:t>
      </w:r>
    </w:p>
    <w:p>
      <w:pPr>
        <w:pStyle w:val="4"/>
        <w:snapToGrid w:val="0"/>
        <w:spacing w:before="0" w:beforeAutospacing="0" w:after="0" w:afterAutospacing="0" w:line="360" w:lineRule="auto"/>
        <w:ind w:firstLine="641"/>
        <w:rPr>
          <w:rFonts w:ascii="仿宋" w:hAnsi="仿宋" w:eastAsia="仿宋"/>
          <w:sz w:val="32"/>
          <w:szCs w:val="32"/>
        </w:rPr>
      </w:pPr>
      <w:r>
        <w:rPr>
          <w:rFonts w:hint="eastAsia" w:ascii="仿宋" w:hAnsi="仿宋" w:eastAsia="仿宋"/>
          <w:sz w:val="32"/>
          <w:szCs w:val="32"/>
        </w:rPr>
        <w:t>强化预算约束。部门预算收支严格按年初财政部门预算批复执行。部门预决算、“三公”经费预决算按要求及时进行了公开，切实做到有预算有支出，无预算不支出。严格项目资金预算管理，不做无预算的支出。通过强化预算保障和执行，使整体支出的绩效呈现出良性循环，为住房公积金事业发展提供了持续、有力的经费保障。</w:t>
      </w:r>
    </w:p>
    <w:p>
      <w:pPr>
        <w:pStyle w:val="4"/>
        <w:snapToGrid w:val="0"/>
        <w:spacing w:before="0" w:beforeAutospacing="0" w:after="0" w:afterAutospacing="0" w:line="360" w:lineRule="auto"/>
        <w:ind w:firstLine="641"/>
        <w:rPr>
          <w:rFonts w:ascii="仿宋" w:hAnsi="仿宋" w:eastAsia="仿宋"/>
          <w:sz w:val="32"/>
          <w:szCs w:val="32"/>
        </w:rPr>
      </w:pPr>
      <w:r>
        <w:rPr>
          <w:rFonts w:hint="eastAsia" w:ascii="仿宋" w:hAnsi="仿宋" w:eastAsia="仿宋"/>
          <w:sz w:val="32"/>
          <w:szCs w:val="32"/>
        </w:rPr>
        <w:t>强化政府采购管理。从2020年7月1日起，我单位严格执行《湖南省政府采购电子卖场管理办法》，购买政府采购限额标准以下的货物、服务和工程，能在电子卖场采购的，一律通过电子卖场采购，实现采购活动全过程留痕。对单位购买属于政府采购招投标范围内的货物、工程和服务均严格遵守政府采购相关法律法规的规定，办理了相关审批手续，有效控制了采购的随意性，提高了资金支出的效益性。</w:t>
      </w:r>
    </w:p>
    <w:p>
      <w:pPr>
        <w:pStyle w:val="4"/>
        <w:snapToGrid w:val="0"/>
        <w:spacing w:before="0" w:beforeAutospacing="0" w:after="0" w:afterAutospacing="0" w:line="360" w:lineRule="auto"/>
        <w:ind w:firstLine="641"/>
        <w:rPr>
          <w:rFonts w:ascii="仿宋" w:hAnsi="仿宋" w:eastAsia="仿宋"/>
          <w:sz w:val="32"/>
          <w:szCs w:val="32"/>
        </w:rPr>
      </w:pPr>
      <w:r>
        <w:rPr>
          <w:rFonts w:hint="eastAsia" w:ascii="仿宋" w:hAnsi="仿宋" w:eastAsia="仿宋"/>
          <w:sz w:val="32"/>
          <w:szCs w:val="32"/>
        </w:rPr>
        <w:t>强化资金管理使用。我们严格执行中央八项规定，严格按照国家财经法规和财务管理制度管理使用各项经费，并根据有关法律法规制订、完善了《怀化市住房公积金管理中心预决算管理办法》、《收入管理制度》、《怀化市住房公积金管理中心财务支出管理暂行规定》、《怀化市住房公积金管理中心专项资金管理暂行办法》、《怀化市住房公积金管理中心备用金管理制度》、《怀化市住房公积金管理中心关于使用公务卡结算公务支出和规范日常零星采购行为有关问题的通知》、《怀化市住房公积金管理中心公务卡使用及报销管理暂行规定》、《怀化市住房公积金管理中心政府采购内部控制管理制度》等系列财务内控管理制度，不断加强财务管理，规范财务收支行为，做到了费用开支有预算、有依据、有标准，正确组织资金的调度和使用，债权债务及时结算、结清，正确核算授权支付和直接支付资金，所有支出均通过财政支付平台办理，资金使用无截留、挤占、挪用、虚列支出等情况。保证了财务管理工作规范有序进行。</w:t>
      </w:r>
    </w:p>
    <w:p>
      <w:pPr>
        <w:pStyle w:val="4"/>
        <w:snapToGrid w:val="0"/>
        <w:spacing w:before="0" w:beforeAutospacing="0" w:after="0" w:afterAutospacing="0" w:line="360" w:lineRule="auto"/>
        <w:ind w:firstLine="641"/>
        <w:rPr>
          <w:rFonts w:ascii="仿宋" w:hAnsi="仿宋" w:eastAsia="仿宋"/>
          <w:sz w:val="32"/>
          <w:szCs w:val="32"/>
        </w:rPr>
      </w:pPr>
      <w:r>
        <w:rPr>
          <w:rFonts w:hint="eastAsia" w:ascii="仿宋" w:hAnsi="仿宋" w:eastAsia="仿宋"/>
          <w:sz w:val="32"/>
          <w:szCs w:val="32"/>
        </w:rPr>
        <w:t>进一步加强单位项目库管理。提前做好项目储备，加强项目论证，规范项目立项，细化充实项目信息，增强绩效目标管理，提高项目预算编制的科学性、准确性。加强对项目支出执行情况的分析和运用，尤其对每年的延续性项目，要将科学合理的实际执行水平作为执行标准的依据，结合支出标准编制项目支出预算。推动项目管理台账专人登记工作，做到资金管理和实施管理有机结合。</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六、存在的主要问题</w:t>
      </w:r>
    </w:p>
    <w:p>
      <w:pPr>
        <w:widowControl/>
        <w:spacing w:line="600" w:lineRule="exact"/>
        <w:ind w:firstLine="640" w:firstLineChars="200"/>
        <w:jc w:val="left"/>
        <w:rPr>
          <w:rFonts w:eastAsia="仿宋"/>
          <w:sz w:val="32"/>
          <w:szCs w:val="32"/>
        </w:rPr>
      </w:pPr>
      <w:r>
        <w:rPr>
          <w:rFonts w:hint="eastAsia" w:eastAsia="仿宋_GB2312"/>
          <w:sz w:val="32"/>
          <w:szCs w:val="32"/>
        </w:rPr>
        <w:t>中心年初预算安排3759万元，调整后安排3263.85万元，实际支出3057.45万元，</w:t>
      </w:r>
      <w:r>
        <w:rPr>
          <w:rFonts w:hint="eastAsia" w:ascii="仿宋" w:hAnsi="仿宋" w:eastAsia="仿宋"/>
          <w:sz w:val="32"/>
          <w:szCs w:val="32"/>
        </w:rPr>
        <w:t>全年执行数在预算范围内。总体上我单位能够根据年初工作规划和重点工作，加强预算收支管理，建立健全内部管理制度，梳理内部管理流程，使部门整体支出管理情况得到提升，较好完成年度工作任务，但部门在绩效目标设计及细化等方面仍有待完善。</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七、改进措施和有关建议</w:t>
      </w:r>
    </w:p>
    <w:p>
      <w:pPr>
        <w:rPr>
          <w:rFonts w:ascii="仿宋" w:hAnsi="仿宋" w:eastAsia="仿宋"/>
          <w:sz w:val="32"/>
          <w:szCs w:val="32"/>
        </w:rPr>
      </w:pPr>
      <w:r>
        <w:rPr>
          <w:rFonts w:hint="eastAsia" w:ascii="仿宋" w:hAnsi="仿宋" w:eastAsia="仿宋"/>
          <w:sz w:val="32"/>
          <w:szCs w:val="32"/>
        </w:rPr>
        <w:t xml:space="preserve">    要针对预算绩效管理方面存在的问题，进一步梳理绩效目标及指标体系，按照资金的总体规划，明确总体目标与阶段目标的关系，分解目标，严格按照预算编制的相关制度和要求细化编制部门预算，提高预算编制的科学性、合理性、严谨性。同时要重视预算绩效评价结果应用和公开，对预算绩效自评发现的问题，及时改进。</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18</w:t>
    </w:r>
    <w:r>
      <w:rPr>
        <w:b/>
        <w:sz w:val="24"/>
        <w:szCs w:val="2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YxZjk2YWI1ODExMjZhZTZmMDBhMzM0MTk2NTA1NjQifQ=="/>
  </w:docVars>
  <w:rsids>
    <w:rsidRoot w:val="004E0CA8"/>
    <w:rsid w:val="000255D2"/>
    <w:rsid w:val="000265D8"/>
    <w:rsid w:val="0003317E"/>
    <w:rsid w:val="00045317"/>
    <w:rsid w:val="00045F12"/>
    <w:rsid w:val="00051B49"/>
    <w:rsid w:val="00064FB7"/>
    <w:rsid w:val="000763AD"/>
    <w:rsid w:val="00086BF5"/>
    <w:rsid w:val="00096BB2"/>
    <w:rsid w:val="000A5E45"/>
    <w:rsid w:val="000B116B"/>
    <w:rsid w:val="000C4C98"/>
    <w:rsid w:val="000C6EE3"/>
    <w:rsid w:val="000D1269"/>
    <w:rsid w:val="000D1895"/>
    <w:rsid w:val="000D2B7D"/>
    <w:rsid w:val="000D4849"/>
    <w:rsid w:val="00113D8B"/>
    <w:rsid w:val="00123815"/>
    <w:rsid w:val="00126B2E"/>
    <w:rsid w:val="00131BB2"/>
    <w:rsid w:val="00134B61"/>
    <w:rsid w:val="00147E13"/>
    <w:rsid w:val="00150100"/>
    <w:rsid w:val="00154920"/>
    <w:rsid w:val="00170B27"/>
    <w:rsid w:val="00171CF3"/>
    <w:rsid w:val="001742C7"/>
    <w:rsid w:val="00180E7E"/>
    <w:rsid w:val="001A5931"/>
    <w:rsid w:val="001B688D"/>
    <w:rsid w:val="001E33F7"/>
    <w:rsid w:val="002173D5"/>
    <w:rsid w:val="002367FA"/>
    <w:rsid w:val="00237C6D"/>
    <w:rsid w:val="00240ADE"/>
    <w:rsid w:val="00247A24"/>
    <w:rsid w:val="00253D64"/>
    <w:rsid w:val="00270C89"/>
    <w:rsid w:val="00281AFB"/>
    <w:rsid w:val="002A0637"/>
    <w:rsid w:val="002B4834"/>
    <w:rsid w:val="002C688F"/>
    <w:rsid w:val="002D2682"/>
    <w:rsid w:val="002D5CCA"/>
    <w:rsid w:val="002F0F5C"/>
    <w:rsid w:val="002F56B0"/>
    <w:rsid w:val="00324DC9"/>
    <w:rsid w:val="00331721"/>
    <w:rsid w:val="00333E42"/>
    <w:rsid w:val="0033485C"/>
    <w:rsid w:val="003352B0"/>
    <w:rsid w:val="00353548"/>
    <w:rsid w:val="0036608E"/>
    <w:rsid w:val="0037248B"/>
    <w:rsid w:val="00372BDC"/>
    <w:rsid w:val="003736BD"/>
    <w:rsid w:val="00376DA1"/>
    <w:rsid w:val="00385628"/>
    <w:rsid w:val="003966A5"/>
    <w:rsid w:val="003B4E1F"/>
    <w:rsid w:val="003B51A0"/>
    <w:rsid w:val="003B5557"/>
    <w:rsid w:val="003C5E40"/>
    <w:rsid w:val="003C7522"/>
    <w:rsid w:val="003D2E13"/>
    <w:rsid w:val="003F523A"/>
    <w:rsid w:val="00404C20"/>
    <w:rsid w:val="004248D8"/>
    <w:rsid w:val="00432C96"/>
    <w:rsid w:val="004348E7"/>
    <w:rsid w:val="00452F06"/>
    <w:rsid w:val="004852D5"/>
    <w:rsid w:val="00485C72"/>
    <w:rsid w:val="004B3DE0"/>
    <w:rsid w:val="004C669E"/>
    <w:rsid w:val="004D2D80"/>
    <w:rsid w:val="004E0CA8"/>
    <w:rsid w:val="004E3A8E"/>
    <w:rsid w:val="004F1E0A"/>
    <w:rsid w:val="0050478F"/>
    <w:rsid w:val="00567BB8"/>
    <w:rsid w:val="005731AE"/>
    <w:rsid w:val="00585512"/>
    <w:rsid w:val="00595A18"/>
    <w:rsid w:val="005C1B19"/>
    <w:rsid w:val="005D7E57"/>
    <w:rsid w:val="005E5736"/>
    <w:rsid w:val="005E7F0E"/>
    <w:rsid w:val="005F1AAA"/>
    <w:rsid w:val="005F68B6"/>
    <w:rsid w:val="005F7C14"/>
    <w:rsid w:val="00624895"/>
    <w:rsid w:val="00672EED"/>
    <w:rsid w:val="00684B3C"/>
    <w:rsid w:val="00687837"/>
    <w:rsid w:val="006A3AEE"/>
    <w:rsid w:val="006A5005"/>
    <w:rsid w:val="006B1C6E"/>
    <w:rsid w:val="006C4CE9"/>
    <w:rsid w:val="006C7842"/>
    <w:rsid w:val="006F4C83"/>
    <w:rsid w:val="00702F62"/>
    <w:rsid w:val="00737A0F"/>
    <w:rsid w:val="00765EC0"/>
    <w:rsid w:val="00772AFF"/>
    <w:rsid w:val="00775693"/>
    <w:rsid w:val="007C31AD"/>
    <w:rsid w:val="007D29D9"/>
    <w:rsid w:val="00802E4D"/>
    <w:rsid w:val="0081236A"/>
    <w:rsid w:val="0082091C"/>
    <w:rsid w:val="00853FA5"/>
    <w:rsid w:val="00856CE7"/>
    <w:rsid w:val="00883A7A"/>
    <w:rsid w:val="00890065"/>
    <w:rsid w:val="008A7C0D"/>
    <w:rsid w:val="008B625F"/>
    <w:rsid w:val="008C7AD2"/>
    <w:rsid w:val="00911AF7"/>
    <w:rsid w:val="00913436"/>
    <w:rsid w:val="00920947"/>
    <w:rsid w:val="00927950"/>
    <w:rsid w:val="00952DC6"/>
    <w:rsid w:val="00960061"/>
    <w:rsid w:val="00964437"/>
    <w:rsid w:val="009666D4"/>
    <w:rsid w:val="00974A0E"/>
    <w:rsid w:val="00982E1A"/>
    <w:rsid w:val="009962F1"/>
    <w:rsid w:val="009C0A40"/>
    <w:rsid w:val="00A00030"/>
    <w:rsid w:val="00A24EE3"/>
    <w:rsid w:val="00A36B5F"/>
    <w:rsid w:val="00A43970"/>
    <w:rsid w:val="00A470E7"/>
    <w:rsid w:val="00A61318"/>
    <w:rsid w:val="00A62BBA"/>
    <w:rsid w:val="00AC177D"/>
    <w:rsid w:val="00AD7F0A"/>
    <w:rsid w:val="00AF500F"/>
    <w:rsid w:val="00B042E7"/>
    <w:rsid w:val="00B06ED1"/>
    <w:rsid w:val="00B12EA9"/>
    <w:rsid w:val="00B20600"/>
    <w:rsid w:val="00B24386"/>
    <w:rsid w:val="00B35972"/>
    <w:rsid w:val="00B63B2B"/>
    <w:rsid w:val="00B67037"/>
    <w:rsid w:val="00B67412"/>
    <w:rsid w:val="00B72ED7"/>
    <w:rsid w:val="00B82AFA"/>
    <w:rsid w:val="00B873C0"/>
    <w:rsid w:val="00BA0340"/>
    <w:rsid w:val="00BA0D25"/>
    <w:rsid w:val="00BA2615"/>
    <w:rsid w:val="00BA73F9"/>
    <w:rsid w:val="00BC1C9D"/>
    <w:rsid w:val="00BE03A0"/>
    <w:rsid w:val="00BF52A7"/>
    <w:rsid w:val="00C072CF"/>
    <w:rsid w:val="00C32C2B"/>
    <w:rsid w:val="00C402FB"/>
    <w:rsid w:val="00C40819"/>
    <w:rsid w:val="00C638FF"/>
    <w:rsid w:val="00C711A9"/>
    <w:rsid w:val="00C760B0"/>
    <w:rsid w:val="00C83934"/>
    <w:rsid w:val="00C95294"/>
    <w:rsid w:val="00CC3948"/>
    <w:rsid w:val="00CC77A0"/>
    <w:rsid w:val="00CC7B85"/>
    <w:rsid w:val="00CD20A0"/>
    <w:rsid w:val="00CD7D34"/>
    <w:rsid w:val="00D319BF"/>
    <w:rsid w:val="00D7414F"/>
    <w:rsid w:val="00D944C0"/>
    <w:rsid w:val="00DA58D9"/>
    <w:rsid w:val="00DA658A"/>
    <w:rsid w:val="00DC3524"/>
    <w:rsid w:val="00DC377F"/>
    <w:rsid w:val="00DF5667"/>
    <w:rsid w:val="00E41B5D"/>
    <w:rsid w:val="00E53526"/>
    <w:rsid w:val="00E670E6"/>
    <w:rsid w:val="00E760DA"/>
    <w:rsid w:val="00E87968"/>
    <w:rsid w:val="00E931F1"/>
    <w:rsid w:val="00EA279C"/>
    <w:rsid w:val="00EB510F"/>
    <w:rsid w:val="00EB55B9"/>
    <w:rsid w:val="00ED4036"/>
    <w:rsid w:val="00EE4E56"/>
    <w:rsid w:val="00EF255F"/>
    <w:rsid w:val="00EF76CF"/>
    <w:rsid w:val="00F0392A"/>
    <w:rsid w:val="00F1421D"/>
    <w:rsid w:val="00F2319D"/>
    <w:rsid w:val="00F43F3F"/>
    <w:rsid w:val="00F55715"/>
    <w:rsid w:val="00F726DE"/>
    <w:rsid w:val="00FC2110"/>
    <w:rsid w:val="00FC766A"/>
    <w:rsid w:val="00FD26D4"/>
    <w:rsid w:val="00FF4205"/>
    <w:rsid w:val="05D05A74"/>
    <w:rsid w:val="0B901D30"/>
    <w:rsid w:val="0C6C62F9"/>
    <w:rsid w:val="1D790876"/>
    <w:rsid w:val="21C77C91"/>
    <w:rsid w:val="2CAC09AD"/>
    <w:rsid w:val="317A69D8"/>
    <w:rsid w:val="3BDA7A9A"/>
    <w:rsid w:val="4BEB02E1"/>
    <w:rsid w:val="4CE03B68"/>
    <w:rsid w:val="56EB5639"/>
    <w:rsid w:val="6CE4695B"/>
    <w:rsid w:val="75674744"/>
    <w:rsid w:val="7E875855"/>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uiPriority w:val="99"/>
    <w:rPr>
      <w:kern w:val="2"/>
      <w:sz w:val="18"/>
      <w:szCs w:val="18"/>
    </w:rPr>
  </w:style>
  <w:style w:type="paragraph" w:customStyle="1" w:styleId="9">
    <w:name w:val="无间隔1"/>
    <w:link w:val="10"/>
    <w:qFormat/>
    <w:uiPriority w:val="1"/>
    <w:pPr>
      <w:widowControl w:val="0"/>
      <w:jc w:val="both"/>
    </w:pPr>
    <w:rPr>
      <w:rFonts w:ascii="Calibri" w:hAnsi="Calibri" w:eastAsia="宋体" w:cs="Times New Roman"/>
      <w:kern w:val="2"/>
      <w:sz w:val="21"/>
      <w:szCs w:val="22"/>
      <w:lang w:val="en-US" w:eastAsia="zh-CN" w:bidi="ar-SA"/>
    </w:rPr>
  </w:style>
  <w:style w:type="character" w:customStyle="1" w:styleId="10">
    <w:name w:val="无间隔 Char"/>
    <w:basedOn w:val="5"/>
    <w:link w:val="9"/>
    <w:qFormat/>
    <w:uiPriority w:val="1"/>
    <w:rPr>
      <w:rFonts w:ascii="Calibri" w:hAnsi="Calibr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7613</Words>
  <Characters>990</Characters>
  <Lines>8</Lines>
  <Paragraphs>17</Paragraphs>
  <TotalTime>0</TotalTime>
  <ScaleCrop>false</ScaleCrop>
  <LinksUpToDate>false</LinksUpToDate>
  <CharactersWithSpaces>8586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2017-04-05T02:31:00Z</dcterms:created>
  <dc:creator>Administrator</dc:creator>
  <cp:lastModifiedBy>Administrator</cp:lastModifiedBy>
  <cp:lastPrinted>2023-09-26T08:14:00Z</cp:lastPrinted>
  <dcterms:modified xsi:type="dcterms:W3CDTF">2023-09-26T08:10:04Z</dcterms:modified>
  <dc:title>附件8:</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1468F83837224D4BA643F9A375FE66B9</vt:lpwstr>
  </property>
</Properties>
</file>