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1C829">
      <w:pPr>
        <w:pStyle w:val="15"/>
        <w:jc w:val="center"/>
        <w:rPr>
          <w:sz w:val="84"/>
          <w:szCs w:val="84"/>
        </w:rPr>
      </w:pPr>
    </w:p>
    <w:p w14:paraId="59883B89">
      <w:pPr>
        <w:pStyle w:val="15"/>
        <w:jc w:val="center"/>
        <w:rPr>
          <w:rFonts w:hint="eastAsia"/>
          <w:sz w:val="84"/>
          <w:szCs w:val="84"/>
        </w:rPr>
      </w:pPr>
    </w:p>
    <w:p w14:paraId="0ED1A67B">
      <w:pPr>
        <w:pStyle w:val="15"/>
        <w:jc w:val="center"/>
        <w:rPr>
          <w:rFonts w:hint="eastAsia"/>
          <w:sz w:val="84"/>
          <w:szCs w:val="84"/>
        </w:rPr>
      </w:pPr>
      <w:bookmarkStart w:id="0" w:name="_GoBack"/>
      <w:bookmarkEnd w:id="0"/>
    </w:p>
    <w:p w14:paraId="241DFEB9">
      <w:pPr>
        <w:pStyle w:val="15"/>
        <w:jc w:val="center"/>
        <w:rPr>
          <w:rFonts w:hint="eastAsia"/>
          <w:sz w:val="84"/>
          <w:szCs w:val="84"/>
        </w:rPr>
      </w:pPr>
    </w:p>
    <w:p w14:paraId="5943794C">
      <w:pPr>
        <w:pStyle w:val="15"/>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2023年度</w:t>
      </w:r>
    </w:p>
    <w:p w14:paraId="68AB0F29">
      <w:pPr>
        <w:pStyle w:val="15"/>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中共怀化市委办公室</w:t>
      </w:r>
    </w:p>
    <w:p w14:paraId="66857544">
      <w:pPr>
        <w:pStyle w:val="15"/>
        <w:jc w:val="center"/>
        <w:rPr>
          <w:sz w:val="84"/>
          <w:szCs w:val="84"/>
        </w:rPr>
      </w:pPr>
      <w:r>
        <w:rPr>
          <w:rFonts w:hint="eastAsia" w:ascii="方正小标宋_GBK" w:hAnsi="方正小标宋_GBK" w:eastAsia="方正小标宋_GBK" w:cs="方正小标宋_GBK"/>
          <w:sz w:val="84"/>
          <w:szCs w:val="84"/>
          <w:lang w:val="en-US" w:eastAsia="zh-CN"/>
        </w:rPr>
        <w:t>部门决算</w:t>
      </w:r>
    </w:p>
    <w:p w14:paraId="29FD0B0A">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0AA80827">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7878C51B">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D8E40C6">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706CDAD9">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6E73870">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5030B700">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293510CD">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0F2F29C8">
      <w:pPr>
        <w:pStyle w:val="15"/>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b/>
          <w:sz w:val="32"/>
          <w:szCs w:val="32"/>
        </w:rPr>
      </w:pPr>
    </w:p>
    <w:p w14:paraId="00D6E474">
      <w:pPr>
        <w:pStyle w:val="15"/>
        <w:spacing w:line="500" w:lineRule="exact"/>
        <w:jc w:val="center"/>
        <w:rPr>
          <w:b/>
          <w:sz w:val="36"/>
          <w:szCs w:val="28"/>
        </w:rPr>
      </w:pPr>
      <w:r>
        <w:rPr>
          <w:rFonts w:hint="eastAsia"/>
          <w:b/>
          <w:sz w:val="36"/>
          <w:szCs w:val="28"/>
        </w:rPr>
        <w:t>目录</w:t>
      </w:r>
    </w:p>
    <w:p w14:paraId="09A35E1A">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中共怀化市委办公室</w:t>
      </w:r>
      <w:r>
        <w:rPr>
          <w:rFonts w:hint="eastAsia" w:ascii="黑体" w:hAnsi="黑体" w:eastAsia="黑体" w:cs="黑体"/>
          <w:b w:val="0"/>
          <w:bCs/>
          <w:sz w:val="28"/>
          <w:szCs w:val="28"/>
        </w:rPr>
        <w:t>概况</w:t>
      </w:r>
    </w:p>
    <w:p w14:paraId="4651805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21D8333">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607BB5B">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E684BD2">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3C5350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11A4C17">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9ACD82D">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DE9C1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9C4BE39">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04F72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E88C94A">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970F326">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F7C9BAB">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D56445F">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39780C1">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17A3773">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w:t>
      </w:r>
    </w:p>
    <w:p w14:paraId="717FAB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w:t>
      </w:r>
    </w:p>
    <w:p w14:paraId="7F13366A">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w:t>
      </w:r>
    </w:p>
    <w:p w14:paraId="56BB8F64">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w:t>
      </w:r>
    </w:p>
    <w:p w14:paraId="4409F7C2">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七、一般公共预算财政拨款三公经费支出决算情况说明</w:t>
      </w:r>
    </w:p>
    <w:p w14:paraId="76B93B1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八、政府性基金预算收入支出决算情况</w:t>
      </w:r>
    </w:p>
    <w:p w14:paraId="0DFBEFF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九、国有资本经营预算收入支出决算情况</w:t>
      </w:r>
    </w:p>
    <w:p w14:paraId="65547628">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十、关于机关运行经费支出说明</w:t>
      </w:r>
    </w:p>
    <w:p w14:paraId="29E8FFA5">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十一、一般性支出情况说明</w:t>
      </w:r>
    </w:p>
    <w:p w14:paraId="73DDF1F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十二、关于政府采购支出说明</w:t>
      </w:r>
    </w:p>
    <w:p w14:paraId="0F5149BC">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626A1567">
      <w:pPr>
        <w:pStyle w:val="15"/>
        <w:keepNext w:val="0"/>
        <w:keepLines w:val="0"/>
        <w:pageBreakBefore w:val="0"/>
        <w:widowControl w:val="0"/>
        <w:kinsoku/>
        <w:wordWrap/>
        <w:overflowPunct/>
        <w:topLinePunct w:val="0"/>
        <w:autoSpaceDE w:val="0"/>
        <w:autoSpaceDN w:val="0"/>
        <w:bidi w:val="0"/>
        <w:adjustRightInd w:val="0"/>
        <w:snapToGrid/>
        <w:spacing w:line="4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十四、关于预算绩效情况的说明</w:t>
      </w:r>
    </w:p>
    <w:p w14:paraId="49A98D2D">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C542EF5">
      <w:pPr>
        <w:pStyle w:val="15"/>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346F403">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75A2E399">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4D5ED6C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3FF0C3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34359D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783DDFE">
      <w:pPr>
        <w:pStyle w:val="15"/>
        <w:jc w:val="both"/>
        <w:rPr>
          <w:rFonts w:hint="eastAsia" w:ascii="方正小标宋_GBK" w:hAnsi="方正小标宋_GBK" w:eastAsia="方正小标宋_GBK" w:cs="方正小标宋_GBK"/>
          <w:sz w:val="84"/>
          <w:szCs w:val="84"/>
        </w:rPr>
      </w:pPr>
    </w:p>
    <w:p w14:paraId="76A7C236">
      <w:pPr>
        <w:pStyle w:val="15"/>
        <w:jc w:val="center"/>
        <w:rPr>
          <w:rFonts w:hint="eastAsia" w:ascii="方正小标宋_GBK" w:hAnsi="方正小标宋_GBK" w:eastAsia="方正小标宋_GBK" w:cs="方正小标宋_GBK"/>
          <w:sz w:val="84"/>
          <w:szCs w:val="84"/>
        </w:rPr>
      </w:pPr>
    </w:p>
    <w:p w14:paraId="462D5643">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D28C718">
      <w:pPr>
        <w:pStyle w:val="15"/>
        <w:jc w:val="center"/>
        <w:rPr>
          <w:rFonts w:hint="eastAsia" w:ascii="方正小标宋_GBK" w:hAnsi="方正小标宋_GBK" w:eastAsia="方正小标宋_GBK" w:cs="方正小标宋_GBK"/>
          <w:sz w:val="52"/>
          <w:szCs w:val="52"/>
        </w:rPr>
      </w:pPr>
    </w:p>
    <w:p w14:paraId="3B97E25F">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中共怀化市委办公室</w:t>
      </w:r>
    </w:p>
    <w:p w14:paraId="6A3BCAF9">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单位概况</w:t>
      </w:r>
    </w:p>
    <w:p w14:paraId="4B89A292">
      <w:pPr>
        <w:pStyle w:val="15"/>
        <w:keepNext w:val="0"/>
        <w:keepLines w:val="0"/>
        <w:pageBreakBefore w:val="0"/>
        <w:kinsoku/>
        <w:wordWrap/>
        <w:overflowPunct/>
        <w:topLinePunct w:val="0"/>
        <w:bidi w:val="0"/>
        <w:snapToGrid/>
        <w:spacing w:line="600" w:lineRule="exact"/>
        <w:jc w:val="both"/>
        <w:textAlignment w:val="auto"/>
        <w:rPr>
          <w:rFonts w:hint="default" w:ascii="黑体" w:hAnsi="黑体" w:eastAsia="黑体" w:cs="黑体"/>
          <w:b/>
          <w:bCs/>
          <w:sz w:val="44"/>
          <w:szCs w:val="44"/>
          <w:lang w:val="en-US" w:eastAsia="zh-CN"/>
        </w:rPr>
      </w:pPr>
    </w:p>
    <w:p w14:paraId="5D0DC058">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96BF4D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D148F9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5094F7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0F2AAA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49554A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CCF74EA">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7D72027">
      <w:pPr>
        <w:pStyle w:val="16"/>
        <w:keepNext w:val="0"/>
        <w:keepLines w:val="0"/>
        <w:pageBreakBefore w:val="0"/>
        <w:kinsoku/>
        <w:wordWrap/>
        <w:overflowPunct/>
        <w:topLinePunct w:val="0"/>
        <w:bidi w:val="0"/>
        <w:snapToGrid/>
        <w:spacing w:line="600" w:lineRule="exact"/>
        <w:ind w:left="0" w:leftChars="0" w:firstLine="0" w:firstLineChars="0"/>
        <w:jc w:val="left"/>
        <w:textAlignment w:val="auto"/>
        <w:rPr>
          <w:rFonts w:hint="eastAsia" w:ascii="仿宋" w:hAnsi="仿宋" w:eastAsia="仿宋" w:cs="仿宋"/>
          <w:sz w:val="32"/>
          <w:szCs w:val="32"/>
        </w:rPr>
      </w:pPr>
    </w:p>
    <w:p w14:paraId="5E88D9A1">
      <w:pPr>
        <w:pStyle w:val="16"/>
        <w:keepNext w:val="0"/>
        <w:keepLines w:val="0"/>
        <w:pageBreakBefore w:val="0"/>
        <w:kinsoku/>
        <w:wordWrap/>
        <w:overflowPunct/>
        <w:topLinePunct w:val="0"/>
        <w:bidi w:val="0"/>
        <w:snapToGrid/>
        <w:spacing w:line="600" w:lineRule="exact"/>
        <w:ind w:left="0" w:leftChars="0" w:firstLine="0" w:firstLineChars="0"/>
        <w:jc w:val="left"/>
        <w:textAlignment w:val="auto"/>
        <w:rPr>
          <w:rFonts w:hint="eastAsia" w:ascii="仿宋" w:hAnsi="仿宋" w:eastAsia="仿宋" w:cs="仿宋"/>
          <w:sz w:val="32"/>
          <w:szCs w:val="32"/>
        </w:rPr>
      </w:pPr>
    </w:p>
    <w:p w14:paraId="33BF8DC6">
      <w:pPr>
        <w:pStyle w:val="16"/>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14:paraId="578E9C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负责市委重要会议的准备和组织协调工作，负责组织安排市委领导同志公务活动，办理市委领导同志交办的事项。</w:t>
      </w:r>
    </w:p>
    <w:p w14:paraId="1D1551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负责市委日常文书的处理，负责市委文件和市委领导同志文稿的起草、校核、印发工作；负责党委（党组）规范性文件的审核、备案、清理，服务市委领导地方立法工作，协调市委法律顾问服务相关的职能。</w:t>
      </w:r>
    </w:p>
    <w:p w14:paraId="517EDE7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_GB2312" w:eastAsia="仿宋_GB2312" w:cs="仿宋_GB2312"/>
          <w:b w:val="0"/>
          <w:bCs w:val="0"/>
          <w:sz w:val="32"/>
          <w:szCs w:val="32"/>
          <w:highlight w:val="none"/>
          <w:lang w:eastAsia="zh-CN" w:bidi="ar-SA"/>
        </w:rPr>
        <w:t>负责省委重大方针政策和省委、市委重要工作部署贯彻落实的督促检查，负责省、市委重要指示及省、市委领导同志重要批示的传达、催办、落实；组织办理人大代表有关建议、政协委员有关提案</w:t>
      </w:r>
      <w:r>
        <w:rPr>
          <w:rFonts w:hint="eastAsia" w:ascii="仿宋" w:hAnsi="仿宋" w:eastAsia="仿宋" w:cs="仿宋"/>
          <w:sz w:val="32"/>
          <w:szCs w:val="32"/>
        </w:rPr>
        <w:t>。</w:t>
      </w:r>
    </w:p>
    <w:p w14:paraId="4E18D6E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（四）</w:t>
      </w:r>
      <w:r>
        <w:rPr>
          <w:rFonts w:hint="eastAsia" w:ascii="仿宋" w:hAnsi="仿宋" w:eastAsia="仿宋" w:cs="仿宋"/>
          <w:sz w:val="32"/>
          <w:szCs w:val="32"/>
        </w:rPr>
        <w:t>围绕省、市委工作部署，收集意见，及时、准确、全面地向中央、省委、市委报送信息，反映有关动态，综合调研等；负责以市委名义向省委请示报告工作的归口、把关工作，负责统筹、指导、督促全市党组织重大事项报告工作的职能。</w:t>
      </w:r>
    </w:p>
    <w:p w14:paraId="6EEB4D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b w:val="0"/>
          <w:bCs w:val="0"/>
          <w:sz w:val="32"/>
          <w:szCs w:val="32"/>
          <w:highlight w:val="none"/>
          <w:lang w:eastAsia="zh-CN" w:bidi="ar-SA"/>
        </w:rPr>
      </w:pPr>
      <w:r>
        <w:rPr>
          <w:rFonts w:hint="eastAsia" w:ascii="仿宋" w:hAnsi="仿宋" w:eastAsia="仿宋" w:cs="仿宋"/>
          <w:sz w:val="32"/>
          <w:szCs w:val="32"/>
          <w:lang w:eastAsia="zh-CN"/>
        </w:rPr>
        <w:t>（五）</w:t>
      </w:r>
      <w:r>
        <w:rPr>
          <w:rFonts w:hint="eastAsia" w:ascii="仿宋_GB2312" w:eastAsia="仿宋_GB2312" w:cs="仿宋_GB2312"/>
          <w:b w:val="0"/>
          <w:bCs w:val="0"/>
          <w:sz w:val="32"/>
          <w:szCs w:val="32"/>
          <w:highlight w:val="none"/>
          <w:lang w:eastAsia="zh-CN" w:bidi="ar-SA"/>
        </w:rPr>
        <w:t>负责市委及市委各部委年度督查检查考核计划的归口审核和全市性年度督查检查考核计划的统一报批、监督实施的职能。</w:t>
      </w:r>
    </w:p>
    <w:p w14:paraId="61E8513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负责市委值班工作，及时向市委领导同志报送重要情况，协助处理市直各部门和各县（市、区）向市委反映的重要问题，协调有关部门的工作关系。</w:t>
      </w:r>
    </w:p>
    <w:p w14:paraId="0E5BA99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负责负责全市电子政务内网、党政专用通信网规划、建设和管理，负责全市电子文件管理工作，做好党政机关电子公文系统安全可靠应用推进、市直单位信息化建设项目前置审查工作的职能；负责中央、省委文件和党、政、军领导机关机要件的传递工作。</w:t>
      </w:r>
    </w:p>
    <w:p w14:paraId="3781324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负责全市保密工作的规划、宣传教育、指导协调、监督管理和失泄密案件的查处工作等。</w:t>
      </w:r>
    </w:p>
    <w:p w14:paraId="68CC345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负责全市外事工作和对台、港澳事务管理的工作。</w:t>
      </w:r>
    </w:p>
    <w:p w14:paraId="52A3FB3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_GB2312" w:eastAsia="仿宋_GB2312" w:cs="仿宋_GB2312"/>
          <w:b w:val="0"/>
          <w:bCs w:val="0"/>
          <w:sz w:val="32"/>
          <w:szCs w:val="32"/>
          <w:highlight w:val="none"/>
          <w:lang w:eastAsia="zh-CN" w:bidi="ar-SA"/>
        </w:rPr>
        <w:t>负责全市档案事业的发展规划、组织协调，全市档案工作的监督和指导，全市档案法规的宣传教育以及依法查处档案违法行为的职能</w:t>
      </w:r>
      <w:r>
        <w:rPr>
          <w:rFonts w:hint="eastAsia" w:ascii="仿宋" w:hAnsi="仿宋" w:eastAsia="仿宋" w:cs="仿宋"/>
          <w:sz w:val="32"/>
          <w:szCs w:val="32"/>
        </w:rPr>
        <w:t>。</w:t>
      </w:r>
    </w:p>
    <w:p w14:paraId="1372EE5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kern w:val="0"/>
          <w:sz w:val="32"/>
          <w:szCs w:val="32"/>
        </w:rPr>
      </w:pPr>
      <w:r>
        <w:rPr>
          <w:rFonts w:hint="eastAsia" w:ascii="黑体" w:hAnsi="黑体" w:eastAsia="黑体" w:cs="黑体"/>
          <w:b w:val="0"/>
          <w:bCs/>
          <w:kern w:val="0"/>
          <w:sz w:val="32"/>
          <w:szCs w:val="32"/>
        </w:rPr>
        <w:t>二、机构设置及决算单位构成</w:t>
      </w:r>
    </w:p>
    <w:p w14:paraId="29BAE3F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kern w:val="0"/>
          <w:sz w:val="32"/>
          <w:szCs w:val="32"/>
          <w:highlight w:val="none"/>
        </w:rPr>
      </w:pPr>
      <w:r>
        <w:rPr>
          <w:rFonts w:hint="eastAsia" w:ascii="仿宋" w:hAnsi="仿宋" w:eastAsia="仿宋" w:cs="仿宋"/>
          <w:b w:val="0"/>
          <w:bCs/>
          <w:kern w:val="0"/>
          <w:sz w:val="32"/>
          <w:szCs w:val="32"/>
        </w:rPr>
        <w:t>（一）</w:t>
      </w:r>
      <w:r>
        <w:rPr>
          <w:rFonts w:hint="eastAsia" w:ascii="仿宋" w:hAnsi="仿宋" w:eastAsia="仿宋" w:cs="仿宋"/>
          <w:b w:val="0"/>
          <w:bCs/>
          <w:kern w:val="0"/>
          <w:sz w:val="32"/>
          <w:szCs w:val="32"/>
          <w:highlight w:val="none"/>
        </w:rPr>
        <w:t>市委办作为一级部门预算单位，现有</w:t>
      </w:r>
      <w:r>
        <w:rPr>
          <w:rFonts w:hint="eastAsia" w:ascii="仿宋" w:hAnsi="仿宋" w:eastAsia="仿宋" w:cs="仿宋"/>
          <w:b w:val="0"/>
          <w:bCs/>
          <w:kern w:val="0"/>
          <w:sz w:val="32"/>
          <w:szCs w:val="32"/>
          <w:highlight w:val="none"/>
          <w:lang w:val="en-US" w:eastAsia="zh-CN"/>
        </w:rPr>
        <w:t>16</w:t>
      </w:r>
      <w:r>
        <w:rPr>
          <w:rFonts w:hint="eastAsia" w:ascii="仿宋" w:hAnsi="仿宋" w:eastAsia="仿宋" w:cs="仿宋"/>
          <w:b w:val="0"/>
          <w:bCs/>
          <w:kern w:val="0"/>
          <w:sz w:val="32"/>
          <w:szCs w:val="32"/>
          <w:highlight w:val="none"/>
        </w:rPr>
        <w:t>个内设职能科室和</w:t>
      </w:r>
      <w:r>
        <w:rPr>
          <w:rFonts w:hint="eastAsia" w:ascii="仿宋" w:hAnsi="仿宋" w:eastAsia="仿宋" w:cs="仿宋"/>
          <w:b w:val="0"/>
          <w:bCs/>
          <w:kern w:val="0"/>
          <w:sz w:val="32"/>
          <w:szCs w:val="32"/>
          <w:highlight w:val="none"/>
          <w:lang w:val="en-US" w:eastAsia="zh-CN"/>
        </w:rPr>
        <w:t>4</w:t>
      </w:r>
      <w:r>
        <w:rPr>
          <w:rFonts w:hint="eastAsia" w:ascii="仿宋" w:hAnsi="仿宋" w:eastAsia="仿宋" w:cs="仿宋"/>
          <w:b w:val="0"/>
          <w:bCs/>
          <w:kern w:val="0"/>
          <w:sz w:val="32"/>
          <w:szCs w:val="32"/>
          <w:highlight w:val="none"/>
        </w:rPr>
        <w:t>个事业单位（市人民对外友好协会办公室、信息服务中心、专用通信局、保密技术服务中心）。</w:t>
      </w:r>
    </w:p>
    <w:p w14:paraId="5D4715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val="0"/>
          <w:bCs/>
          <w:kern w:val="0"/>
          <w:sz w:val="32"/>
          <w:szCs w:val="32"/>
        </w:rPr>
        <w:t>（二）决算单位构成</w:t>
      </w:r>
      <w:r>
        <w:rPr>
          <w:rFonts w:hint="eastAsia" w:ascii="仿宋" w:hAnsi="仿宋" w:eastAsia="仿宋" w:cs="仿宋"/>
          <w:b w:val="0"/>
          <w:bCs/>
          <w:kern w:val="0"/>
          <w:sz w:val="32"/>
          <w:szCs w:val="32"/>
          <w:lang w:eastAsia="zh-CN"/>
        </w:rPr>
        <w:t>：</w:t>
      </w:r>
      <w:r>
        <w:rPr>
          <w:rFonts w:hint="eastAsia" w:ascii="仿宋" w:hAnsi="仿宋" w:eastAsia="仿宋" w:cs="仿宋"/>
          <w:bCs/>
          <w:kern w:val="0"/>
          <w:sz w:val="32"/>
          <w:szCs w:val="32"/>
        </w:rPr>
        <w:t>市委办202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rPr>
        <w:t>年部门决算汇总公开单位只有本级，没有其他二级单位。因此，纳入202</w:t>
      </w: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年部门决算编制范围的只有市委办本级。</w:t>
      </w:r>
    </w:p>
    <w:p w14:paraId="7C22EBCC">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CFF3511">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331D2D97">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3AC8F55A">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271C122B">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1D9C3CC3">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0244319D">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46B757E3">
      <w:pPr>
        <w:pStyle w:val="15"/>
        <w:jc w:val="center"/>
        <w:rPr>
          <w:rFonts w:hint="eastAsia" w:ascii="方正小标宋_GBK" w:hAnsi="方正小标宋_GBK" w:eastAsia="方正小标宋_GBK" w:cs="方正小标宋_GBK"/>
          <w:sz w:val="84"/>
          <w:szCs w:val="84"/>
        </w:rPr>
      </w:pPr>
    </w:p>
    <w:p w14:paraId="254CE43B">
      <w:pPr>
        <w:pStyle w:val="15"/>
        <w:jc w:val="center"/>
        <w:rPr>
          <w:rFonts w:hint="eastAsia" w:ascii="方正小标宋_GBK" w:hAnsi="方正小标宋_GBK" w:eastAsia="方正小标宋_GBK" w:cs="方正小标宋_GBK"/>
          <w:sz w:val="84"/>
          <w:szCs w:val="84"/>
        </w:rPr>
      </w:pPr>
    </w:p>
    <w:p w14:paraId="555FCD1C">
      <w:pPr>
        <w:pStyle w:val="15"/>
        <w:jc w:val="center"/>
        <w:rPr>
          <w:rFonts w:hint="eastAsia" w:ascii="方正小标宋_GBK" w:hAnsi="方正小标宋_GBK" w:eastAsia="方正小标宋_GBK" w:cs="方正小标宋_GBK"/>
          <w:sz w:val="84"/>
          <w:szCs w:val="84"/>
        </w:rPr>
      </w:pPr>
    </w:p>
    <w:p w14:paraId="408FABD0">
      <w:pPr>
        <w:pStyle w:val="15"/>
        <w:jc w:val="center"/>
        <w:rPr>
          <w:rFonts w:hint="eastAsia" w:ascii="方正小标宋_GBK" w:hAnsi="方正小标宋_GBK" w:eastAsia="方正小标宋_GBK" w:cs="方正小标宋_GBK"/>
          <w:sz w:val="84"/>
          <w:szCs w:val="84"/>
        </w:rPr>
      </w:pPr>
    </w:p>
    <w:p w14:paraId="5DC4713D">
      <w:pPr>
        <w:pStyle w:val="15"/>
        <w:jc w:val="center"/>
        <w:rPr>
          <w:rFonts w:hint="eastAsia" w:ascii="方正小标宋_GBK" w:hAnsi="方正小标宋_GBK" w:eastAsia="方正小标宋_GBK" w:cs="方正小标宋_GBK"/>
          <w:sz w:val="84"/>
          <w:szCs w:val="84"/>
        </w:rPr>
      </w:pPr>
    </w:p>
    <w:p w14:paraId="0F1CF9A3">
      <w:pPr>
        <w:pStyle w:val="15"/>
        <w:jc w:val="center"/>
        <w:rPr>
          <w:rFonts w:hint="eastAsia" w:ascii="方正小标宋_GBK" w:hAnsi="方正小标宋_GBK" w:eastAsia="方正小标宋_GBK" w:cs="方正小标宋_GBK"/>
          <w:sz w:val="84"/>
          <w:szCs w:val="84"/>
        </w:rPr>
      </w:pPr>
    </w:p>
    <w:p w14:paraId="33B33404">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A550F5C">
      <w:pPr>
        <w:pStyle w:val="15"/>
        <w:jc w:val="center"/>
        <w:rPr>
          <w:rFonts w:hint="eastAsia" w:ascii="方正小标宋_GBK" w:hAnsi="方正小标宋_GBK" w:eastAsia="方正小标宋_GBK" w:cs="方正小标宋_GBK"/>
          <w:sz w:val="48"/>
          <w:szCs w:val="48"/>
        </w:rPr>
      </w:pPr>
    </w:p>
    <w:p w14:paraId="07CA1BA9">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B72C95F">
      <w:pPr>
        <w:pStyle w:val="15"/>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sz w:val="52"/>
          <w:szCs w:val="5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52"/>
          <w:szCs w:val="52"/>
          <w:lang w:val="en-US" w:eastAsia="zh-CN"/>
        </w:rPr>
        <w:t xml:space="preserve"> </w:t>
      </w:r>
    </w:p>
    <w:p w14:paraId="0FBF1BE1">
      <w:pPr>
        <w:pStyle w:val="15"/>
        <w:keepNext w:val="0"/>
        <w:keepLines w:val="0"/>
        <w:pageBreakBefore w:val="0"/>
        <w:kinsoku/>
        <w:wordWrap/>
        <w:overflowPunct/>
        <w:topLinePunct w:val="0"/>
        <w:bidi w:val="0"/>
        <w:snapToGrid/>
        <w:spacing w:line="60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52"/>
          <w:szCs w:val="52"/>
          <w:lang w:val="en-US" w:eastAsia="zh-CN"/>
        </w:rPr>
        <w:t>见附件</w:t>
      </w:r>
    </w:p>
    <w:p w14:paraId="2ADA2C9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87A9738">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B2B76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773628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63BB52E">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B9A06D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63347CF">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8C4EFB6">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081122A">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33FAF77">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7F4E19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EA53186">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3E41D1C">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CDF12F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9F05A25">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EB906A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0477E08">
      <w:pPr>
        <w:pStyle w:val="15"/>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5EECA0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048230D">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D14A14D">
      <w:pPr>
        <w:pStyle w:val="15"/>
        <w:jc w:val="center"/>
        <w:rPr>
          <w:rFonts w:hint="eastAsia" w:ascii="方正小标宋_GBK" w:hAnsi="方正小标宋_GBK" w:eastAsia="方正小标宋_GBK" w:cs="方正小标宋_GBK"/>
          <w:sz w:val="70"/>
          <w:szCs w:val="70"/>
          <w:lang w:val="en-US" w:eastAsia="zh-CN"/>
        </w:rPr>
      </w:pPr>
    </w:p>
    <w:p w14:paraId="6C3AB44E">
      <w:pPr>
        <w:pStyle w:val="15"/>
        <w:jc w:val="center"/>
        <w:rPr>
          <w:rFonts w:hint="default"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2023年度部门决算情况说明</w:t>
      </w:r>
    </w:p>
    <w:p w14:paraId="0FB380A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216B5997">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5BC17A50">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1D61DF0">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3C3A945F">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B2935F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3BDE5294">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45C65C3D">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736B736">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5AB4ED5">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6BA95BC7">
      <w:pPr>
        <w:keepNext w:val="0"/>
        <w:keepLines w:val="0"/>
        <w:pageBreakBefore w:val="0"/>
        <w:widowControl/>
        <w:kinsoku/>
        <w:wordWrap/>
        <w:overflowPunct/>
        <w:topLinePunct w:val="0"/>
        <w:bidi w:val="0"/>
        <w:snapToGrid/>
        <w:spacing w:line="600" w:lineRule="exact"/>
        <w:jc w:val="left"/>
        <w:textAlignment w:val="auto"/>
        <w:rPr>
          <w:rFonts w:hint="eastAsia" w:ascii="黑体" w:hAnsi="黑体" w:eastAsia="黑体" w:cs="黑体"/>
          <w:b w:val="0"/>
          <w:bCs/>
          <w:sz w:val="32"/>
          <w:szCs w:val="32"/>
        </w:rPr>
      </w:pPr>
    </w:p>
    <w:p w14:paraId="0199982D">
      <w:pPr>
        <w:keepNext w:val="0"/>
        <w:keepLines w:val="0"/>
        <w:pageBreakBefore w:val="0"/>
        <w:widowControl/>
        <w:kinsoku/>
        <w:wordWrap/>
        <w:overflowPunct/>
        <w:topLinePunct w:val="0"/>
        <w:bidi w:val="0"/>
        <w:adjustRightInd w:val="0"/>
        <w:snapToGrid w:val="0"/>
        <w:spacing w:line="432" w:lineRule="auto"/>
        <w:ind w:firstLine="640" w:firstLineChars="200"/>
        <w:jc w:val="left"/>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14:paraId="40126C6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年收入支出总计</w:t>
      </w:r>
      <w:r>
        <w:rPr>
          <w:rFonts w:hint="eastAsia" w:ascii="仿宋" w:hAnsi="仿宋" w:eastAsia="仿宋" w:cs="仿宋"/>
          <w:sz w:val="32"/>
          <w:szCs w:val="32"/>
          <w:lang w:val="en-US" w:eastAsia="zh-CN"/>
        </w:rPr>
        <w:t>各2855.9</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944.83</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24.86</w:t>
      </w:r>
      <w:r>
        <w:rPr>
          <w:rFonts w:hint="eastAsia" w:ascii="仿宋" w:hAnsi="仿宋" w:eastAsia="仿宋" w:cs="仿宋"/>
          <w:sz w:val="32"/>
          <w:szCs w:val="32"/>
        </w:rPr>
        <w:t>%，</w:t>
      </w:r>
      <w:r>
        <w:rPr>
          <w:rFonts w:hint="eastAsia" w:ascii="仿宋" w:hAnsi="仿宋" w:eastAsia="仿宋" w:cs="仿宋"/>
          <w:sz w:val="32"/>
          <w:szCs w:val="32"/>
          <w:lang w:eastAsia="zh-CN"/>
        </w:rPr>
        <w:t>主要是因为本年度收入减少，部分建设项目已完工</w:t>
      </w:r>
      <w:r>
        <w:rPr>
          <w:rFonts w:hint="eastAsia" w:ascii="仿宋" w:hAnsi="仿宋" w:eastAsia="仿宋" w:cs="仿宋"/>
          <w:sz w:val="32"/>
          <w:szCs w:val="32"/>
        </w:rPr>
        <w:t>。</w:t>
      </w:r>
    </w:p>
    <w:p w14:paraId="14B570B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3D3609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2855.94</w:t>
      </w:r>
      <w:r>
        <w:rPr>
          <w:rFonts w:hint="eastAsia" w:ascii="仿宋" w:hAnsi="仿宋" w:eastAsia="仿宋" w:cs="仿宋"/>
          <w:sz w:val="32"/>
          <w:szCs w:val="32"/>
        </w:rPr>
        <w:t>万元，其中：其中：财政拨款收入</w:t>
      </w:r>
      <w:r>
        <w:rPr>
          <w:rFonts w:hint="eastAsia" w:ascii="仿宋" w:hAnsi="仿宋" w:eastAsia="仿宋" w:cs="仿宋"/>
          <w:sz w:val="32"/>
          <w:szCs w:val="32"/>
          <w:lang w:val="en-US" w:eastAsia="zh-CN"/>
        </w:rPr>
        <w:t>2855.94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7117F9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三、支出决算情况说明</w:t>
      </w:r>
    </w:p>
    <w:p w14:paraId="61618F1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2855.94</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2115.49</w:t>
      </w:r>
      <w:r>
        <w:rPr>
          <w:rFonts w:hint="eastAsia" w:ascii="仿宋" w:hAnsi="仿宋" w:eastAsia="仿宋" w:cs="仿宋"/>
          <w:sz w:val="32"/>
          <w:szCs w:val="32"/>
        </w:rPr>
        <w:t>万元，占</w:t>
      </w:r>
      <w:r>
        <w:rPr>
          <w:rFonts w:hint="eastAsia" w:ascii="仿宋" w:hAnsi="仿宋" w:eastAsia="仿宋" w:cs="仿宋"/>
          <w:sz w:val="32"/>
          <w:szCs w:val="32"/>
          <w:lang w:val="en-US" w:eastAsia="zh-CN"/>
        </w:rPr>
        <w:t>74.07</w:t>
      </w:r>
      <w:r>
        <w:rPr>
          <w:rFonts w:hint="eastAsia" w:ascii="仿宋" w:hAnsi="仿宋" w:eastAsia="仿宋" w:cs="仿宋"/>
          <w:sz w:val="32"/>
          <w:szCs w:val="32"/>
        </w:rPr>
        <w:t>%；项目支出</w:t>
      </w:r>
      <w:r>
        <w:rPr>
          <w:rFonts w:hint="eastAsia" w:ascii="仿宋" w:hAnsi="仿宋" w:eastAsia="仿宋" w:cs="仿宋"/>
          <w:sz w:val="32"/>
          <w:szCs w:val="32"/>
          <w:lang w:val="en-US" w:eastAsia="zh-CN"/>
        </w:rPr>
        <w:t>740.45</w:t>
      </w:r>
      <w:r>
        <w:rPr>
          <w:rFonts w:hint="eastAsia" w:ascii="仿宋" w:hAnsi="仿宋" w:eastAsia="仿宋" w:cs="仿宋"/>
          <w:sz w:val="32"/>
          <w:szCs w:val="32"/>
        </w:rPr>
        <w:t>万元，占</w:t>
      </w:r>
      <w:r>
        <w:rPr>
          <w:rFonts w:hint="eastAsia" w:ascii="仿宋" w:hAnsi="仿宋" w:eastAsia="仿宋" w:cs="仿宋"/>
          <w:sz w:val="32"/>
          <w:szCs w:val="32"/>
          <w:lang w:val="en-US" w:eastAsia="zh-CN"/>
        </w:rPr>
        <w:t>25.93</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68A6CA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四、财政拨款收入支出决算总体情况说明</w:t>
      </w:r>
    </w:p>
    <w:p w14:paraId="41D1FDA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年度财政拨款收入为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万元，上年为</w:t>
      </w:r>
      <w:r>
        <w:rPr>
          <w:rFonts w:hint="eastAsia" w:ascii="仿宋" w:hAnsi="仿宋" w:eastAsia="仿宋" w:cs="仿宋"/>
          <w:sz w:val="32"/>
          <w:szCs w:val="32"/>
          <w:lang w:val="en-US" w:eastAsia="zh-CN"/>
        </w:rPr>
        <w:t>3800.77</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rPr>
        <w:t>了</w:t>
      </w:r>
      <w:r>
        <w:rPr>
          <w:rFonts w:hint="eastAsia" w:ascii="仿宋" w:hAnsi="仿宋" w:eastAsia="仿宋" w:cs="仿宋"/>
          <w:sz w:val="32"/>
          <w:szCs w:val="32"/>
          <w:lang w:val="en-US" w:eastAsia="zh-CN"/>
        </w:rPr>
        <w:t>944.83</w:t>
      </w:r>
      <w:r>
        <w:rPr>
          <w:rFonts w:hint="eastAsia" w:ascii="仿宋" w:hAnsi="仿宋" w:eastAsia="仿宋" w:cs="仿宋"/>
          <w:sz w:val="32"/>
          <w:szCs w:val="32"/>
        </w:rPr>
        <w:t>万元，主要原因是</w:t>
      </w:r>
      <w:r>
        <w:rPr>
          <w:rFonts w:hint="eastAsia" w:ascii="仿宋" w:hAnsi="仿宋" w:eastAsia="仿宋" w:cs="仿宋"/>
          <w:sz w:val="32"/>
          <w:szCs w:val="32"/>
          <w:lang w:eastAsia="zh-CN"/>
        </w:rPr>
        <w:t>项目支出相比上年度减少</w:t>
      </w:r>
      <w:r>
        <w:rPr>
          <w:rFonts w:hint="eastAsia" w:ascii="仿宋" w:hAnsi="仿宋" w:eastAsia="仿宋" w:cs="仿宋"/>
          <w:sz w:val="32"/>
          <w:szCs w:val="32"/>
        </w:rPr>
        <w:t>。</w:t>
      </w:r>
    </w:p>
    <w:p w14:paraId="18113D96">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2023年度</w:t>
      </w:r>
      <w:r>
        <w:rPr>
          <w:rFonts w:hint="eastAsia" w:ascii="仿宋" w:hAnsi="仿宋" w:eastAsia="仿宋" w:cs="仿宋"/>
          <w:sz w:val="32"/>
          <w:szCs w:val="32"/>
        </w:rPr>
        <w:t>财政拨款支出为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万元，上年为</w:t>
      </w:r>
      <w:r>
        <w:rPr>
          <w:rFonts w:hint="eastAsia" w:ascii="仿宋" w:hAnsi="仿宋" w:eastAsia="仿宋" w:cs="仿宋"/>
          <w:sz w:val="32"/>
          <w:szCs w:val="32"/>
          <w:lang w:val="en-US" w:eastAsia="zh-CN"/>
        </w:rPr>
        <w:t>3800.77</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rPr>
        <w:t>了</w:t>
      </w:r>
      <w:r>
        <w:rPr>
          <w:rFonts w:hint="eastAsia" w:ascii="仿宋" w:hAnsi="仿宋" w:eastAsia="仿宋" w:cs="仿宋"/>
          <w:sz w:val="32"/>
          <w:szCs w:val="32"/>
          <w:lang w:val="en-US" w:eastAsia="zh-CN"/>
        </w:rPr>
        <w:t>944.83</w:t>
      </w:r>
      <w:r>
        <w:rPr>
          <w:rFonts w:hint="eastAsia" w:ascii="仿宋" w:hAnsi="仿宋" w:eastAsia="仿宋" w:cs="仿宋"/>
          <w:sz w:val="32"/>
          <w:szCs w:val="32"/>
        </w:rPr>
        <w:t>万元，主要原因</w:t>
      </w:r>
      <w:r>
        <w:rPr>
          <w:rFonts w:hint="eastAsia" w:ascii="仿宋" w:hAnsi="仿宋" w:eastAsia="仿宋" w:cs="仿宋"/>
          <w:sz w:val="32"/>
          <w:szCs w:val="32"/>
          <w:lang w:eastAsia="zh-CN"/>
        </w:rPr>
        <w:t>是项目支出相比上年度减少</w:t>
      </w:r>
      <w:r>
        <w:rPr>
          <w:rFonts w:hint="eastAsia" w:ascii="仿宋" w:hAnsi="仿宋" w:eastAsia="仿宋" w:cs="仿宋"/>
          <w:sz w:val="32"/>
          <w:szCs w:val="32"/>
        </w:rPr>
        <w:t>。</w:t>
      </w:r>
    </w:p>
    <w:p w14:paraId="11B45C4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五、一般公共预算财政拨款支出决算情况说明</w:t>
      </w:r>
    </w:p>
    <w:p w14:paraId="7502098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14:paraId="04AFC9D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%，与202</w:t>
      </w:r>
      <w:r>
        <w:rPr>
          <w:rFonts w:hint="eastAsia" w:ascii="仿宋" w:hAnsi="仿宋" w:eastAsia="仿宋" w:cs="仿宋"/>
          <w:sz w:val="32"/>
          <w:szCs w:val="32"/>
          <w:lang w:val="en-US" w:eastAsia="zh-CN"/>
        </w:rPr>
        <w:t>2</w:t>
      </w:r>
      <w:r>
        <w:rPr>
          <w:rFonts w:hint="eastAsia" w:ascii="仿宋" w:hAnsi="仿宋" w:eastAsia="仿宋" w:cs="仿宋"/>
          <w:sz w:val="32"/>
          <w:szCs w:val="32"/>
        </w:rPr>
        <w:t>年相比，财政拨款支出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944.83</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24.86</w:t>
      </w:r>
      <w:r>
        <w:rPr>
          <w:rFonts w:hint="eastAsia" w:ascii="仿宋" w:hAnsi="仿宋" w:eastAsia="仿宋" w:cs="仿宋"/>
          <w:sz w:val="32"/>
          <w:szCs w:val="32"/>
        </w:rPr>
        <w:t>%，主要是</w:t>
      </w:r>
      <w:r>
        <w:rPr>
          <w:rFonts w:hint="eastAsia" w:ascii="仿宋" w:hAnsi="仿宋" w:eastAsia="仿宋" w:cs="仿宋"/>
          <w:sz w:val="32"/>
          <w:szCs w:val="32"/>
          <w:lang w:eastAsia="zh-CN"/>
        </w:rPr>
        <w:t>因为项目支出相比上年度减少</w:t>
      </w:r>
      <w:r>
        <w:rPr>
          <w:rFonts w:hint="eastAsia" w:ascii="仿宋" w:hAnsi="仿宋" w:eastAsia="仿宋" w:cs="仿宋"/>
          <w:sz w:val="32"/>
          <w:szCs w:val="32"/>
        </w:rPr>
        <w:t>。</w:t>
      </w:r>
    </w:p>
    <w:p w14:paraId="73B9CAA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14:paraId="347C21E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2855.94</w:t>
      </w:r>
      <w:r>
        <w:rPr>
          <w:rFonts w:hint="eastAsia" w:ascii="仿宋" w:hAnsi="仿宋" w:eastAsia="仿宋" w:cs="仿宋"/>
          <w:sz w:val="32"/>
          <w:szCs w:val="32"/>
        </w:rPr>
        <w:t>万元，主要用于以下方面：一般公共服务支</w:t>
      </w:r>
      <w:r>
        <w:rPr>
          <w:rFonts w:hint="eastAsia" w:ascii="仿宋" w:hAnsi="仿宋" w:eastAsia="仿宋" w:cs="仿宋"/>
          <w:sz w:val="32"/>
          <w:szCs w:val="32"/>
          <w:highlight w:val="none"/>
        </w:rPr>
        <w:t>出</w:t>
      </w:r>
      <w:r>
        <w:rPr>
          <w:rFonts w:hint="eastAsia" w:ascii="仿宋" w:hAnsi="仿宋" w:eastAsia="仿宋" w:cs="仿宋"/>
          <w:sz w:val="32"/>
          <w:szCs w:val="32"/>
          <w:highlight w:val="none"/>
          <w:lang w:val="en-US" w:eastAsia="zh-CN"/>
        </w:rPr>
        <w:t>2558.64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89.59</w:t>
      </w:r>
      <w:r>
        <w:rPr>
          <w:rFonts w:hint="eastAsia" w:ascii="仿宋" w:hAnsi="仿宋" w:eastAsia="仿宋" w:cs="仿宋"/>
          <w:sz w:val="32"/>
          <w:szCs w:val="32"/>
          <w:highlight w:val="none"/>
        </w:rPr>
        <w:t>%;科学技术支出3万元，占0.</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225.3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7.89</w:t>
      </w:r>
      <w:r>
        <w:rPr>
          <w:rFonts w:hint="eastAsia" w:ascii="仿宋" w:hAnsi="仿宋" w:eastAsia="仿宋" w:cs="仿宋"/>
          <w:sz w:val="32"/>
          <w:szCs w:val="32"/>
          <w:highlight w:val="none"/>
        </w:rPr>
        <w:t>%；卫生健康</w:t>
      </w:r>
      <w:r>
        <w:rPr>
          <w:rFonts w:hint="eastAsia" w:ascii="仿宋" w:hAnsi="仿宋" w:eastAsia="仿宋" w:cs="仿宋"/>
          <w:sz w:val="32"/>
          <w:szCs w:val="32"/>
          <w:highlight w:val="none"/>
          <w:lang w:val="en-US" w:eastAsia="zh-CN"/>
        </w:rPr>
        <w:t>69</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2.42</w:t>
      </w:r>
      <w:r>
        <w:rPr>
          <w:rFonts w:hint="eastAsia" w:ascii="仿宋" w:hAnsi="仿宋" w:eastAsia="仿宋" w:cs="仿宋"/>
          <w:sz w:val="32"/>
          <w:szCs w:val="32"/>
          <w:highlight w:val="none"/>
        </w:rPr>
        <w:t>%。</w:t>
      </w:r>
    </w:p>
    <w:p w14:paraId="7DAAC06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（三）财政拨款支出决算具体情况</w:t>
      </w:r>
    </w:p>
    <w:p w14:paraId="311388C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年度财政拨款支出年初预算数为</w:t>
      </w:r>
      <w:r>
        <w:rPr>
          <w:rFonts w:hint="eastAsia" w:ascii="仿宋" w:hAnsi="仿宋" w:eastAsia="仿宋" w:cs="仿宋"/>
          <w:sz w:val="32"/>
          <w:szCs w:val="32"/>
          <w:highlight w:val="none"/>
          <w:lang w:val="en-US" w:eastAsia="zh-CN"/>
        </w:rPr>
        <w:t>3251.43</w:t>
      </w:r>
      <w:r>
        <w:rPr>
          <w:rFonts w:hint="eastAsia" w:ascii="仿宋" w:hAnsi="仿宋" w:eastAsia="仿宋" w:cs="仿宋"/>
          <w:sz w:val="32"/>
          <w:szCs w:val="32"/>
          <w:highlight w:val="none"/>
        </w:rPr>
        <w:t>万元，支出决算数为</w:t>
      </w:r>
      <w:r>
        <w:rPr>
          <w:rFonts w:hint="eastAsia" w:ascii="仿宋" w:hAnsi="仿宋" w:eastAsia="仿宋" w:cs="仿宋"/>
          <w:sz w:val="32"/>
          <w:szCs w:val="32"/>
          <w:highlight w:val="none"/>
          <w:lang w:val="en-US" w:eastAsia="zh-CN"/>
        </w:rPr>
        <w:t>2855.94</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87.84</w:t>
      </w:r>
      <w:r>
        <w:rPr>
          <w:rFonts w:hint="eastAsia" w:ascii="仿宋" w:hAnsi="仿宋" w:eastAsia="仿宋" w:cs="仿宋"/>
          <w:sz w:val="32"/>
          <w:szCs w:val="32"/>
          <w:highlight w:val="none"/>
        </w:rPr>
        <w:t>%，其中：</w:t>
      </w:r>
    </w:p>
    <w:p w14:paraId="1049E6B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1、一般公共服务支出（类）政府办公厅（室）及相关机构事务（款）其他政府办公厅（室）及相关机构事务支出（项）。</w:t>
      </w:r>
    </w:p>
    <w:p w14:paraId="5A6B0F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143</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30282AC9">
      <w:pPr>
        <w:pStyle w:val="15"/>
        <w:keepNext w:val="0"/>
        <w:keepLines w:val="0"/>
        <w:pageBreakBefore w:val="0"/>
        <w:numPr>
          <w:ilvl w:val="0"/>
          <w:numId w:val="0"/>
        </w:numPr>
        <w:kinsoku/>
        <w:wordWrap/>
        <w:overflowPunct/>
        <w:topLinePunct w:val="0"/>
        <w:bidi w:val="0"/>
        <w:adjustRightInd w:val="0"/>
        <w:snapToGrid w:val="0"/>
        <w:spacing w:line="432" w:lineRule="auto"/>
        <w:ind w:left="-10" w:leftChars="0" w:firstLine="640" w:firstLineChars="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2、一般公共服务支出（类）</w:t>
      </w:r>
      <w:r>
        <w:rPr>
          <w:rFonts w:hint="eastAsia" w:ascii="仿宋" w:hAnsi="仿宋" w:eastAsia="仿宋" w:cs="仿宋"/>
          <w:sz w:val="32"/>
          <w:szCs w:val="32"/>
          <w:highlight w:val="none"/>
          <w:lang w:eastAsia="zh-CN"/>
        </w:rPr>
        <w:t>港澳台事务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台湾事务</w:t>
      </w:r>
      <w:r>
        <w:rPr>
          <w:rFonts w:hint="eastAsia" w:ascii="仿宋" w:hAnsi="仿宋" w:eastAsia="仿宋" w:cs="仿宋"/>
          <w:sz w:val="32"/>
          <w:szCs w:val="32"/>
          <w:highlight w:val="none"/>
        </w:rPr>
        <w:t>（项）。</w:t>
      </w:r>
    </w:p>
    <w:p w14:paraId="4459284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30</w:t>
      </w:r>
      <w:r>
        <w:rPr>
          <w:rFonts w:hint="eastAsia" w:ascii="仿宋" w:hAnsi="仿宋" w:eastAsia="仿宋" w:cs="仿宋"/>
          <w:sz w:val="32"/>
          <w:szCs w:val="32"/>
          <w:highlight w:val="none"/>
        </w:rPr>
        <w:t>万元，决算数</w:t>
      </w:r>
      <w:r>
        <w:rPr>
          <w:rFonts w:hint="eastAsia" w:ascii="仿宋" w:hAnsi="仿宋" w:eastAsia="仿宋" w:cs="仿宋"/>
          <w:sz w:val="32"/>
          <w:szCs w:val="32"/>
          <w:highlight w:val="none"/>
          <w:lang w:eastAsia="zh-CN"/>
        </w:rPr>
        <w:t>大于于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7A855BC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一般公共服务支出（类）党委办公厅（室）及相关机构事务（款）行政运行（项）。</w:t>
      </w:r>
    </w:p>
    <w:p w14:paraId="371C78E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1,772.12</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1,249.8</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70.53</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小于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严控支出，厉行节约。</w:t>
      </w:r>
    </w:p>
    <w:p w14:paraId="6F18C15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lang w:val="en-US" w:eastAsia="zh-CN" w:bidi="ar-SA"/>
        </w:rPr>
        <w:t>4、</w:t>
      </w:r>
      <w:r>
        <w:rPr>
          <w:rFonts w:hint="eastAsia" w:ascii="仿宋" w:hAnsi="仿宋" w:eastAsia="仿宋" w:cs="仿宋"/>
          <w:sz w:val="32"/>
          <w:szCs w:val="32"/>
          <w:highlight w:val="none"/>
        </w:rPr>
        <w:t>一般公共服务支出（类）党委办公厅（室）及相关机构事务（款）其他党委办公厅（室）及相关机构事务支出（项）。</w:t>
      </w:r>
    </w:p>
    <w:p w14:paraId="4FACA6C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1,381.35</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1,035.84</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完成年初预算的74.99%，</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小</w:t>
      </w:r>
      <w:r>
        <w:rPr>
          <w:rFonts w:hint="eastAsia" w:ascii="仿宋" w:hAnsi="仿宋" w:eastAsia="仿宋" w:cs="仿宋"/>
          <w:sz w:val="32"/>
          <w:szCs w:val="32"/>
          <w:highlight w:val="none"/>
        </w:rPr>
        <w:t>于年初预算数的主要原因是：</w:t>
      </w:r>
      <w:r>
        <w:rPr>
          <w:rFonts w:hint="eastAsia" w:ascii="仿宋" w:hAnsi="仿宋" w:eastAsia="仿宋" w:cs="仿宋"/>
          <w:sz w:val="32"/>
          <w:szCs w:val="32"/>
          <w:highlight w:val="none"/>
          <w:lang w:eastAsia="zh-CN"/>
        </w:rPr>
        <w:t>严控支出，厉行节约。</w:t>
      </w:r>
    </w:p>
    <w:p w14:paraId="110A2E8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一般公共服务支出（类）</w:t>
      </w:r>
      <w:r>
        <w:rPr>
          <w:rFonts w:hint="eastAsia" w:ascii="仿宋" w:hAnsi="仿宋" w:eastAsia="仿宋" w:cs="仿宋"/>
          <w:sz w:val="32"/>
          <w:szCs w:val="32"/>
          <w:highlight w:val="none"/>
          <w:lang w:eastAsia="zh-CN"/>
        </w:rPr>
        <w:t>组织事务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其他组织事务支出</w:t>
      </w:r>
      <w:r>
        <w:rPr>
          <w:rFonts w:hint="eastAsia" w:ascii="仿宋" w:hAnsi="仿宋" w:eastAsia="仿宋" w:cs="仿宋"/>
          <w:sz w:val="32"/>
          <w:szCs w:val="32"/>
          <w:highlight w:val="none"/>
        </w:rPr>
        <w:t>（项）。</w:t>
      </w:r>
    </w:p>
    <w:p w14:paraId="2C6C5AA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2.8</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年中调整预算，开支单位基本支出。</w:t>
      </w:r>
    </w:p>
    <w:p w14:paraId="2E2CDF88">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一般公共服务支出（类）</w:t>
      </w:r>
      <w:r>
        <w:rPr>
          <w:rFonts w:hint="eastAsia" w:ascii="仿宋" w:hAnsi="仿宋" w:eastAsia="仿宋" w:cs="仿宋"/>
          <w:sz w:val="32"/>
          <w:szCs w:val="32"/>
          <w:highlight w:val="none"/>
          <w:lang w:eastAsia="zh-CN"/>
        </w:rPr>
        <w:t>其他一般公共服务支出</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其他一般公共服务支出</w:t>
      </w:r>
      <w:r>
        <w:rPr>
          <w:rFonts w:hint="eastAsia" w:ascii="仿宋" w:hAnsi="仿宋" w:eastAsia="仿宋" w:cs="仿宋"/>
          <w:sz w:val="32"/>
          <w:szCs w:val="32"/>
          <w:highlight w:val="none"/>
        </w:rPr>
        <w:t>（项）。</w:t>
      </w:r>
    </w:p>
    <w:p w14:paraId="2D91B67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97.2</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年中调整预算，开支单位基本支出。</w:t>
      </w:r>
    </w:p>
    <w:p w14:paraId="1C1ECBC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科学技术支出（类）社会科学（款）其他社会科学支出（项）。</w:t>
      </w:r>
    </w:p>
    <w:p w14:paraId="5A53B7B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年中下达预算，用于单位公用经费开支。</w:t>
      </w:r>
    </w:p>
    <w:p w14:paraId="0EDB4637">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、社会保障和就业支出（类）行政事业单位养老支出（款）行政单位离退休（项）。</w:t>
      </w:r>
    </w:p>
    <w:p w14:paraId="6B3A3B6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97.96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9.84</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10.04</w:t>
      </w:r>
      <w:r>
        <w:rPr>
          <w:rFonts w:hint="eastAsia" w:ascii="仿宋" w:hAnsi="仿宋" w:eastAsia="仿宋" w:cs="仿宋"/>
          <w:sz w:val="32"/>
          <w:szCs w:val="32"/>
          <w:highlight w:val="none"/>
        </w:rPr>
        <w:t>%，决算数大于年初预算数的主要原因是：</w:t>
      </w:r>
      <w:r>
        <w:rPr>
          <w:rFonts w:hint="eastAsia" w:ascii="仿宋" w:hAnsi="仿宋" w:eastAsia="仿宋" w:cs="仿宋"/>
          <w:sz w:val="32"/>
          <w:szCs w:val="32"/>
          <w:highlight w:val="none"/>
          <w:lang w:eastAsia="zh-CN"/>
        </w:rPr>
        <w:t>年初预算此项为离退休人员经费，开支退休人员活动经费，退休人员其他经费实际列支一般公共服务支出（类）党委办公厅（室）及相关机构事务（款）行政运行（项）。</w:t>
      </w:r>
    </w:p>
    <w:p w14:paraId="3C68D58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、社会保障和就业支出（类）行政事业单位养老支出（款）机关事业单位基本养老保险缴费支出（项）。</w:t>
      </w:r>
    </w:p>
    <w:p w14:paraId="400DC136">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142.34</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单位基本养老保险缴费支出</w:t>
      </w:r>
      <w:r>
        <w:rPr>
          <w:rFonts w:hint="eastAsia" w:ascii="仿宋" w:hAnsi="仿宋" w:eastAsia="仿宋" w:cs="仿宋"/>
          <w:sz w:val="32"/>
          <w:szCs w:val="32"/>
          <w:highlight w:val="none"/>
          <w:lang w:eastAsia="zh-CN"/>
        </w:rPr>
        <w:t>，预算时未纳入此项目。</w:t>
      </w:r>
    </w:p>
    <w:p w14:paraId="5233B91C">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、社会保障和就业支出（类）行政事业单位养老支出（款）其他行政事业单位养老支出（项）。</w:t>
      </w:r>
    </w:p>
    <w:p w14:paraId="48D2B24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73.12</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单位基本养老保险缴费支出</w:t>
      </w:r>
      <w:r>
        <w:rPr>
          <w:rFonts w:hint="eastAsia" w:ascii="仿宋" w:hAnsi="仿宋" w:eastAsia="仿宋" w:cs="仿宋"/>
          <w:sz w:val="32"/>
          <w:szCs w:val="32"/>
          <w:highlight w:val="none"/>
          <w:lang w:eastAsia="zh-CN"/>
        </w:rPr>
        <w:t>，预算时未纳入此项目。</w:t>
      </w:r>
    </w:p>
    <w:p w14:paraId="41D999F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、卫生健康支出（类）行政事业单位医疗（款）行政单位医疗（项）。</w:t>
      </w:r>
    </w:p>
    <w:p w14:paraId="64C629D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69</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行政单位医疗</w:t>
      </w:r>
      <w:r>
        <w:rPr>
          <w:rFonts w:hint="eastAsia" w:ascii="仿宋" w:hAnsi="仿宋" w:eastAsia="仿宋" w:cs="仿宋"/>
          <w:sz w:val="32"/>
          <w:szCs w:val="32"/>
          <w:highlight w:val="none"/>
          <w:lang w:eastAsia="zh-CN"/>
        </w:rPr>
        <w:t>保险，预算时未纳入此项目。</w:t>
      </w:r>
    </w:p>
    <w:p w14:paraId="11B75B0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0F61641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年度财政拨款基本支出</w:t>
      </w:r>
      <w:r>
        <w:rPr>
          <w:rFonts w:hint="eastAsia" w:ascii="仿宋" w:hAnsi="仿宋" w:eastAsia="仿宋" w:cs="仿宋"/>
          <w:sz w:val="32"/>
          <w:szCs w:val="32"/>
          <w:highlight w:val="none"/>
          <w:lang w:val="en-US" w:eastAsia="zh-CN"/>
        </w:rPr>
        <w:t>2115.49</w:t>
      </w:r>
      <w:r>
        <w:rPr>
          <w:rFonts w:hint="eastAsia" w:ascii="仿宋" w:hAnsi="仿宋" w:eastAsia="仿宋" w:cs="仿宋"/>
          <w:sz w:val="32"/>
          <w:szCs w:val="32"/>
          <w:highlight w:val="none"/>
        </w:rPr>
        <w:t>万元，其中：</w:t>
      </w:r>
    </w:p>
    <w:p w14:paraId="004FC81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rPr>
        <w:t>人员经费</w:t>
      </w:r>
      <w:r>
        <w:rPr>
          <w:rFonts w:hint="eastAsia" w:ascii="仿宋" w:hAnsi="仿宋" w:eastAsia="仿宋" w:cs="仿宋"/>
          <w:sz w:val="32"/>
          <w:szCs w:val="32"/>
          <w:lang w:val="en-US" w:eastAsia="zh-CN"/>
        </w:rPr>
        <w:t>1478.5</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69.89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主要包括基本工资、津贴补贴、奖金</w:t>
      </w:r>
      <w:r>
        <w:rPr>
          <w:rFonts w:hint="eastAsia" w:ascii="仿宋" w:hAnsi="仿宋" w:eastAsia="仿宋" w:cs="仿宋"/>
          <w:sz w:val="32"/>
          <w:szCs w:val="32"/>
          <w:lang w:eastAsia="zh-CN"/>
        </w:rPr>
        <w:t>、机关事业单位基本养老保险缴费、职工基本医疗保险缴费、其他社会保障缴费等。</w:t>
      </w:r>
    </w:p>
    <w:p w14:paraId="74B1857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636.99</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30.11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主要包括办公费、印刷费、咨询费、</w:t>
      </w:r>
      <w:r>
        <w:rPr>
          <w:rFonts w:hint="eastAsia" w:ascii="仿宋" w:hAnsi="仿宋" w:eastAsia="仿宋" w:cs="仿宋"/>
          <w:sz w:val="32"/>
          <w:szCs w:val="32"/>
          <w:lang w:eastAsia="zh-CN"/>
        </w:rPr>
        <w:t>差旅费、维护（修）费、会议费、培训费、公务接待费、公务用车运行维护费等</w:t>
      </w:r>
      <w:r>
        <w:rPr>
          <w:rFonts w:hint="eastAsia" w:ascii="仿宋" w:hAnsi="仿宋" w:eastAsia="仿宋" w:cs="仿宋"/>
          <w:sz w:val="32"/>
          <w:szCs w:val="32"/>
        </w:rPr>
        <w:t>。</w:t>
      </w:r>
    </w:p>
    <w:p w14:paraId="1ED5F1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七、财政拨款三公经费支出决算情况说明</w:t>
      </w:r>
    </w:p>
    <w:p w14:paraId="129FC67D">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14:paraId="2F9DE98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年度“三公”经费财政拨款支出预算为</w:t>
      </w:r>
      <w:r>
        <w:rPr>
          <w:rFonts w:hint="eastAsia" w:ascii="仿宋" w:hAnsi="仿宋" w:eastAsia="仿宋" w:cs="仿宋"/>
          <w:sz w:val="32"/>
          <w:szCs w:val="32"/>
          <w:lang w:val="en-US" w:eastAsia="zh-CN"/>
        </w:rPr>
        <w:t>55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51.93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94.42</w:t>
      </w:r>
      <w:r>
        <w:rPr>
          <w:rFonts w:hint="eastAsia" w:ascii="仿宋" w:hAnsi="仿宋" w:eastAsia="仿宋" w:cs="仿宋"/>
          <w:sz w:val="32"/>
          <w:szCs w:val="32"/>
        </w:rPr>
        <w:t>%，其中：</w:t>
      </w:r>
    </w:p>
    <w:p w14:paraId="69396592">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因公出国（境）费支出预算为0万元，支出决算为0万元，决算数与年初预算数持平，主要原因按预算执行，与上年数持平，主要原因本年度未安排因公出国（境）。</w:t>
      </w:r>
    </w:p>
    <w:p w14:paraId="3DA3F5B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2.95</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59</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w:t>
      </w:r>
      <w:r>
        <w:rPr>
          <w:rFonts w:hint="eastAsia" w:ascii="仿宋" w:hAnsi="仿宋" w:eastAsia="仿宋" w:cs="仿宋"/>
          <w:sz w:val="32"/>
          <w:szCs w:val="32"/>
          <w:highlight w:val="none"/>
          <w:lang w:eastAsia="zh-CN"/>
        </w:rPr>
        <w:t>主要原因是严格把关，厉行节约，</w:t>
      </w:r>
      <w:r>
        <w:rPr>
          <w:rFonts w:hint="eastAsia" w:ascii="仿宋" w:hAnsi="仿宋" w:eastAsia="仿宋" w:cs="仿宋"/>
          <w:sz w:val="32"/>
          <w:szCs w:val="32"/>
          <w:highlight w:val="none"/>
        </w:rPr>
        <w:t>与上年相比</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0.39</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15.23</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rPr>
        <w:t>的主要原因是</w:t>
      </w:r>
      <w:r>
        <w:rPr>
          <w:rFonts w:hint="eastAsia" w:ascii="仿宋" w:hAnsi="仿宋" w:eastAsia="仿宋" w:cs="仿宋"/>
          <w:sz w:val="32"/>
          <w:szCs w:val="32"/>
          <w:highlight w:val="none"/>
          <w:lang w:eastAsia="zh-CN"/>
        </w:rPr>
        <w:t>开展公务活动接待人次增加</w:t>
      </w:r>
      <w:r>
        <w:rPr>
          <w:rFonts w:hint="eastAsia" w:ascii="仿宋" w:hAnsi="仿宋" w:eastAsia="仿宋" w:cs="仿宋"/>
          <w:sz w:val="32"/>
          <w:szCs w:val="32"/>
          <w:highlight w:val="none"/>
        </w:rPr>
        <w:t>。</w:t>
      </w:r>
    </w:p>
    <w:p w14:paraId="728C58C5">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rPr>
        <w:t>公务用车</w:t>
      </w:r>
      <w:r>
        <w:rPr>
          <w:rFonts w:hint="eastAsia" w:ascii="仿宋" w:hAnsi="仿宋" w:eastAsia="仿宋" w:cs="仿宋"/>
          <w:sz w:val="32"/>
          <w:szCs w:val="32"/>
          <w:lang w:eastAsia="zh-CN"/>
        </w:rPr>
        <w:t>购置费及</w:t>
      </w:r>
      <w:r>
        <w:rPr>
          <w:rFonts w:hint="eastAsia" w:ascii="仿宋" w:hAnsi="仿宋" w:eastAsia="仿宋" w:cs="仿宋"/>
          <w:sz w:val="32"/>
          <w:szCs w:val="32"/>
        </w:rPr>
        <w:t>运行维护费支出预算为</w:t>
      </w:r>
      <w:r>
        <w:rPr>
          <w:rFonts w:hint="eastAsia" w:ascii="仿宋" w:hAnsi="仿宋" w:eastAsia="仿宋" w:cs="仿宋"/>
          <w:sz w:val="32"/>
          <w:szCs w:val="32"/>
          <w:lang w:val="en-US" w:eastAsia="zh-CN"/>
        </w:rPr>
        <w:t>50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48.98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97.96</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决算数小于年初预算数的主要原因是厉行节约，压缩控制公车运行维护费开支，</w:t>
      </w:r>
      <w:r>
        <w:rPr>
          <w:rFonts w:hint="eastAsia" w:ascii="仿宋" w:hAnsi="仿宋" w:eastAsia="仿宋" w:cs="仿宋"/>
          <w:sz w:val="32"/>
          <w:szCs w:val="32"/>
        </w:rPr>
        <w:t>上年相比</w:t>
      </w:r>
      <w:r>
        <w:rPr>
          <w:rFonts w:hint="eastAsia" w:ascii="仿宋" w:hAnsi="仿宋" w:eastAsia="仿宋" w:cs="仿宋"/>
          <w:sz w:val="32"/>
          <w:szCs w:val="32"/>
          <w:lang w:eastAsia="zh-CN"/>
        </w:rPr>
        <w:t>减少</w:t>
      </w:r>
      <w:r>
        <w:rPr>
          <w:rFonts w:hint="eastAsia" w:ascii="仿宋" w:hAnsi="仿宋" w:eastAsia="仿宋" w:cs="仿宋"/>
          <w:sz w:val="32"/>
          <w:szCs w:val="32"/>
          <w:highlight w:val="none"/>
          <w:lang w:val="en-US" w:eastAsia="zh-CN"/>
        </w:rPr>
        <w:t>1.82</w:t>
      </w:r>
      <w:r>
        <w:rPr>
          <w:rFonts w:hint="eastAsia" w:ascii="仿宋" w:hAnsi="仿宋" w:eastAsia="仿宋" w:cs="仿宋"/>
          <w:sz w:val="32"/>
          <w:szCs w:val="32"/>
          <w:highlight w:val="none"/>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3.58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rPr>
        <w:t>的主要原因是</w:t>
      </w:r>
      <w:r>
        <w:rPr>
          <w:rFonts w:hint="eastAsia" w:ascii="仿宋" w:hAnsi="仿宋" w:eastAsia="仿宋" w:cs="仿宋"/>
          <w:sz w:val="32"/>
          <w:szCs w:val="32"/>
          <w:highlight w:val="none"/>
          <w:lang w:eastAsia="zh-CN"/>
        </w:rPr>
        <w:t>压减运维开支</w:t>
      </w:r>
      <w:r>
        <w:rPr>
          <w:rFonts w:hint="eastAsia" w:ascii="仿宋" w:hAnsi="仿宋" w:eastAsia="仿宋" w:cs="仿宋"/>
          <w:sz w:val="32"/>
          <w:szCs w:val="32"/>
          <w:highlight w:val="none"/>
        </w:rPr>
        <w:t>。</w:t>
      </w:r>
    </w:p>
    <w:p w14:paraId="46382B6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14:paraId="16FAC334">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2.95</w:t>
      </w:r>
      <w:r>
        <w:rPr>
          <w:rFonts w:hint="eastAsia" w:ascii="仿宋" w:hAnsi="仿宋" w:eastAsia="仿宋" w:cs="仿宋"/>
          <w:sz w:val="32"/>
          <w:szCs w:val="32"/>
        </w:rPr>
        <w:t>万元，占</w:t>
      </w:r>
      <w:r>
        <w:rPr>
          <w:rFonts w:hint="eastAsia" w:ascii="仿宋" w:hAnsi="仿宋" w:eastAsia="仿宋" w:cs="仿宋"/>
          <w:sz w:val="32"/>
          <w:szCs w:val="32"/>
          <w:lang w:val="en-US" w:eastAsia="zh-CN"/>
        </w:rPr>
        <w:t>5.68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48.98</w:t>
      </w:r>
      <w:r>
        <w:rPr>
          <w:rFonts w:hint="eastAsia" w:ascii="仿宋" w:hAnsi="仿宋" w:eastAsia="仿宋" w:cs="仿宋"/>
          <w:sz w:val="32"/>
          <w:szCs w:val="32"/>
        </w:rPr>
        <w:t>万元，占</w:t>
      </w:r>
      <w:r>
        <w:rPr>
          <w:rFonts w:hint="eastAsia" w:ascii="仿宋" w:hAnsi="仿宋" w:eastAsia="仿宋" w:cs="仿宋"/>
          <w:sz w:val="32"/>
          <w:szCs w:val="32"/>
          <w:lang w:val="en-US" w:eastAsia="zh-CN"/>
        </w:rPr>
        <w:t>94.32</w:t>
      </w:r>
      <w:r>
        <w:rPr>
          <w:rFonts w:hint="eastAsia" w:ascii="仿宋" w:hAnsi="仿宋" w:eastAsia="仿宋" w:cs="仿宋"/>
          <w:sz w:val="32"/>
          <w:szCs w:val="32"/>
        </w:rPr>
        <w:t>%。其中：</w:t>
      </w:r>
    </w:p>
    <w:p w14:paraId="793ACA7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4AE3E7A9">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2.95</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29</w:t>
      </w:r>
      <w:r>
        <w:rPr>
          <w:rFonts w:hint="eastAsia" w:ascii="仿宋" w:hAnsi="仿宋" w:eastAsia="仿宋" w:cs="仿宋"/>
          <w:sz w:val="32"/>
          <w:szCs w:val="32"/>
        </w:rPr>
        <w:t>个、来宾</w:t>
      </w:r>
      <w:r>
        <w:rPr>
          <w:rFonts w:hint="eastAsia" w:ascii="仿宋" w:hAnsi="仿宋" w:eastAsia="仿宋" w:cs="仿宋"/>
          <w:sz w:val="32"/>
          <w:szCs w:val="32"/>
          <w:lang w:val="en-US" w:eastAsia="zh-CN"/>
        </w:rPr>
        <w:t>328</w:t>
      </w:r>
      <w:r>
        <w:rPr>
          <w:rFonts w:hint="eastAsia" w:ascii="仿宋" w:hAnsi="仿宋" w:eastAsia="仿宋" w:cs="仿宋"/>
          <w:sz w:val="32"/>
          <w:szCs w:val="32"/>
        </w:rPr>
        <w:t>人次，主要是指导工作、调研等工作发生的接待支出。</w:t>
      </w:r>
    </w:p>
    <w:p w14:paraId="40B05FA1">
      <w:pPr>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48.98</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48.98</w:t>
      </w:r>
      <w:r>
        <w:rPr>
          <w:rFonts w:hint="eastAsia" w:ascii="仿宋" w:hAnsi="仿宋" w:eastAsia="仿宋" w:cs="仿宋"/>
          <w:sz w:val="32"/>
          <w:szCs w:val="32"/>
        </w:rPr>
        <w:t>万元，主要是</w:t>
      </w:r>
      <w:r>
        <w:rPr>
          <w:rFonts w:hint="eastAsia" w:ascii="仿宋" w:hAnsi="仿宋" w:eastAsia="仿宋" w:cs="仿宋"/>
          <w:sz w:val="32"/>
          <w:szCs w:val="32"/>
          <w:lang w:eastAsia="zh-CN"/>
        </w:rPr>
        <w:t>公务用车油料费、维修维护费、保险费等</w:t>
      </w:r>
      <w:r>
        <w:rPr>
          <w:rFonts w:hint="eastAsia" w:ascii="仿宋" w:hAnsi="仿宋" w:eastAsia="仿宋" w:cs="仿宋"/>
          <w:sz w:val="32"/>
          <w:szCs w:val="32"/>
        </w:rPr>
        <w:t>支出，截止202</w:t>
      </w:r>
      <w:r>
        <w:rPr>
          <w:rFonts w:hint="eastAsia" w:ascii="仿宋" w:hAnsi="仿宋" w:eastAsia="仿宋" w:cs="仿宋"/>
          <w:sz w:val="32"/>
          <w:szCs w:val="32"/>
          <w:lang w:val="en-US" w:eastAsia="zh-CN"/>
        </w:rPr>
        <w:t>3</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12</w:t>
      </w:r>
      <w:r>
        <w:rPr>
          <w:rFonts w:hint="eastAsia" w:ascii="仿宋" w:hAnsi="仿宋" w:eastAsia="仿宋" w:cs="仿宋"/>
          <w:sz w:val="32"/>
          <w:szCs w:val="32"/>
        </w:rPr>
        <w:t>辆。</w:t>
      </w:r>
    </w:p>
    <w:p w14:paraId="18AFFE1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八、政府性基金预算收入支出决算情况</w:t>
      </w:r>
    </w:p>
    <w:p w14:paraId="18C8EEF0">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本单位无政府性基金收支。</w:t>
      </w:r>
    </w:p>
    <w:p w14:paraId="50976B55">
      <w:pPr>
        <w:pStyle w:val="15"/>
        <w:keepNext w:val="0"/>
        <w:keepLines w:val="0"/>
        <w:pageBreakBefore w:val="0"/>
        <w:numPr>
          <w:ilvl w:val="0"/>
          <w:numId w:val="0"/>
        </w:numPr>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color w:val="000000"/>
          <w:kern w:val="0"/>
          <w:sz w:val="32"/>
          <w:szCs w:val="32"/>
          <w:lang w:val="en-US" w:eastAsia="zh-CN" w:bidi="ar-SA"/>
        </w:rPr>
        <w:t>九、</w:t>
      </w:r>
      <w:r>
        <w:rPr>
          <w:rFonts w:hint="eastAsia" w:ascii="黑体" w:hAnsi="黑体" w:eastAsia="黑体" w:cs="黑体"/>
          <w:b w:val="0"/>
          <w:bCs/>
          <w:sz w:val="32"/>
          <w:szCs w:val="32"/>
        </w:rPr>
        <w:t>国有资本经营预算</w:t>
      </w:r>
      <w:r>
        <w:rPr>
          <w:rFonts w:hint="eastAsia" w:hAnsi="黑体" w:cs="黑体"/>
          <w:b w:val="0"/>
          <w:bCs/>
          <w:sz w:val="32"/>
          <w:szCs w:val="32"/>
          <w:lang w:eastAsia="zh-CN"/>
        </w:rPr>
        <w:t>收入</w:t>
      </w:r>
      <w:r>
        <w:rPr>
          <w:rFonts w:hint="eastAsia" w:ascii="黑体" w:hAnsi="黑体" w:eastAsia="黑体" w:cs="黑体"/>
          <w:b w:val="0"/>
          <w:bCs/>
          <w:sz w:val="32"/>
          <w:szCs w:val="32"/>
        </w:rPr>
        <w:t>支出决算情况</w:t>
      </w:r>
    </w:p>
    <w:p w14:paraId="140FB1A2">
      <w:pPr>
        <w:pStyle w:val="15"/>
        <w:keepNext w:val="0"/>
        <w:keepLines w:val="0"/>
        <w:pageBreakBefore w:val="0"/>
        <w:numPr>
          <w:ilvl w:val="0"/>
          <w:numId w:val="0"/>
        </w:numPr>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sz w:val="32"/>
          <w:szCs w:val="32"/>
          <w:lang w:val="en-US" w:eastAsia="zh-CN"/>
        </w:rPr>
        <w:t>本单位无国有资本经营预算收支。</w:t>
      </w:r>
    </w:p>
    <w:p w14:paraId="4ACC9B6F">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14:paraId="59C6CE8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年度机关运行</w:t>
      </w:r>
      <w:r>
        <w:rPr>
          <w:rFonts w:hint="eastAsia" w:ascii="仿宋" w:hAnsi="仿宋" w:eastAsia="仿宋" w:cs="仿宋"/>
          <w:sz w:val="32"/>
          <w:szCs w:val="32"/>
          <w:highlight w:val="none"/>
        </w:rPr>
        <w:t>经费支出</w:t>
      </w:r>
      <w:r>
        <w:rPr>
          <w:rFonts w:hint="eastAsia" w:ascii="仿宋" w:hAnsi="仿宋" w:eastAsia="仿宋" w:cs="仿宋"/>
          <w:sz w:val="32"/>
          <w:szCs w:val="32"/>
          <w:highlight w:val="none"/>
          <w:lang w:val="en-US" w:eastAsia="zh-CN"/>
        </w:rPr>
        <w:t>636.99</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比上年减少</w:t>
      </w:r>
      <w:r>
        <w:rPr>
          <w:rFonts w:hint="eastAsia" w:ascii="仿宋" w:hAnsi="仿宋" w:eastAsia="仿宋" w:cs="仿宋"/>
          <w:sz w:val="32"/>
          <w:szCs w:val="32"/>
          <w:highlight w:val="none"/>
          <w:lang w:val="en-US" w:eastAsia="zh-CN"/>
        </w:rPr>
        <w:t>2.3万元，</w:t>
      </w:r>
      <w:r>
        <w:rPr>
          <w:rFonts w:hint="eastAsia" w:ascii="仿宋" w:hAnsi="仿宋" w:eastAsia="仿宋" w:cs="仿宋"/>
          <w:sz w:val="32"/>
          <w:szCs w:val="32"/>
          <w:highlight w:val="none"/>
        </w:rPr>
        <w:t>降低</w:t>
      </w:r>
      <w:r>
        <w:rPr>
          <w:rFonts w:hint="eastAsia" w:ascii="仿宋" w:hAnsi="仿宋" w:eastAsia="仿宋" w:cs="仿宋"/>
          <w:sz w:val="32"/>
          <w:szCs w:val="32"/>
          <w:highlight w:val="none"/>
          <w:lang w:val="en-US" w:eastAsia="zh-CN"/>
        </w:rPr>
        <w:t>0.36</w:t>
      </w:r>
      <w:r>
        <w:rPr>
          <w:rFonts w:hint="eastAsia" w:ascii="仿宋" w:hAnsi="仿宋" w:eastAsia="仿宋" w:cs="仿宋"/>
          <w:sz w:val="32"/>
          <w:szCs w:val="32"/>
          <w:highlight w:val="none"/>
        </w:rPr>
        <w:t>%。主要原因是认真贯彻落实中央“八项”规定要求，厉行节约。</w:t>
      </w:r>
    </w:p>
    <w:p w14:paraId="7240756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、一般性支出情况说明</w:t>
      </w:r>
    </w:p>
    <w:p w14:paraId="78931CB3">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6.63</w:t>
      </w:r>
      <w:r>
        <w:rPr>
          <w:rFonts w:hint="eastAsia" w:ascii="仿宋" w:hAnsi="仿宋" w:eastAsia="仿宋" w:cs="仿宋"/>
          <w:sz w:val="32"/>
          <w:szCs w:val="32"/>
        </w:rPr>
        <w:t>万元，用于部门业务工作会议人数为300余人，内容为各项业务指导会议；开支培训费为</w:t>
      </w:r>
      <w:r>
        <w:rPr>
          <w:rFonts w:hint="eastAsia" w:ascii="仿宋" w:hAnsi="仿宋" w:eastAsia="仿宋" w:cs="仿宋"/>
          <w:sz w:val="32"/>
          <w:szCs w:val="32"/>
          <w:lang w:val="en-US" w:eastAsia="zh-CN"/>
        </w:rPr>
        <w:t>32</w:t>
      </w:r>
      <w:r>
        <w:rPr>
          <w:rFonts w:hint="eastAsia" w:ascii="仿宋" w:hAnsi="仿宋" w:eastAsia="仿宋" w:cs="仿宋"/>
          <w:sz w:val="32"/>
          <w:szCs w:val="32"/>
        </w:rPr>
        <w:t>万元，用于</w:t>
      </w:r>
      <w:r>
        <w:rPr>
          <w:rFonts w:hint="eastAsia" w:ascii="仿宋" w:hAnsi="仿宋" w:eastAsia="仿宋" w:cs="仿宋"/>
          <w:sz w:val="32"/>
          <w:szCs w:val="32"/>
          <w:lang w:eastAsia="zh-CN"/>
        </w:rPr>
        <w:t>业务工作</w:t>
      </w:r>
      <w:r>
        <w:rPr>
          <w:rFonts w:hint="eastAsia" w:ascii="仿宋" w:hAnsi="仿宋" w:eastAsia="仿宋" w:cs="仿宋"/>
          <w:sz w:val="32"/>
          <w:szCs w:val="32"/>
        </w:rPr>
        <w:t>培训班，人数</w:t>
      </w:r>
      <w:r>
        <w:rPr>
          <w:rFonts w:hint="eastAsia" w:ascii="仿宋" w:hAnsi="仿宋" w:eastAsia="仿宋" w:cs="仿宋"/>
          <w:sz w:val="32"/>
          <w:szCs w:val="32"/>
          <w:lang w:val="en-US" w:eastAsia="zh-CN"/>
        </w:rPr>
        <w:t>4</w:t>
      </w:r>
      <w:r>
        <w:rPr>
          <w:rFonts w:hint="eastAsia" w:ascii="仿宋" w:hAnsi="仿宋" w:eastAsia="仿宋" w:cs="仿宋"/>
          <w:sz w:val="32"/>
          <w:szCs w:val="32"/>
        </w:rPr>
        <w:t>00余人，内容为</w:t>
      </w:r>
      <w:r>
        <w:rPr>
          <w:rFonts w:hint="eastAsia" w:ascii="仿宋" w:hAnsi="仿宋" w:eastAsia="仿宋" w:cs="仿宋"/>
          <w:sz w:val="32"/>
          <w:szCs w:val="32"/>
          <w:lang w:eastAsia="zh-CN"/>
        </w:rPr>
        <w:t>各项</w:t>
      </w:r>
      <w:r>
        <w:rPr>
          <w:rFonts w:hint="eastAsia" w:ascii="仿宋" w:hAnsi="仿宋" w:eastAsia="仿宋" w:cs="仿宋"/>
          <w:sz w:val="32"/>
          <w:szCs w:val="32"/>
        </w:rPr>
        <w:t>业务培训。</w:t>
      </w:r>
      <w:r>
        <w:rPr>
          <w:rFonts w:hint="eastAsia" w:ascii="仿宋" w:hAnsi="仿宋" w:eastAsia="仿宋" w:cs="仿宋"/>
          <w:sz w:val="32"/>
          <w:szCs w:val="32"/>
          <w:lang w:val="en-US" w:eastAsia="zh-CN"/>
        </w:rPr>
        <w:t>未举办节庆、晚会、论坛、赛事等活动。</w:t>
      </w:r>
    </w:p>
    <w:p w14:paraId="5526968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、关于政府采购支出说明</w:t>
      </w:r>
    </w:p>
    <w:p w14:paraId="3D402B0A">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年度政府采购支出总额</w:t>
      </w:r>
      <w:r>
        <w:rPr>
          <w:rFonts w:hint="eastAsia" w:ascii="仿宋" w:hAnsi="仿宋" w:eastAsia="仿宋" w:cs="仿宋"/>
          <w:sz w:val="32"/>
          <w:szCs w:val="32"/>
          <w:highlight w:val="none"/>
          <w:lang w:val="en-US" w:eastAsia="zh-CN"/>
        </w:rPr>
        <w:t>181.1</w:t>
      </w:r>
      <w:r>
        <w:rPr>
          <w:rFonts w:hint="eastAsia" w:ascii="仿宋" w:hAnsi="仿宋" w:eastAsia="仿宋" w:cs="仿宋"/>
          <w:sz w:val="32"/>
          <w:szCs w:val="32"/>
          <w:highlight w:val="none"/>
        </w:rPr>
        <w:t>万元，其中：政府采购货物支出</w:t>
      </w:r>
      <w:r>
        <w:rPr>
          <w:rFonts w:hint="eastAsia" w:ascii="仿宋" w:hAnsi="仿宋" w:eastAsia="仿宋" w:cs="仿宋"/>
          <w:sz w:val="32"/>
          <w:szCs w:val="32"/>
          <w:highlight w:val="none"/>
          <w:lang w:val="en-US" w:eastAsia="zh-CN"/>
        </w:rPr>
        <w:t>181.1</w:t>
      </w:r>
      <w:r>
        <w:rPr>
          <w:rFonts w:hint="eastAsia" w:ascii="仿宋" w:hAnsi="仿宋" w:eastAsia="仿宋" w:cs="仿宋"/>
          <w:sz w:val="32"/>
          <w:szCs w:val="32"/>
          <w:highlight w:val="none"/>
        </w:rPr>
        <w:t>万元、政府采购工程支出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万元、政府采购服务支出0万元。授予中小企业合同金额</w:t>
      </w:r>
      <w:r>
        <w:rPr>
          <w:rFonts w:hint="eastAsia" w:ascii="仿宋" w:hAnsi="仿宋" w:eastAsia="仿宋" w:cs="仿宋"/>
          <w:sz w:val="32"/>
          <w:szCs w:val="32"/>
          <w:highlight w:val="none"/>
          <w:lang w:val="en-US" w:eastAsia="zh-CN"/>
        </w:rPr>
        <w:t>171.77</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94.85</w:t>
      </w:r>
      <w:r>
        <w:rPr>
          <w:rFonts w:hint="eastAsia" w:ascii="仿宋" w:hAnsi="仿宋" w:eastAsia="仿宋" w:cs="仿宋"/>
          <w:sz w:val="32"/>
          <w:szCs w:val="32"/>
          <w:highlight w:val="none"/>
        </w:rPr>
        <w:t>%，其中：授予小微企业合同金额</w:t>
      </w:r>
      <w:r>
        <w:rPr>
          <w:rFonts w:hint="eastAsia" w:ascii="仿宋" w:hAnsi="仿宋" w:eastAsia="仿宋" w:cs="仿宋"/>
          <w:sz w:val="32"/>
          <w:szCs w:val="32"/>
          <w:highlight w:val="none"/>
          <w:lang w:val="en-US" w:eastAsia="zh-CN"/>
        </w:rPr>
        <w:t>171.37</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94.63</w:t>
      </w:r>
      <w:r>
        <w:rPr>
          <w:rFonts w:hint="eastAsia" w:ascii="仿宋" w:hAnsi="仿宋" w:eastAsia="仿宋" w:cs="仿宋"/>
          <w:sz w:val="32"/>
          <w:szCs w:val="32"/>
          <w:highlight w:val="none"/>
        </w:rPr>
        <w:t>%。货物采购授予中小企业合同金额占货物支出金额的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%，工程采购授予中小企业合同金额占工程支出金额的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%，服务采购授予中小企业合同金额占服务支出金额的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p>
    <w:p w14:paraId="7F57102B">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rPr>
        <w:t>、关于国有资产占用情况说明</w:t>
      </w:r>
    </w:p>
    <w:p w14:paraId="5FCBDD91">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3</w:t>
      </w:r>
      <w:r>
        <w:rPr>
          <w:rFonts w:hint="eastAsia" w:ascii="仿宋" w:hAnsi="仿宋" w:eastAsia="仿宋" w:cs="仿宋"/>
          <w:sz w:val="32"/>
          <w:szCs w:val="32"/>
        </w:rPr>
        <w:t>年12月31日，</w:t>
      </w:r>
      <w:r>
        <w:rPr>
          <w:rFonts w:hint="eastAsia" w:ascii="仿宋" w:hAnsi="仿宋" w:eastAsia="仿宋" w:cs="仿宋"/>
          <w:sz w:val="32"/>
          <w:szCs w:val="32"/>
          <w:lang w:eastAsia="zh-CN"/>
        </w:rPr>
        <w:t>本</w:t>
      </w:r>
      <w:r>
        <w:rPr>
          <w:rFonts w:hint="eastAsia" w:ascii="仿宋" w:hAnsi="仿宋" w:eastAsia="仿宋" w:cs="仿宋"/>
          <w:sz w:val="32"/>
          <w:szCs w:val="32"/>
        </w:rPr>
        <w:t>部门共有车辆</w:t>
      </w:r>
      <w:r>
        <w:rPr>
          <w:rFonts w:hint="eastAsia" w:ascii="仿宋" w:hAnsi="仿宋" w:eastAsia="仿宋" w:cs="仿宋"/>
          <w:sz w:val="32"/>
          <w:szCs w:val="32"/>
          <w:lang w:val="en-US" w:eastAsia="zh-CN"/>
        </w:rPr>
        <w:t>12</w:t>
      </w:r>
      <w:r>
        <w:rPr>
          <w:rFonts w:hint="eastAsia" w:ascii="仿宋" w:hAnsi="仿宋" w:eastAsia="仿宋" w:cs="仿宋"/>
          <w:sz w:val="32"/>
          <w:szCs w:val="32"/>
        </w:rPr>
        <w:t>辆，其中，其他用车</w:t>
      </w:r>
      <w:r>
        <w:rPr>
          <w:rFonts w:hint="eastAsia" w:ascii="仿宋" w:hAnsi="仿宋" w:eastAsia="仿宋" w:cs="仿宋"/>
          <w:sz w:val="32"/>
          <w:szCs w:val="32"/>
          <w:lang w:val="en-US" w:eastAsia="zh-CN"/>
        </w:rPr>
        <w:t>12</w:t>
      </w:r>
      <w:r>
        <w:rPr>
          <w:rFonts w:hint="eastAsia" w:ascii="仿宋" w:hAnsi="仿宋" w:eastAsia="仿宋" w:cs="仿宋"/>
          <w:sz w:val="32"/>
          <w:szCs w:val="32"/>
        </w:rPr>
        <w:t>辆，其他用车主要是</w:t>
      </w:r>
      <w:r>
        <w:rPr>
          <w:rFonts w:hint="eastAsia" w:ascii="仿宋" w:hAnsi="仿宋" w:eastAsia="仿宋" w:cs="仿宋"/>
          <w:sz w:val="32"/>
          <w:szCs w:val="32"/>
          <w:lang w:eastAsia="zh-CN"/>
        </w:rPr>
        <w:t>公务用车</w:t>
      </w:r>
      <w:r>
        <w:rPr>
          <w:rFonts w:hint="eastAsia" w:ascii="仿宋" w:hAnsi="仿宋" w:eastAsia="仿宋" w:cs="仿宋"/>
          <w:sz w:val="32"/>
          <w:szCs w:val="32"/>
        </w:rPr>
        <w:t>；</w:t>
      </w:r>
      <w:r>
        <w:rPr>
          <w:rFonts w:hint="eastAsia" w:ascii="仿宋" w:hAnsi="仿宋" w:eastAsia="仿宋" w:cs="仿宋"/>
          <w:sz w:val="32"/>
          <w:szCs w:val="32"/>
          <w:highlight w:val="none"/>
        </w:rPr>
        <w:t>单位价值50万元以上通用设备</w:t>
      </w:r>
      <w:r>
        <w:rPr>
          <w:rFonts w:hint="eastAsia" w:ascii="仿宋" w:hAnsi="仿宋" w:eastAsia="仿宋" w:cs="仿宋"/>
          <w:sz w:val="32"/>
          <w:szCs w:val="32"/>
          <w:highlight w:val="none"/>
          <w:lang w:val="en-US" w:eastAsia="zh-CN"/>
        </w:rPr>
        <w:t>3套</w:t>
      </w:r>
      <w:r>
        <w:rPr>
          <w:rFonts w:hint="eastAsia" w:ascii="仿宋" w:hAnsi="仿宋" w:eastAsia="仿宋" w:cs="仿宋"/>
          <w:sz w:val="32"/>
          <w:szCs w:val="32"/>
          <w:highlight w:val="none"/>
        </w:rPr>
        <w:t>。</w:t>
      </w:r>
    </w:p>
    <w:p w14:paraId="7CD04A04">
      <w:pPr>
        <w:pStyle w:val="15"/>
        <w:keepNext w:val="0"/>
        <w:keepLines w:val="0"/>
        <w:pageBreakBefore w:val="0"/>
        <w:kinsoku/>
        <w:wordWrap/>
        <w:overflowPunct/>
        <w:topLinePunct w:val="0"/>
        <w:bidi w:val="0"/>
        <w:adjustRightInd w:val="0"/>
        <w:snapToGrid w:val="0"/>
        <w:spacing w:line="432"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、关于预算绩效情况的说明</w:t>
      </w:r>
    </w:p>
    <w:p w14:paraId="129DD3B7">
      <w:pPr>
        <w:keepNext w:val="0"/>
        <w:keepLines w:val="0"/>
        <w:pageBreakBefore w:val="0"/>
        <w:kinsoku/>
        <w:wordWrap/>
        <w:overflowPunct/>
        <w:topLinePunct w:val="0"/>
        <w:autoSpaceDE w:val="0"/>
        <w:autoSpaceDN w:val="0"/>
        <w:bidi w:val="0"/>
        <w:adjustRightInd w:val="0"/>
        <w:snapToGrid w:val="0"/>
        <w:spacing w:line="432" w:lineRule="auto"/>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highlight w:val="none"/>
          <w:lang w:eastAsia="zh-CN"/>
        </w:rPr>
        <w:t>202</w:t>
      </w:r>
      <w:r>
        <w:rPr>
          <w:rFonts w:hint="eastAsia" w:ascii="仿宋" w:hAnsi="仿宋" w:eastAsia="仿宋" w:cs="仿宋"/>
          <w:color w:val="000000"/>
          <w:kern w:val="0"/>
          <w:sz w:val="32"/>
          <w:szCs w:val="32"/>
          <w:highlight w:val="none"/>
          <w:lang w:val="en-US" w:eastAsia="zh-CN"/>
        </w:rPr>
        <w:t>3</w:t>
      </w:r>
      <w:r>
        <w:rPr>
          <w:rFonts w:hint="eastAsia" w:ascii="仿宋" w:hAnsi="仿宋" w:eastAsia="仿宋" w:cs="仿宋"/>
          <w:color w:val="000000"/>
          <w:kern w:val="0"/>
          <w:sz w:val="32"/>
          <w:szCs w:val="32"/>
          <w:highlight w:val="none"/>
          <w:lang w:eastAsia="zh-CN"/>
        </w:rPr>
        <w:t>年我单位根据市财政要求开展了部门绩效自评工作，对部门整体支出绩效做出了客观评价并形成了202</w:t>
      </w:r>
      <w:r>
        <w:rPr>
          <w:rFonts w:hint="eastAsia" w:ascii="仿宋" w:hAnsi="仿宋" w:eastAsia="仿宋" w:cs="仿宋"/>
          <w:color w:val="000000"/>
          <w:kern w:val="0"/>
          <w:sz w:val="32"/>
          <w:szCs w:val="32"/>
          <w:highlight w:val="none"/>
          <w:lang w:val="en-US" w:eastAsia="zh-CN"/>
        </w:rPr>
        <w:t>3</w:t>
      </w:r>
      <w:r>
        <w:rPr>
          <w:rFonts w:hint="eastAsia" w:ascii="仿宋" w:hAnsi="仿宋" w:eastAsia="仿宋" w:cs="仿宋"/>
          <w:color w:val="000000"/>
          <w:kern w:val="0"/>
          <w:sz w:val="32"/>
          <w:szCs w:val="32"/>
          <w:highlight w:val="none"/>
          <w:lang w:eastAsia="zh-CN"/>
        </w:rPr>
        <w:t>年部门整体支出绩效评价报告，并予以公开，评价报告</w:t>
      </w:r>
      <w:r>
        <w:rPr>
          <w:rFonts w:hint="eastAsia" w:ascii="仿宋" w:hAnsi="仿宋" w:eastAsia="仿宋" w:cs="仿宋"/>
          <w:color w:val="000000"/>
          <w:kern w:val="0"/>
          <w:sz w:val="32"/>
          <w:szCs w:val="32"/>
        </w:rPr>
        <w:t>见《</w:t>
      </w:r>
      <w:r>
        <w:rPr>
          <w:rFonts w:hint="eastAsia" w:ascii="仿宋" w:hAnsi="仿宋" w:eastAsia="仿宋" w:cs="仿宋"/>
          <w:color w:val="000000"/>
          <w:kern w:val="0"/>
          <w:sz w:val="32"/>
          <w:szCs w:val="32"/>
          <w:lang w:eastAsia="zh-CN"/>
        </w:rPr>
        <w:t>中共怀化市委办公室</w:t>
      </w: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年整体支出绩效评价报告》</w:t>
      </w:r>
      <w:r>
        <w:rPr>
          <w:rFonts w:hint="eastAsia" w:ascii="仿宋" w:hAnsi="仿宋" w:eastAsia="仿宋" w:cs="仿宋"/>
          <w:color w:val="000000"/>
          <w:kern w:val="0"/>
          <w:sz w:val="32"/>
          <w:szCs w:val="32"/>
          <w:lang w:eastAsia="zh-CN"/>
        </w:rPr>
        <w:t>。</w:t>
      </w:r>
    </w:p>
    <w:p w14:paraId="440A0170">
      <w:pPr>
        <w:keepNext w:val="0"/>
        <w:keepLines w:val="0"/>
        <w:pageBreakBefore w:val="0"/>
        <w:kinsoku/>
        <w:wordWrap/>
        <w:overflowPunct/>
        <w:topLinePunct w:val="0"/>
        <w:autoSpaceDE w:val="0"/>
        <w:autoSpaceDN w:val="0"/>
        <w:bidi w:val="0"/>
        <w:adjustRightInd w:val="0"/>
        <w:snapToGrid w:val="0"/>
        <w:spacing w:line="432" w:lineRule="auto"/>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单位本年度无重点支出项目。</w:t>
      </w:r>
    </w:p>
    <w:p w14:paraId="5BE8B993">
      <w:pPr>
        <w:pStyle w:val="15"/>
        <w:jc w:val="center"/>
        <w:rPr>
          <w:rFonts w:hint="eastAsia" w:ascii="方正小标宋_GBK" w:hAnsi="方正小标宋_GBK" w:eastAsia="方正小标宋_GBK" w:cs="方正小标宋_GBK"/>
          <w:sz w:val="72"/>
          <w:szCs w:val="72"/>
        </w:rPr>
      </w:pPr>
    </w:p>
    <w:p w14:paraId="709204CA">
      <w:pPr>
        <w:pStyle w:val="15"/>
        <w:jc w:val="center"/>
        <w:rPr>
          <w:rFonts w:hint="eastAsia" w:ascii="方正小标宋_GBK" w:hAnsi="方正小标宋_GBK" w:eastAsia="方正小标宋_GBK" w:cs="方正小标宋_GBK"/>
          <w:sz w:val="72"/>
          <w:szCs w:val="72"/>
        </w:rPr>
      </w:pPr>
    </w:p>
    <w:p w14:paraId="3430FFFF">
      <w:pPr>
        <w:pStyle w:val="15"/>
        <w:jc w:val="center"/>
        <w:rPr>
          <w:rFonts w:hint="eastAsia" w:ascii="方正小标宋_GBK" w:hAnsi="方正小标宋_GBK" w:eastAsia="方正小标宋_GBK" w:cs="方正小标宋_GBK"/>
          <w:sz w:val="72"/>
          <w:szCs w:val="72"/>
        </w:rPr>
      </w:pPr>
    </w:p>
    <w:p w14:paraId="33CFC678">
      <w:pPr>
        <w:pStyle w:val="15"/>
        <w:jc w:val="center"/>
        <w:rPr>
          <w:rFonts w:hint="eastAsia" w:ascii="方正小标宋_GBK" w:hAnsi="方正小标宋_GBK" w:eastAsia="方正小标宋_GBK" w:cs="方正小标宋_GBK"/>
          <w:sz w:val="72"/>
          <w:szCs w:val="72"/>
        </w:rPr>
      </w:pPr>
    </w:p>
    <w:p w14:paraId="79557FFD">
      <w:pPr>
        <w:pStyle w:val="15"/>
        <w:jc w:val="center"/>
        <w:rPr>
          <w:rFonts w:hint="eastAsia" w:ascii="方正小标宋_GBK" w:hAnsi="方正小标宋_GBK" w:eastAsia="方正小标宋_GBK" w:cs="方正小标宋_GBK"/>
          <w:sz w:val="72"/>
          <w:szCs w:val="72"/>
        </w:rPr>
      </w:pPr>
    </w:p>
    <w:p w14:paraId="1564C7B2">
      <w:pPr>
        <w:pStyle w:val="15"/>
        <w:jc w:val="center"/>
        <w:rPr>
          <w:rFonts w:hint="eastAsia" w:ascii="方正小标宋_GBK" w:hAnsi="方正小标宋_GBK" w:eastAsia="方正小标宋_GBK" w:cs="方正小标宋_GBK"/>
          <w:sz w:val="72"/>
          <w:szCs w:val="72"/>
        </w:rPr>
      </w:pPr>
    </w:p>
    <w:p w14:paraId="065DBD6F">
      <w:pPr>
        <w:pStyle w:val="15"/>
        <w:jc w:val="center"/>
        <w:rPr>
          <w:rFonts w:hint="eastAsia" w:ascii="方正小标宋_GBK" w:hAnsi="方正小标宋_GBK" w:eastAsia="方正小标宋_GBK" w:cs="方正小标宋_GBK"/>
          <w:sz w:val="72"/>
          <w:szCs w:val="72"/>
        </w:rPr>
      </w:pPr>
    </w:p>
    <w:p w14:paraId="42BC1F10">
      <w:pPr>
        <w:pStyle w:val="15"/>
        <w:jc w:val="center"/>
        <w:rPr>
          <w:rFonts w:hint="eastAsia" w:ascii="方正小标宋_GBK" w:hAnsi="方正小标宋_GBK" w:eastAsia="方正小标宋_GBK" w:cs="方正小标宋_GBK"/>
          <w:sz w:val="72"/>
          <w:szCs w:val="72"/>
        </w:rPr>
      </w:pPr>
    </w:p>
    <w:p w14:paraId="24E35160">
      <w:pPr>
        <w:pStyle w:val="15"/>
        <w:jc w:val="center"/>
        <w:rPr>
          <w:rFonts w:hint="eastAsia" w:ascii="方正小标宋_GBK" w:hAnsi="方正小标宋_GBK" w:eastAsia="方正小标宋_GBK" w:cs="方正小标宋_GBK"/>
          <w:sz w:val="72"/>
          <w:szCs w:val="72"/>
        </w:rPr>
      </w:pPr>
    </w:p>
    <w:p w14:paraId="101BA0E8">
      <w:pPr>
        <w:pStyle w:val="15"/>
        <w:jc w:val="center"/>
        <w:rPr>
          <w:rFonts w:hint="eastAsia" w:ascii="方正小标宋_GBK" w:hAnsi="方正小标宋_GBK" w:eastAsia="方正小标宋_GBK" w:cs="方正小标宋_GBK"/>
          <w:sz w:val="72"/>
          <w:szCs w:val="72"/>
        </w:rPr>
      </w:pPr>
    </w:p>
    <w:p w14:paraId="70020B13">
      <w:pPr>
        <w:pStyle w:val="15"/>
        <w:jc w:val="center"/>
        <w:rPr>
          <w:rFonts w:hint="eastAsia" w:ascii="方正小标宋_GBK" w:hAnsi="方正小标宋_GBK" w:eastAsia="方正小标宋_GBK" w:cs="方正小标宋_GBK"/>
          <w:sz w:val="72"/>
          <w:szCs w:val="72"/>
        </w:rPr>
      </w:pPr>
    </w:p>
    <w:p w14:paraId="56D16F6D">
      <w:pPr>
        <w:pStyle w:val="15"/>
        <w:jc w:val="center"/>
        <w:rPr>
          <w:rFonts w:hint="eastAsia" w:ascii="方正小标宋_GBK" w:hAnsi="方正小标宋_GBK" w:eastAsia="方正小标宋_GBK" w:cs="方正小标宋_GBK"/>
          <w:sz w:val="72"/>
          <w:szCs w:val="72"/>
        </w:rPr>
      </w:pPr>
    </w:p>
    <w:p w14:paraId="1E244393">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163C25D">
      <w:pPr>
        <w:jc w:val="center"/>
        <w:rPr>
          <w:rFonts w:hint="eastAsia" w:ascii="方正小标宋_GBK" w:hAnsi="方正小标宋_GBK" w:eastAsia="方正小标宋_GBK" w:cs="方正小标宋_GBK"/>
          <w:color w:val="000000"/>
          <w:kern w:val="0"/>
          <w:sz w:val="70"/>
          <w:szCs w:val="70"/>
        </w:rPr>
      </w:pPr>
    </w:p>
    <w:p w14:paraId="463A2B98">
      <w:pPr>
        <w:jc w:val="center"/>
        <w:rPr>
          <w:rFonts w:hint="eastAsia" w:ascii="方正小标宋_GBK" w:hAnsi="方正小标宋_GBK" w:eastAsia="方正小标宋_GBK" w:cs="方正小标宋_GBK"/>
          <w:color w:val="000000"/>
          <w:kern w:val="0"/>
          <w:sz w:val="72"/>
          <w:szCs w:val="72"/>
          <w:lang w:val="en-US" w:eastAsia="zh-CN" w:bidi="ar-SA"/>
        </w:rPr>
      </w:pPr>
      <w:r>
        <w:rPr>
          <w:rFonts w:hint="eastAsia" w:ascii="方正小标宋_GBK" w:hAnsi="方正小标宋_GBK" w:eastAsia="方正小标宋_GBK" w:cs="方正小标宋_GBK"/>
          <w:color w:val="000000"/>
          <w:kern w:val="0"/>
          <w:sz w:val="72"/>
          <w:szCs w:val="72"/>
          <w:lang w:val="en-US" w:eastAsia="zh-CN" w:bidi="ar-SA"/>
        </w:rPr>
        <w:t>名词解释</w:t>
      </w:r>
    </w:p>
    <w:p w14:paraId="3CB835BE">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950CA39">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5032B233">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4333EDB">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80B99F2">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3642A76">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771E22A3">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920C15E">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22ABBFD5">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79E448F">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6868538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000000"/>
          <w:kern w:val="0"/>
          <w:sz w:val="32"/>
          <w:szCs w:val="32"/>
        </w:rPr>
      </w:pPr>
    </w:p>
    <w:p w14:paraId="646A199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2DA198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C2F14FF">
      <w:pPr>
        <w:pStyle w:val="1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70991DF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A11E25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0181DD3">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657A0C0">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166A7D1">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2009CF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C8D18AD">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BA12E52">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F533AC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6BB0C24">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6F04790">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AD30E9B">
      <w:pPr>
        <w:pStyle w:val="15"/>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532D3EF">
      <w:pPr>
        <w:pStyle w:val="15"/>
        <w:jc w:val="center"/>
        <w:rPr>
          <w:rFonts w:hint="eastAsia" w:ascii="方正小标宋_GBK" w:hAnsi="方正小标宋_GBK" w:eastAsia="方正小标宋_GBK" w:cs="方正小标宋_GBK"/>
          <w:sz w:val="72"/>
          <w:szCs w:val="72"/>
        </w:rPr>
      </w:pPr>
    </w:p>
    <w:p w14:paraId="21AA49E8">
      <w:pPr>
        <w:pStyle w:val="15"/>
        <w:jc w:val="both"/>
        <w:rPr>
          <w:rFonts w:hint="eastAsia" w:ascii="方正小标宋_GBK" w:hAnsi="方正小标宋_GBK" w:eastAsia="方正小标宋_GBK" w:cs="方正小标宋_GBK"/>
          <w:sz w:val="72"/>
          <w:szCs w:val="72"/>
        </w:rPr>
      </w:pPr>
    </w:p>
    <w:p w14:paraId="57596803">
      <w:pPr>
        <w:pStyle w:val="15"/>
        <w:jc w:val="center"/>
        <w:rPr>
          <w:rFonts w:hint="eastAsia" w:ascii="方正小标宋_GBK" w:hAnsi="方正小标宋_GBK" w:eastAsia="方正小标宋_GBK" w:cs="方正小标宋_GBK"/>
          <w:sz w:val="72"/>
          <w:szCs w:val="72"/>
        </w:rPr>
      </w:pPr>
    </w:p>
    <w:p w14:paraId="3DE655BD">
      <w:pPr>
        <w:pStyle w:val="15"/>
        <w:jc w:val="center"/>
        <w:rPr>
          <w:rFonts w:hint="eastAsia" w:ascii="方正小标宋_GBK" w:hAnsi="方正小标宋_GBK" w:eastAsia="方正小标宋_GBK" w:cs="方正小标宋_GBK"/>
          <w:sz w:val="72"/>
          <w:szCs w:val="72"/>
        </w:rPr>
      </w:pPr>
    </w:p>
    <w:p w14:paraId="100257F2">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751F821">
      <w:pPr>
        <w:pStyle w:val="15"/>
        <w:jc w:val="center"/>
        <w:rPr>
          <w:rFonts w:hint="eastAsia" w:ascii="方正小标宋_GBK" w:hAnsi="方正小标宋_GBK" w:eastAsia="方正小标宋_GBK" w:cs="方正小标宋_GBK"/>
          <w:sz w:val="70"/>
          <w:szCs w:val="70"/>
        </w:rPr>
      </w:pPr>
    </w:p>
    <w:p w14:paraId="46B5BECD">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0ECB3FA">
      <w:pPr>
        <w:rPr>
          <w:rFonts w:hint="eastAsia" w:ascii="仿宋" w:hAnsi="仿宋" w:eastAsia="仿宋" w:cs="仿宋"/>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hMGYzODlmNjRjZjBlNjNmYzRjODBiYTRkNTliZD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2F3E"/>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E1189F"/>
    <w:rsid w:val="028F2887"/>
    <w:rsid w:val="030E018F"/>
    <w:rsid w:val="034A579A"/>
    <w:rsid w:val="04417EBE"/>
    <w:rsid w:val="056577D9"/>
    <w:rsid w:val="067B3A34"/>
    <w:rsid w:val="067D07BE"/>
    <w:rsid w:val="068A132A"/>
    <w:rsid w:val="08A8389B"/>
    <w:rsid w:val="0B980BE5"/>
    <w:rsid w:val="0C023CCE"/>
    <w:rsid w:val="0C712EE4"/>
    <w:rsid w:val="0CA1672A"/>
    <w:rsid w:val="0DE76735"/>
    <w:rsid w:val="0E410BD9"/>
    <w:rsid w:val="10FD3E02"/>
    <w:rsid w:val="11727009"/>
    <w:rsid w:val="11BE5610"/>
    <w:rsid w:val="13426931"/>
    <w:rsid w:val="139F3C12"/>
    <w:rsid w:val="140E7E0D"/>
    <w:rsid w:val="14FB4561"/>
    <w:rsid w:val="15C81200"/>
    <w:rsid w:val="16291A91"/>
    <w:rsid w:val="169208F1"/>
    <w:rsid w:val="16D67EBE"/>
    <w:rsid w:val="174C10FD"/>
    <w:rsid w:val="176E2494"/>
    <w:rsid w:val="17964834"/>
    <w:rsid w:val="18451E9C"/>
    <w:rsid w:val="18D41507"/>
    <w:rsid w:val="1C006A5E"/>
    <w:rsid w:val="1C2411B4"/>
    <w:rsid w:val="1CED5547"/>
    <w:rsid w:val="1D2F3491"/>
    <w:rsid w:val="1E97797B"/>
    <w:rsid w:val="1EBB25E9"/>
    <w:rsid w:val="1EC975DB"/>
    <w:rsid w:val="207B281D"/>
    <w:rsid w:val="21AF237F"/>
    <w:rsid w:val="22A9688E"/>
    <w:rsid w:val="22DC5649"/>
    <w:rsid w:val="22F80E3D"/>
    <w:rsid w:val="232748D0"/>
    <w:rsid w:val="24591B8E"/>
    <w:rsid w:val="24A67588"/>
    <w:rsid w:val="25185AFF"/>
    <w:rsid w:val="25304A9C"/>
    <w:rsid w:val="25AC1A52"/>
    <w:rsid w:val="25B54415"/>
    <w:rsid w:val="263E7950"/>
    <w:rsid w:val="2681079B"/>
    <w:rsid w:val="26E94F0A"/>
    <w:rsid w:val="27351CB2"/>
    <w:rsid w:val="274F496E"/>
    <w:rsid w:val="28683AFD"/>
    <w:rsid w:val="29E84AAC"/>
    <w:rsid w:val="2ACD5908"/>
    <w:rsid w:val="2AD678D2"/>
    <w:rsid w:val="2AF83F5D"/>
    <w:rsid w:val="2AFB5C85"/>
    <w:rsid w:val="2B9A337E"/>
    <w:rsid w:val="2BA43111"/>
    <w:rsid w:val="2DB61363"/>
    <w:rsid w:val="2FFA3A98"/>
    <w:rsid w:val="30406876"/>
    <w:rsid w:val="306B08C9"/>
    <w:rsid w:val="307B1A8B"/>
    <w:rsid w:val="3184468C"/>
    <w:rsid w:val="324D3433"/>
    <w:rsid w:val="329159E7"/>
    <w:rsid w:val="3350661A"/>
    <w:rsid w:val="33E9550E"/>
    <w:rsid w:val="340A3D84"/>
    <w:rsid w:val="35F44CB1"/>
    <w:rsid w:val="366F2247"/>
    <w:rsid w:val="376C29B8"/>
    <w:rsid w:val="37EB254D"/>
    <w:rsid w:val="38533C23"/>
    <w:rsid w:val="38910D12"/>
    <w:rsid w:val="38FF1315"/>
    <w:rsid w:val="39294C83"/>
    <w:rsid w:val="395775BC"/>
    <w:rsid w:val="39CC2FA3"/>
    <w:rsid w:val="39FA6443"/>
    <w:rsid w:val="3A1A1F55"/>
    <w:rsid w:val="3A3B7A62"/>
    <w:rsid w:val="3A6E113B"/>
    <w:rsid w:val="3B05015D"/>
    <w:rsid w:val="3B8B1A48"/>
    <w:rsid w:val="3E903F17"/>
    <w:rsid w:val="3E9564A3"/>
    <w:rsid w:val="3EF67510"/>
    <w:rsid w:val="3F0459D3"/>
    <w:rsid w:val="40754A75"/>
    <w:rsid w:val="426715F7"/>
    <w:rsid w:val="43395ADF"/>
    <w:rsid w:val="44736E7E"/>
    <w:rsid w:val="44AE6A98"/>
    <w:rsid w:val="45157236"/>
    <w:rsid w:val="46972106"/>
    <w:rsid w:val="46AB71F4"/>
    <w:rsid w:val="47236BCD"/>
    <w:rsid w:val="474156B1"/>
    <w:rsid w:val="47B32BDE"/>
    <w:rsid w:val="48052D08"/>
    <w:rsid w:val="48157C28"/>
    <w:rsid w:val="483F1675"/>
    <w:rsid w:val="49651CB3"/>
    <w:rsid w:val="49C75EEE"/>
    <w:rsid w:val="4A171B6A"/>
    <w:rsid w:val="4B2A1534"/>
    <w:rsid w:val="4B95200E"/>
    <w:rsid w:val="4CA77EA9"/>
    <w:rsid w:val="4EA248CB"/>
    <w:rsid w:val="4EDD2544"/>
    <w:rsid w:val="4F041DA9"/>
    <w:rsid w:val="4F942356"/>
    <w:rsid w:val="4FB355BA"/>
    <w:rsid w:val="4FD27EA9"/>
    <w:rsid w:val="51337D81"/>
    <w:rsid w:val="52A6309A"/>
    <w:rsid w:val="533434B1"/>
    <w:rsid w:val="53410520"/>
    <w:rsid w:val="546225B7"/>
    <w:rsid w:val="54D6094B"/>
    <w:rsid w:val="560C6AC4"/>
    <w:rsid w:val="57032339"/>
    <w:rsid w:val="57436431"/>
    <w:rsid w:val="59A2499A"/>
    <w:rsid w:val="5AF51789"/>
    <w:rsid w:val="5B97137D"/>
    <w:rsid w:val="5C2E75D1"/>
    <w:rsid w:val="5C38658F"/>
    <w:rsid w:val="5C4D4457"/>
    <w:rsid w:val="5D6C356E"/>
    <w:rsid w:val="5D7D48AD"/>
    <w:rsid w:val="5EEB532D"/>
    <w:rsid w:val="5F8A1DC3"/>
    <w:rsid w:val="60E14311"/>
    <w:rsid w:val="60E57089"/>
    <w:rsid w:val="611B7F0F"/>
    <w:rsid w:val="61904984"/>
    <w:rsid w:val="62562501"/>
    <w:rsid w:val="62BB0DF5"/>
    <w:rsid w:val="62D14D20"/>
    <w:rsid w:val="63780255"/>
    <w:rsid w:val="63C96D02"/>
    <w:rsid w:val="63FF5B52"/>
    <w:rsid w:val="643C0568"/>
    <w:rsid w:val="64777168"/>
    <w:rsid w:val="64CD4AF5"/>
    <w:rsid w:val="66691D42"/>
    <w:rsid w:val="66AA0328"/>
    <w:rsid w:val="673D6D3E"/>
    <w:rsid w:val="67F24C2C"/>
    <w:rsid w:val="68192441"/>
    <w:rsid w:val="69196C8D"/>
    <w:rsid w:val="69301CCC"/>
    <w:rsid w:val="696E0FB2"/>
    <w:rsid w:val="6A3028FD"/>
    <w:rsid w:val="6C807B96"/>
    <w:rsid w:val="6C8C7125"/>
    <w:rsid w:val="6D117DFB"/>
    <w:rsid w:val="6D9A2DB3"/>
    <w:rsid w:val="6DB852B6"/>
    <w:rsid w:val="6DDE2E71"/>
    <w:rsid w:val="6DE3150A"/>
    <w:rsid w:val="6EC425A0"/>
    <w:rsid w:val="6FC538C4"/>
    <w:rsid w:val="6FD24C25"/>
    <w:rsid w:val="7082711C"/>
    <w:rsid w:val="70992D1A"/>
    <w:rsid w:val="70F86814"/>
    <w:rsid w:val="71B4764D"/>
    <w:rsid w:val="72054E13"/>
    <w:rsid w:val="72795AFD"/>
    <w:rsid w:val="732C3097"/>
    <w:rsid w:val="73C97AB8"/>
    <w:rsid w:val="73D561D8"/>
    <w:rsid w:val="74565CA1"/>
    <w:rsid w:val="74A1211B"/>
    <w:rsid w:val="75917CED"/>
    <w:rsid w:val="76361FD5"/>
    <w:rsid w:val="766862BF"/>
    <w:rsid w:val="7693517B"/>
    <w:rsid w:val="76AB6DEC"/>
    <w:rsid w:val="7700780C"/>
    <w:rsid w:val="77311D2E"/>
    <w:rsid w:val="773F7F7A"/>
    <w:rsid w:val="77764653"/>
    <w:rsid w:val="77C842CE"/>
    <w:rsid w:val="7802604C"/>
    <w:rsid w:val="7817344B"/>
    <w:rsid w:val="785676DF"/>
    <w:rsid w:val="78D71016"/>
    <w:rsid w:val="78EE2023"/>
    <w:rsid w:val="79D2348F"/>
    <w:rsid w:val="7A2A1819"/>
    <w:rsid w:val="7B4676A7"/>
    <w:rsid w:val="7C823C4F"/>
    <w:rsid w:val="7C940642"/>
    <w:rsid w:val="7C9B5288"/>
    <w:rsid w:val="7CA847F2"/>
    <w:rsid w:val="7E594646"/>
    <w:rsid w:val="7EA22004"/>
    <w:rsid w:val="7F4B78F6"/>
    <w:rsid w:val="7FB8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FollowedHyperlink"/>
    <w:basedOn w:val="10"/>
    <w:semiHidden/>
    <w:unhideWhenUsed/>
    <w:qFormat/>
    <w:uiPriority w:val="99"/>
    <w:rPr>
      <w:color w:val="800080"/>
      <w:u w:val="single"/>
    </w:rPr>
  </w:style>
  <w:style w:type="character" w:styleId="12">
    <w:name w:val="Hyperlink"/>
    <w:basedOn w:val="10"/>
    <w:semiHidden/>
    <w:unhideWhenUsed/>
    <w:qFormat/>
    <w:uiPriority w:val="99"/>
    <w:rPr>
      <w:color w:val="0000FF"/>
      <w:u w:val="single"/>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0"/>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4948</Words>
  <Characters>5417</Characters>
  <Lines>69</Lines>
  <Paragraphs>19</Paragraphs>
  <TotalTime>5</TotalTime>
  <ScaleCrop>false</ScaleCrop>
  <LinksUpToDate>false</LinksUpToDate>
  <CharactersWithSpaces>5452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张志荣</cp:lastModifiedBy>
  <cp:lastPrinted>2022-07-27T12:55:00Z</cp:lastPrinted>
  <dcterms:modified xsi:type="dcterms:W3CDTF">2024-09-20T11:15:39Z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BB4E4B1BED3943E6A73E7EE783D767E2</vt:lpwstr>
  </property>
</Properties>
</file>