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8CF6E">
      <w:pPr>
        <w:pStyle w:val="11"/>
        <w:jc w:val="center"/>
        <w:rPr>
          <w:sz w:val="56"/>
          <w:szCs w:val="56"/>
          <w:highlight w:val="none"/>
        </w:rPr>
      </w:pPr>
    </w:p>
    <w:p w14:paraId="7D59032D">
      <w:pPr>
        <w:pStyle w:val="11"/>
        <w:jc w:val="center"/>
        <w:rPr>
          <w:sz w:val="56"/>
          <w:szCs w:val="56"/>
          <w:highlight w:val="none"/>
        </w:rPr>
      </w:pPr>
    </w:p>
    <w:p w14:paraId="63AE70B0">
      <w:pPr>
        <w:pStyle w:val="11"/>
        <w:jc w:val="center"/>
        <w:rPr>
          <w:sz w:val="84"/>
          <w:szCs w:val="84"/>
          <w:highlight w:val="none"/>
        </w:rPr>
      </w:pPr>
    </w:p>
    <w:p w14:paraId="545C5175">
      <w:pPr>
        <w:pStyle w:val="11"/>
        <w:jc w:val="center"/>
        <w:rPr>
          <w:sz w:val="84"/>
          <w:szCs w:val="84"/>
          <w:highlight w:val="none"/>
        </w:rPr>
      </w:pPr>
    </w:p>
    <w:p w14:paraId="5669C73D">
      <w:pPr>
        <w:pStyle w:val="11"/>
        <w:jc w:val="center"/>
        <w:rPr>
          <w:rFonts w:hint="eastAsia" w:ascii="方正小标宋_GBK" w:eastAsia="方正小标宋_GBK" w:cs="方正小标宋_GBK"/>
          <w:sz w:val="84"/>
          <w:szCs w:val="84"/>
          <w:highlight w:val="none"/>
        </w:rPr>
      </w:pPr>
      <w:r>
        <w:rPr>
          <w:rFonts w:hint="eastAsia" w:ascii="方正小标宋_GBK" w:eastAsia="方正小标宋_GBK" w:cs="方正小标宋_GBK"/>
          <w:sz w:val="84"/>
          <w:szCs w:val="84"/>
          <w:highlight w:val="none"/>
        </w:rPr>
        <w:t>202</w:t>
      </w:r>
      <w:r>
        <w:rPr>
          <w:rFonts w:hint="eastAsia" w:ascii="方正小标宋_GBK" w:eastAsia="方正小标宋_GBK" w:cs="方正小标宋_GBK"/>
          <w:sz w:val="84"/>
          <w:szCs w:val="84"/>
          <w:highlight w:val="none"/>
          <w:lang w:val="en-US" w:eastAsia="zh-CN"/>
        </w:rPr>
        <w:t>2</w:t>
      </w:r>
      <w:r>
        <w:rPr>
          <w:rFonts w:hint="eastAsia" w:ascii="方正小标宋_GBK" w:eastAsia="方正小标宋_GBK" w:cs="方正小标宋_GBK"/>
          <w:sz w:val="84"/>
          <w:szCs w:val="84"/>
          <w:highlight w:val="none"/>
        </w:rPr>
        <w:t>年度</w:t>
      </w:r>
    </w:p>
    <w:p w14:paraId="74F499C6">
      <w:pPr>
        <w:pStyle w:val="11"/>
        <w:jc w:val="center"/>
        <w:rPr>
          <w:rFonts w:hint="eastAsia" w:ascii="方正小标宋_GBK" w:eastAsia="方正小标宋_GBK" w:cs="方正小标宋_GBK"/>
          <w:b/>
          <w:bCs/>
          <w:sz w:val="84"/>
          <w:szCs w:val="84"/>
          <w:highlight w:val="none"/>
        </w:rPr>
      </w:pPr>
      <w:r>
        <w:rPr>
          <w:rFonts w:hint="eastAsia" w:ascii="方正小标宋_GBK" w:eastAsia="方正小标宋_GBK" w:cs="方正小标宋_GBK"/>
          <w:b w:val="0"/>
          <w:bCs w:val="0"/>
          <w:sz w:val="84"/>
          <w:szCs w:val="84"/>
          <w:highlight w:val="none"/>
        </w:rPr>
        <w:t>中共怀化市委政策研究室</w:t>
      </w:r>
    </w:p>
    <w:p w14:paraId="0ABAC987">
      <w:pPr>
        <w:pStyle w:val="11"/>
        <w:jc w:val="center"/>
        <w:rPr>
          <w:rFonts w:hint="eastAsia" w:ascii="方正小标宋_GBK" w:eastAsia="方正小标宋_GBK" w:cs="方正小标宋_GBK"/>
          <w:sz w:val="84"/>
          <w:szCs w:val="84"/>
          <w:highlight w:val="none"/>
        </w:rPr>
      </w:pPr>
      <w:r>
        <w:rPr>
          <w:rFonts w:hint="eastAsia" w:ascii="方正小标宋_GBK" w:eastAsia="方正小标宋_GBK" w:cs="方正小标宋_GBK"/>
          <w:sz w:val="84"/>
          <w:szCs w:val="84"/>
          <w:highlight w:val="none"/>
        </w:rPr>
        <w:t>部门决算</w:t>
      </w:r>
    </w:p>
    <w:p w14:paraId="2F692EEE">
      <w:pPr>
        <w:pStyle w:val="11"/>
        <w:jc w:val="center"/>
        <w:rPr>
          <w:rFonts w:hint="eastAsia" w:ascii="方正小标宋_GBK" w:eastAsia="方正小标宋_GBK" w:cs="方正小标宋_GBK"/>
          <w:sz w:val="56"/>
          <w:szCs w:val="56"/>
          <w:highlight w:val="none"/>
        </w:rPr>
      </w:pPr>
    </w:p>
    <w:p w14:paraId="64C32538">
      <w:pPr>
        <w:pStyle w:val="11"/>
        <w:jc w:val="center"/>
        <w:rPr>
          <w:sz w:val="56"/>
          <w:szCs w:val="56"/>
          <w:highlight w:val="none"/>
        </w:rPr>
      </w:pPr>
    </w:p>
    <w:p w14:paraId="3E5A592E">
      <w:pPr>
        <w:pStyle w:val="11"/>
        <w:jc w:val="center"/>
        <w:rPr>
          <w:sz w:val="56"/>
          <w:szCs w:val="56"/>
          <w:highlight w:val="none"/>
        </w:rPr>
      </w:pPr>
    </w:p>
    <w:p w14:paraId="3189DCC5">
      <w:pPr>
        <w:pStyle w:val="11"/>
        <w:jc w:val="center"/>
        <w:rPr>
          <w:sz w:val="56"/>
          <w:szCs w:val="56"/>
          <w:highlight w:val="none"/>
        </w:rPr>
      </w:pPr>
    </w:p>
    <w:p w14:paraId="50880A23">
      <w:pPr>
        <w:pStyle w:val="11"/>
        <w:jc w:val="center"/>
        <w:rPr>
          <w:sz w:val="32"/>
          <w:szCs w:val="32"/>
          <w:highlight w:val="none"/>
        </w:rPr>
      </w:pPr>
    </w:p>
    <w:p w14:paraId="3B5BC99A">
      <w:pPr>
        <w:pStyle w:val="11"/>
        <w:jc w:val="center"/>
        <w:rPr>
          <w:sz w:val="32"/>
          <w:szCs w:val="32"/>
          <w:highlight w:val="none"/>
        </w:rPr>
      </w:pPr>
    </w:p>
    <w:p w14:paraId="75822656">
      <w:pPr>
        <w:pStyle w:val="11"/>
        <w:jc w:val="center"/>
        <w:rPr>
          <w:sz w:val="32"/>
          <w:szCs w:val="32"/>
          <w:highlight w:val="none"/>
        </w:rPr>
      </w:pPr>
    </w:p>
    <w:p w14:paraId="136AB8BE">
      <w:pPr>
        <w:pStyle w:val="11"/>
        <w:jc w:val="center"/>
        <w:rPr>
          <w:sz w:val="32"/>
          <w:szCs w:val="32"/>
          <w:highlight w:val="none"/>
        </w:rPr>
      </w:pPr>
    </w:p>
    <w:p w14:paraId="4B9EB2E1">
      <w:pPr>
        <w:pStyle w:val="11"/>
        <w:spacing w:line="500" w:lineRule="exact"/>
        <w:jc w:val="center"/>
        <w:rPr>
          <w:b/>
          <w:sz w:val="36"/>
          <w:szCs w:val="28"/>
          <w:highlight w:val="none"/>
        </w:rPr>
      </w:pPr>
      <w:bookmarkStart w:id="1" w:name="_GoBack"/>
      <w:bookmarkEnd w:id="1"/>
      <w:r>
        <w:rPr>
          <w:rFonts w:hint="eastAsia"/>
          <w:b/>
          <w:sz w:val="36"/>
          <w:szCs w:val="28"/>
          <w:highlight w:val="none"/>
        </w:rPr>
        <w:t>目录</w:t>
      </w:r>
    </w:p>
    <w:p w14:paraId="6E5014B8">
      <w:pPr>
        <w:pStyle w:val="11"/>
        <w:spacing w:line="470" w:lineRule="exact"/>
        <w:rPr>
          <w:rFonts w:ascii="黑体" w:eastAsia="黑体" w:cs="黑体"/>
          <w:b w:val="0"/>
          <w:bCs/>
          <w:sz w:val="28"/>
          <w:szCs w:val="28"/>
          <w:highlight w:val="none"/>
        </w:rPr>
      </w:pPr>
    </w:p>
    <w:p w14:paraId="241AC635">
      <w:pPr>
        <w:pStyle w:val="11"/>
        <w:spacing w:line="470" w:lineRule="exact"/>
        <w:rPr>
          <w:rFonts w:hint="eastAsia" w:ascii="仿宋" w:hAnsi="仿宋" w:eastAsia="仿宋" w:cs="仿宋"/>
          <w:b w:val="0"/>
          <w:bCs/>
          <w:sz w:val="28"/>
          <w:szCs w:val="28"/>
          <w:highlight w:val="none"/>
        </w:rPr>
      </w:pPr>
      <w:r>
        <w:rPr>
          <w:rFonts w:hint="eastAsia" w:ascii="仿宋" w:hAnsi="仿宋" w:eastAsia="仿宋" w:cs="仿宋"/>
          <w:b w:val="0"/>
          <w:bCs/>
          <w:sz w:val="28"/>
          <w:szCs w:val="28"/>
          <w:highlight w:val="none"/>
        </w:rPr>
        <w:t>第一部分</w:t>
      </w:r>
      <w:r>
        <w:rPr>
          <w:rFonts w:hint="eastAsia" w:ascii="仿宋" w:hAnsi="仿宋" w:eastAsia="仿宋" w:cs="仿宋"/>
          <w:b w:val="0"/>
          <w:bCs/>
          <w:sz w:val="28"/>
          <w:szCs w:val="28"/>
          <w:highlight w:val="none"/>
          <w:lang w:val="en-US" w:eastAsia="zh-CN"/>
        </w:rPr>
        <w:t>中共怀化市委政策研究室</w:t>
      </w:r>
      <w:r>
        <w:rPr>
          <w:rFonts w:hint="eastAsia" w:ascii="仿宋" w:hAnsi="仿宋" w:eastAsia="仿宋" w:cs="仿宋"/>
          <w:b w:val="0"/>
          <w:bCs/>
          <w:sz w:val="28"/>
          <w:szCs w:val="28"/>
          <w:highlight w:val="none"/>
        </w:rPr>
        <w:t>单位概况</w:t>
      </w:r>
    </w:p>
    <w:p w14:paraId="187A6896">
      <w:pPr>
        <w:pStyle w:val="11"/>
        <w:spacing w:line="470" w:lineRule="exact"/>
        <w:ind w:firstLine="700" w:firstLineChars="250"/>
        <w:rPr>
          <w:rFonts w:hint="eastAsia" w:ascii="仿宋" w:hAnsi="仿宋" w:eastAsia="仿宋" w:cs="仿宋"/>
          <w:sz w:val="28"/>
          <w:szCs w:val="28"/>
          <w:highlight w:val="none"/>
        </w:rPr>
      </w:pPr>
      <w:r>
        <w:rPr>
          <w:rFonts w:hint="eastAsia" w:ascii="仿宋" w:hAnsi="仿宋" w:eastAsia="仿宋" w:cs="仿宋"/>
          <w:sz w:val="28"/>
          <w:szCs w:val="28"/>
          <w:highlight w:val="none"/>
        </w:rPr>
        <w:t>一、部门职责</w:t>
      </w:r>
    </w:p>
    <w:p w14:paraId="1F8C4DD0">
      <w:pPr>
        <w:pStyle w:val="11"/>
        <w:spacing w:line="470" w:lineRule="exact"/>
        <w:ind w:firstLine="700" w:firstLineChars="250"/>
        <w:rPr>
          <w:rFonts w:hint="eastAsia" w:ascii="仿宋" w:hAnsi="仿宋" w:eastAsia="仿宋" w:cs="仿宋"/>
          <w:sz w:val="28"/>
          <w:szCs w:val="28"/>
          <w:highlight w:val="none"/>
        </w:rPr>
      </w:pPr>
      <w:r>
        <w:rPr>
          <w:rFonts w:hint="eastAsia" w:ascii="仿宋" w:hAnsi="仿宋" w:eastAsia="仿宋" w:cs="仿宋"/>
          <w:sz w:val="28"/>
          <w:szCs w:val="28"/>
          <w:highlight w:val="none"/>
        </w:rPr>
        <w:t>二、机构设置</w:t>
      </w:r>
    </w:p>
    <w:p w14:paraId="58378F53">
      <w:pPr>
        <w:pStyle w:val="11"/>
        <w:spacing w:line="470" w:lineRule="exact"/>
        <w:rPr>
          <w:rFonts w:hint="eastAsia" w:ascii="仿宋" w:hAnsi="仿宋" w:eastAsia="仿宋" w:cs="仿宋"/>
          <w:b w:val="0"/>
          <w:bCs/>
          <w:sz w:val="28"/>
          <w:szCs w:val="28"/>
          <w:highlight w:val="none"/>
        </w:rPr>
      </w:pPr>
      <w:r>
        <w:rPr>
          <w:rFonts w:hint="eastAsia" w:ascii="仿宋" w:hAnsi="仿宋" w:eastAsia="仿宋" w:cs="仿宋"/>
          <w:b w:val="0"/>
          <w:bCs/>
          <w:sz w:val="28"/>
          <w:szCs w:val="28"/>
          <w:highlight w:val="none"/>
        </w:rPr>
        <w:t>第二部分部门决算表</w:t>
      </w:r>
    </w:p>
    <w:p w14:paraId="1DAB6A57">
      <w:pPr>
        <w:pStyle w:val="11"/>
        <w:spacing w:line="470" w:lineRule="exact"/>
        <w:ind w:firstLine="700" w:firstLineChars="250"/>
        <w:rPr>
          <w:rFonts w:hint="eastAsia" w:ascii="仿宋" w:hAnsi="仿宋" w:eastAsia="仿宋" w:cs="仿宋"/>
          <w:sz w:val="28"/>
          <w:szCs w:val="28"/>
          <w:highlight w:val="none"/>
        </w:rPr>
      </w:pPr>
      <w:r>
        <w:rPr>
          <w:rFonts w:hint="eastAsia" w:ascii="仿宋" w:hAnsi="仿宋" w:eastAsia="仿宋" w:cs="仿宋"/>
          <w:sz w:val="28"/>
          <w:szCs w:val="28"/>
          <w:highlight w:val="none"/>
        </w:rPr>
        <w:t>一、收入支出决算总表</w:t>
      </w:r>
    </w:p>
    <w:p w14:paraId="29FF923E">
      <w:pPr>
        <w:pStyle w:val="11"/>
        <w:spacing w:line="470" w:lineRule="exact"/>
        <w:ind w:firstLine="700" w:firstLineChars="250"/>
        <w:rPr>
          <w:rFonts w:hint="eastAsia" w:ascii="仿宋" w:hAnsi="仿宋" w:eastAsia="仿宋" w:cs="仿宋"/>
          <w:sz w:val="28"/>
          <w:szCs w:val="28"/>
          <w:highlight w:val="none"/>
        </w:rPr>
      </w:pPr>
      <w:r>
        <w:rPr>
          <w:rFonts w:hint="eastAsia" w:ascii="仿宋" w:hAnsi="仿宋" w:eastAsia="仿宋" w:cs="仿宋"/>
          <w:sz w:val="28"/>
          <w:szCs w:val="28"/>
          <w:highlight w:val="none"/>
        </w:rPr>
        <w:t>二、收入决算表</w:t>
      </w:r>
    </w:p>
    <w:p w14:paraId="27CE1ED2">
      <w:pPr>
        <w:pStyle w:val="11"/>
        <w:spacing w:line="470" w:lineRule="exact"/>
        <w:ind w:firstLine="700" w:firstLineChars="250"/>
        <w:rPr>
          <w:rFonts w:hint="eastAsia" w:ascii="仿宋" w:hAnsi="仿宋" w:eastAsia="仿宋" w:cs="仿宋"/>
          <w:sz w:val="28"/>
          <w:szCs w:val="28"/>
          <w:highlight w:val="none"/>
        </w:rPr>
      </w:pPr>
      <w:r>
        <w:rPr>
          <w:rFonts w:hint="eastAsia" w:ascii="仿宋" w:hAnsi="仿宋" w:eastAsia="仿宋" w:cs="仿宋"/>
          <w:sz w:val="28"/>
          <w:szCs w:val="28"/>
          <w:highlight w:val="none"/>
        </w:rPr>
        <w:t>三、支出决算表</w:t>
      </w:r>
    </w:p>
    <w:p w14:paraId="5A357EE3">
      <w:pPr>
        <w:pStyle w:val="11"/>
        <w:spacing w:line="470" w:lineRule="exact"/>
        <w:ind w:firstLine="700" w:firstLineChars="250"/>
        <w:rPr>
          <w:rFonts w:hint="eastAsia" w:ascii="仿宋" w:hAnsi="仿宋" w:eastAsia="仿宋" w:cs="仿宋"/>
          <w:sz w:val="28"/>
          <w:szCs w:val="28"/>
          <w:highlight w:val="none"/>
        </w:rPr>
      </w:pPr>
      <w:r>
        <w:rPr>
          <w:rFonts w:hint="eastAsia" w:ascii="仿宋" w:hAnsi="仿宋" w:eastAsia="仿宋" w:cs="仿宋"/>
          <w:sz w:val="28"/>
          <w:szCs w:val="28"/>
          <w:highlight w:val="none"/>
        </w:rPr>
        <w:t>四、财政拨款收入支出决算总表</w:t>
      </w:r>
    </w:p>
    <w:p w14:paraId="133093E3">
      <w:pPr>
        <w:pStyle w:val="11"/>
        <w:spacing w:line="470" w:lineRule="exact"/>
        <w:ind w:firstLine="700" w:firstLineChars="250"/>
        <w:rPr>
          <w:rFonts w:hint="eastAsia" w:ascii="仿宋" w:hAnsi="仿宋" w:eastAsia="仿宋" w:cs="仿宋"/>
          <w:sz w:val="28"/>
          <w:szCs w:val="28"/>
          <w:highlight w:val="none"/>
        </w:rPr>
      </w:pPr>
      <w:r>
        <w:rPr>
          <w:rFonts w:hint="eastAsia" w:ascii="仿宋" w:hAnsi="仿宋" w:eastAsia="仿宋" w:cs="仿宋"/>
          <w:sz w:val="28"/>
          <w:szCs w:val="28"/>
          <w:highlight w:val="none"/>
        </w:rPr>
        <w:t>五、一般公共预算财政拨款支出决算表</w:t>
      </w:r>
    </w:p>
    <w:p w14:paraId="29796817">
      <w:pPr>
        <w:pStyle w:val="11"/>
        <w:spacing w:line="470" w:lineRule="exact"/>
        <w:ind w:firstLine="700" w:firstLineChars="250"/>
        <w:rPr>
          <w:rFonts w:hint="eastAsia" w:ascii="仿宋" w:hAnsi="仿宋" w:eastAsia="仿宋" w:cs="仿宋"/>
          <w:sz w:val="28"/>
          <w:szCs w:val="28"/>
          <w:highlight w:val="none"/>
        </w:rPr>
      </w:pPr>
      <w:r>
        <w:rPr>
          <w:rFonts w:hint="eastAsia" w:ascii="仿宋" w:hAnsi="仿宋" w:eastAsia="仿宋" w:cs="仿宋"/>
          <w:sz w:val="28"/>
          <w:szCs w:val="28"/>
          <w:highlight w:val="none"/>
        </w:rPr>
        <w:t>六、一般公共预算财政拨款基本支出决算明细表</w:t>
      </w:r>
    </w:p>
    <w:p w14:paraId="1EA08339">
      <w:pPr>
        <w:pStyle w:val="11"/>
        <w:spacing w:line="470" w:lineRule="exact"/>
        <w:ind w:firstLine="700" w:firstLineChars="250"/>
        <w:rPr>
          <w:rFonts w:hint="eastAsia" w:ascii="仿宋" w:hAnsi="仿宋" w:eastAsia="仿宋" w:cs="仿宋"/>
          <w:sz w:val="28"/>
          <w:szCs w:val="28"/>
          <w:highlight w:val="none"/>
        </w:rPr>
      </w:pPr>
      <w:r>
        <w:rPr>
          <w:rFonts w:hint="eastAsia" w:ascii="仿宋" w:hAnsi="仿宋" w:eastAsia="仿宋" w:cs="仿宋"/>
          <w:sz w:val="28"/>
          <w:szCs w:val="28"/>
          <w:highlight w:val="none"/>
        </w:rPr>
        <w:t>七、政府性基金预算财政拨款收入支出决算表</w:t>
      </w:r>
    </w:p>
    <w:p w14:paraId="33B520FB">
      <w:pPr>
        <w:pStyle w:val="11"/>
        <w:spacing w:line="470" w:lineRule="exact"/>
        <w:ind w:firstLine="700" w:firstLineChars="250"/>
        <w:rPr>
          <w:rFonts w:hint="eastAsia" w:ascii="仿宋" w:hAnsi="仿宋" w:eastAsia="仿宋" w:cs="仿宋"/>
          <w:sz w:val="28"/>
          <w:szCs w:val="28"/>
          <w:highlight w:val="none"/>
        </w:rPr>
      </w:pPr>
      <w:r>
        <w:rPr>
          <w:rFonts w:hint="eastAsia" w:ascii="仿宋" w:hAnsi="仿宋" w:eastAsia="仿宋" w:cs="仿宋"/>
          <w:sz w:val="28"/>
          <w:szCs w:val="28"/>
          <w:highlight w:val="none"/>
        </w:rPr>
        <w:t>八、国有资本经营预算财政拨款支出决算表</w:t>
      </w:r>
    </w:p>
    <w:p w14:paraId="4F17F9F9">
      <w:pPr>
        <w:pStyle w:val="11"/>
        <w:spacing w:line="470" w:lineRule="exact"/>
        <w:ind w:firstLine="700" w:firstLineChars="250"/>
        <w:rPr>
          <w:rFonts w:hint="eastAsia" w:ascii="仿宋" w:hAnsi="仿宋" w:eastAsia="仿宋" w:cs="仿宋"/>
          <w:sz w:val="28"/>
          <w:szCs w:val="28"/>
          <w:highlight w:val="none"/>
        </w:rPr>
      </w:pPr>
      <w:r>
        <w:rPr>
          <w:rFonts w:hint="eastAsia" w:ascii="仿宋" w:hAnsi="仿宋" w:eastAsia="仿宋" w:cs="仿宋"/>
          <w:sz w:val="28"/>
          <w:szCs w:val="28"/>
          <w:highlight w:val="none"/>
        </w:rPr>
        <w:t>九、财政拨款“三公”经费支出决算表</w:t>
      </w:r>
    </w:p>
    <w:p w14:paraId="3D14B3DE">
      <w:pPr>
        <w:pStyle w:val="11"/>
        <w:spacing w:line="470" w:lineRule="exact"/>
        <w:rPr>
          <w:rFonts w:hint="eastAsia" w:ascii="仿宋" w:hAnsi="仿宋" w:eastAsia="仿宋" w:cs="仿宋"/>
          <w:b w:val="0"/>
          <w:bCs/>
          <w:sz w:val="28"/>
          <w:szCs w:val="28"/>
          <w:highlight w:val="none"/>
        </w:rPr>
      </w:pPr>
      <w:r>
        <w:rPr>
          <w:rFonts w:hint="eastAsia" w:ascii="仿宋" w:hAnsi="仿宋" w:eastAsia="仿宋" w:cs="仿宋"/>
          <w:b w:val="0"/>
          <w:bCs/>
          <w:sz w:val="28"/>
          <w:szCs w:val="28"/>
          <w:highlight w:val="none"/>
        </w:rPr>
        <w:t>第三部分部门决算情况说明</w:t>
      </w:r>
    </w:p>
    <w:p w14:paraId="25733C67">
      <w:pPr>
        <w:pStyle w:val="11"/>
        <w:spacing w:line="470" w:lineRule="exact"/>
        <w:ind w:firstLine="700" w:firstLineChars="250"/>
        <w:rPr>
          <w:rFonts w:hint="eastAsia" w:ascii="仿宋" w:hAnsi="仿宋" w:eastAsia="仿宋" w:cs="仿宋"/>
          <w:sz w:val="28"/>
          <w:szCs w:val="28"/>
          <w:highlight w:val="none"/>
        </w:rPr>
      </w:pPr>
      <w:r>
        <w:rPr>
          <w:rFonts w:hint="eastAsia" w:ascii="仿宋" w:hAnsi="仿宋" w:eastAsia="仿宋" w:cs="仿宋"/>
          <w:sz w:val="28"/>
          <w:szCs w:val="28"/>
          <w:highlight w:val="none"/>
        </w:rPr>
        <w:t>一、收入支出决算总体情况说明</w:t>
      </w:r>
    </w:p>
    <w:p w14:paraId="0D62AA02">
      <w:pPr>
        <w:spacing w:line="470" w:lineRule="exact"/>
        <w:ind w:firstLine="700" w:firstLineChars="25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二、收入决算情况说明</w:t>
      </w:r>
    </w:p>
    <w:p w14:paraId="1BE4D202">
      <w:pPr>
        <w:autoSpaceDE w:val="0"/>
        <w:autoSpaceDN w:val="0"/>
        <w:adjustRightInd w:val="0"/>
        <w:spacing w:line="470" w:lineRule="exact"/>
        <w:ind w:firstLine="700" w:firstLineChars="250"/>
        <w:jc w:val="left"/>
        <w:rPr>
          <w:rFonts w:hint="eastAsia"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三、支出决算情况说明</w:t>
      </w:r>
    </w:p>
    <w:p w14:paraId="28CC4E25">
      <w:pPr>
        <w:autoSpaceDE w:val="0"/>
        <w:autoSpaceDN w:val="0"/>
        <w:adjustRightInd w:val="0"/>
        <w:spacing w:line="470" w:lineRule="exact"/>
        <w:ind w:firstLine="700" w:firstLineChars="250"/>
        <w:jc w:val="left"/>
        <w:rPr>
          <w:rFonts w:hint="eastAsia"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四、财政拨款收入支出决算总体情况说明</w:t>
      </w:r>
    </w:p>
    <w:p w14:paraId="672513B4">
      <w:pPr>
        <w:autoSpaceDE w:val="0"/>
        <w:autoSpaceDN w:val="0"/>
        <w:adjustRightInd w:val="0"/>
        <w:spacing w:line="470" w:lineRule="exact"/>
        <w:ind w:firstLine="700" w:firstLineChars="250"/>
        <w:jc w:val="left"/>
        <w:rPr>
          <w:rFonts w:hint="eastAsia"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五、一般公共预算财政拨款支出决算情况说明</w:t>
      </w:r>
    </w:p>
    <w:p w14:paraId="06E5E1DA">
      <w:pPr>
        <w:autoSpaceDE w:val="0"/>
        <w:autoSpaceDN w:val="0"/>
        <w:adjustRightInd w:val="0"/>
        <w:spacing w:line="470" w:lineRule="exact"/>
        <w:ind w:firstLine="700" w:firstLineChars="250"/>
        <w:jc w:val="left"/>
        <w:rPr>
          <w:rFonts w:hint="eastAsia"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六、一般公共预算财政拨款基本支出决算情况说明</w:t>
      </w:r>
    </w:p>
    <w:p w14:paraId="43A63CF6">
      <w:pPr>
        <w:autoSpaceDE w:val="0"/>
        <w:autoSpaceDN w:val="0"/>
        <w:adjustRightInd w:val="0"/>
        <w:spacing w:line="470" w:lineRule="exact"/>
        <w:ind w:firstLine="700" w:firstLineChars="250"/>
        <w:jc w:val="left"/>
        <w:rPr>
          <w:rFonts w:hint="eastAsia"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七、一般公共预算财政拨款三公经费支出决算情况说明</w:t>
      </w:r>
    </w:p>
    <w:p w14:paraId="382400AD">
      <w:pPr>
        <w:autoSpaceDE w:val="0"/>
        <w:autoSpaceDN w:val="0"/>
        <w:adjustRightInd w:val="0"/>
        <w:spacing w:line="470" w:lineRule="exact"/>
        <w:ind w:firstLine="700" w:firstLineChars="250"/>
        <w:jc w:val="left"/>
        <w:rPr>
          <w:rFonts w:hint="eastAsia" w:ascii="仿宋" w:hAnsi="仿宋" w:eastAsia="仿宋" w:cs="仿宋"/>
          <w:color w:val="000000"/>
          <w:kern w:val="0"/>
          <w:sz w:val="28"/>
          <w:szCs w:val="28"/>
          <w:highlight w:val="none"/>
          <w:lang w:val="en-US" w:eastAsia="zh-CN"/>
        </w:rPr>
      </w:pPr>
      <w:r>
        <w:rPr>
          <w:rFonts w:hint="eastAsia" w:ascii="仿宋" w:hAnsi="仿宋" w:eastAsia="仿宋" w:cs="仿宋"/>
          <w:color w:val="000000"/>
          <w:kern w:val="0"/>
          <w:sz w:val="28"/>
          <w:szCs w:val="28"/>
          <w:highlight w:val="none"/>
        </w:rPr>
        <w:t>八、政府性基金预算收入支出决算情况</w:t>
      </w:r>
      <w:r>
        <w:rPr>
          <w:rFonts w:hint="eastAsia" w:ascii="仿宋" w:hAnsi="仿宋" w:eastAsia="仿宋" w:cs="仿宋"/>
          <w:color w:val="000000"/>
          <w:kern w:val="0"/>
          <w:sz w:val="28"/>
          <w:szCs w:val="28"/>
          <w:highlight w:val="none"/>
          <w:lang w:val="en-US" w:eastAsia="zh-CN"/>
        </w:rPr>
        <w:t>说明</w:t>
      </w:r>
    </w:p>
    <w:p w14:paraId="0FB06E26">
      <w:pPr>
        <w:autoSpaceDE w:val="0"/>
        <w:autoSpaceDN w:val="0"/>
        <w:adjustRightInd w:val="0"/>
        <w:spacing w:line="470" w:lineRule="exact"/>
        <w:ind w:firstLine="700" w:firstLineChars="250"/>
        <w:jc w:val="left"/>
        <w:rPr>
          <w:rFonts w:hint="eastAsia"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九、国有资本经营预算财政拨款支出决算情况</w:t>
      </w:r>
    </w:p>
    <w:p w14:paraId="796ECE99">
      <w:pPr>
        <w:autoSpaceDE w:val="0"/>
        <w:autoSpaceDN w:val="0"/>
        <w:adjustRightInd w:val="0"/>
        <w:spacing w:line="470" w:lineRule="exact"/>
        <w:ind w:firstLine="700" w:firstLineChars="250"/>
        <w:jc w:val="left"/>
        <w:rPr>
          <w:rFonts w:hint="eastAsia"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lang w:val="en-US" w:eastAsia="zh-CN"/>
        </w:rPr>
        <w:t>十</w:t>
      </w:r>
      <w:r>
        <w:rPr>
          <w:rFonts w:hint="eastAsia" w:ascii="仿宋" w:hAnsi="仿宋" w:eastAsia="仿宋" w:cs="仿宋"/>
          <w:color w:val="000000"/>
          <w:kern w:val="0"/>
          <w:sz w:val="28"/>
          <w:szCs w:val="28"/>
          <w:highlight w:val="none"/>
        </w:rPr>
        <w:t>、关于机关运行经费支出说明</w:t>
      </w:r>
    </w:p>
    <w:p w14:paraId="65BF25C0">
      <w:pPr>
        <w:autoSpaceDE w:val="0"/>
        <w:autoSpaceDN w:val="0"/>
        <w:adjustRightInd w:val="0"/>
        <w:spacing w:line="470" w:lineRule="exact"/>
        <w:ind w:firstLine="700" w:firstLineChars="250"/>
        <w:jc w:val="left"/>
        <w:rPr>
          <w:rFonts w:hint="eastAsia"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十</w:t>
      </w:r>
      <w:r>
        <w:rPr>
          <w:rFonts w:hint="eastAsia" w:ascii="仿宋" w:hAnsi="仿宋" w:eastAsia="仿宋" w:cs="仿宋"/>
          <w:color w:val="000000"/>
          <w:kern w:val="0"/>
          <w:sz w:val="28"/>
          <w:szCs w:val="28"/>
          <w:highlight w:val="none"/>
          <w:lang w:val="en-US" w:eastAsia="zh-CN"/>
        </w:rPr>
        <w:t>一</w:t>
      </w:r>
      <w:r>
        <w:rPr>
          <w:rFonts w:hint="eastAsia" w:ascii="仿宋" w:hAnsi="仿宋" w:eastAsia="仿宋" w:cs="仿宋"/>
          <w:color w:val="000000"/>
          <w:kern w:val="0"/>
          <w:sz w:val="28"/>
          <w:szCs w:val="28"/>
          <w:highlight w:val="none"/>
        </w:rPr>
        <w:t>、一般性支出情况说明</w:t>
      </w:r>
    </w:p>
    <w:p w14:paraId="1D9558C2">
      <w:pPr>
        <w:autoSpaceDE w:val="0"/>
        <w:autoSpaceDN w:val="0"/>
        <w:adjustRightInd w:val="0"/>
        <w:spacing w:line="470" w:lineRule="exact"/>
        <w:ind w:firstLine="700" w:firstLineChars="250"/>
        <w:jc w:val="left"/>
        <w:rPr>
          <w:rFonts w:hint="eastAsia"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十</w:t>
      </w:r>
      <w:r>
        <w:rPr>
          <w:rFonts w:hint="eastAsia" w:ascii="仿宋" w:hAnsi="仿宋" w:eastAsia="仿宋" w:cs="仿宋"/>
          <w:color w:val="000000"/>
          <w:kern w:val="0"/>
          <w:sz w:val="28"/>
          <w:szCs w:val="28"/>
          <w:highlight w:val="none"/>
          <w:lang w:val="en-US" w:eastAsia="zh-CN"/>
        </w:rPr>
        <w:t>二</w:t>
      </w:r>
      <w:r>
        <w:rPr>
          <w:rFonts w:hint="eastAsia" w:ascii="仿宋" w:hAnsi="仿宋" w:eastAsia="仿宋" w:cs="仿宋"/>
          <w:color w:val="000000"/>
          <w:kern w:val="0"/>
          <w:sz w:val="28"/>
          <w:szCs w:val="28"/>
          <w:highlight w:val="none"/>
        </w:rPr>
        <w:t>、关于政府采购支出说明</w:t>
      </w:r>
    </w:p>
    <w:p w14:paraId="6140D267">
      <w:pPr>
        <w:pStyle w:val="11"/>
        <w:spacing w:line="470" w:lineRule="exact"/>
        <w:ind w:firstLine="700" w:firstLineChars="250"/>
        <w:rPr>
          <w:rFonts w:hint="eastAsia" w:ascii="仿宋" w:hAnsi="仿宋" w:eastAsia="仿宋" w:cs="仿宋"/>
          <w:sz w:val="28"/>
          <w:szCs w:val="28"/>
          <w:highlight w:val="none"/>
        </w:rPr>
      </w:pPr>
      <w:r>
        <w:rPr>
          <w:rFonts w:hint="eastAsia" w:ascii="仿宋" w:hAnsi="仿宋" w:eastAsia="仿宋" w:cs="仿宋"/>
          <w:sz w:val="28"/>
          <w:szCs w:val="28"/>
          <w:highlight w:val="none"/>
        </w:rPr>
        <w:t>十</w:t>
      </w:r>
      <w:r>
        <w:rPr>
          <w:rFonts w:hint="eastAsia" w:ascii="仿宋" w:hAnsi="仿宋" w:eastAsia="仿宋" w:cs="仿宋"/>
          <w:sz w:val="28"/>
          <w:szCs w:val="28"/>
          <w:highlight w:val="none"/>
          <w:lang w:val="en-US" w:eastAsia="zh-CN"/>
        </w:rPr>
        <w:t>三</w:t>
      </w:r>
      <w:r>
        <w:rPr>
          <w:rFonts w:hint="eastAsia" w:ascii="仿宋" w:hAnsi="仿宋" w:eastAsia="仿宋" w:cs="仿宋"/>
          <w:sz w:val="28"/>
          <w:szCs w:val="28"/>
          <w:highlight w:val="none"/>
        </w:rPr>
        <w:t>、关于国有资产占用情况说明</w:t>
      </w:r>
    </w:p>
    <w:p w14:paraId="47BF7410">
      <w:pPr>
        <w:pStyle w:val="11"/>
        <w:spacing w:line="470" w:lineRule="exact"/>
        <w:ind w:firstLine="700" w:firstLineChars="250"/>
        <w:rPr>
          <w:rFonts w:hint="eastAsia" w:ascii="仿宋" w:hAnsi="仿宋" w:eastAsia="仿宋" w:cs="仿宋"/>
          <w:sz w:val="28"/>
          <w:szCs w:val="28"/>
          <w:highlight w:val="none"/>
        </w:rPr>
      </w:pPr>
      <w:r>
        <w:rPr>
          <w:rFonts w:hint="eastAsia" w:ascii="仿宋" w:hAnsi="仿宋" w:eastAsia="仿宋" w:cs="仿宋"/>
          <w:sz w:val="28"/>
          <w:szCs w:val="28"/>
          <w:highlight w:val="none"/>
        </w:rPr>
        <w:t>十</w:t>
      </w:r>
      <w:r>
        <w:rPr>
          <w:rFonts w:hint="eastAsia" w:ascii="仿宋" w:hAnsi="仿宋" w:eastAsia="仿宋" w:cs="仿宋"/>
          <w:sz w:val="28"/>
          <w:szCs w:val="28"/>
          <w:highlight w:val="none"/>
          <w:lang w:val="en-US" w:eastAsia="zh-CN"/>
        </w:rPr>
        <w:t>四</w:t>
      </w:r>
      <w:r>
        <w:rPr>
          <w:rFonts w:hint="eastAsia" w:ascii="仿宋" w:hAnsi="仿宋" w:eastAsia="仿宋" w:cs="仿宋"/>
          <w:sz w:val="28"/>
          <w:szCs w:val="28"/>
          <w:highlight w:val="none"/>
        </w:rPr>
        <w:t>、关于预算绩效情况的说明</w:t>
      </w:r>
    </w:p>
    <w:p w14:paraId="73508257">
      <w:pPr>
        <w:pStyle w:val="11"/>
        <w:spacing w:line="470" w:lineRule="exact"/>
        <w:rPr>
          <w:rFonts w:hint="eastAsia" w:ascii="仿宋" w:hAnsi="仿宋" w:eastAsia="仿宋" w:cs="仿宋"/>
          <w:b w:val="0"/>
          <w:bCs/>
          <w:sz w:val="28"/>
          <w:szCs w:val="28"/>
          <w:highlight w:val="none"/>
        </w:rPr>
      </w:pPr>
      <w:r>
        <w:rPr>
          <w:rFonts w:hint="eastAsia" w:ascii="仿宋" w:hAnsi="仿宋" w:eastAsia="仿宋" w:cs="仿宋"/>
          <w:b w:val="0"/>
          <w:bCs/>
          <w:sz w:val="28"/>
          <w:szCs w:val="28"/>
          <w:highlight w:val="none"/>
        </w:rPr>
        <w:t>第四部分名词解释</w:t>
      </w:r>
    </w:p>
    <w:p w14:paraId="4E22456C">
      <w:pPr>
        <w:pStyle w:val="11"/>
        <w:spacing w:line="470" w:lineRule="exact"/>
        <w:rPr>
          <w:rFonts w:ascii="黑体" w:eastAsia="黑体" w:cs="黑体"/>
          <w:b w:val="0"/>
          <w:bCs/>
          <w:sz w:val="28"/>
          <w:szCs w:val="28"/>
          <w:highlight w:val="none"/>
          <w:lang w:val="en-US" w:eastAsia="zh-CN"/>
        </w:rPr>
      </w:pPr>
      <w:r>
        <w:rPr>
          <w:rFonts w:hint="eastAsia" w:ascii="仿宋" w:hAnsi="仿宋" w:eastAsia="仿宋" w:cs="仿宋"/>
          <w:b w:val="0"/>
          <w:bCs/>
          <w:sz w:val="28"/>
          <w:szCs w:val="28"/>
          <w:highlight w:val="none"/>
          <w:lang w:val="en-US" w:eastAsia="zh-CN"/>
        </w:rPr>
        <w:t>第五部分附件</w:t>
      </w:r>
    </w:p>
    <w:p w14:paraId="10E8553E">
      <w:pPr>
        <w:rPr>
          <w:rFonts w:hint="eastAsia" w:ascii="方正小标宋_GBK" w:eastAsia="方正小标宋_GBK" w:cs="方正小标宋_GBK"/>
          <w:sz w:val="72"/>
          <w:szCs w:val="72"/>
          <w:highlight w:val="none"/>
        </w:rPr>
      </w:pPr>
    </w:p>
    <w:p w14:paraId="5C39F8E1">
      <w:pPr>
        <w:rPr>
          <w:rFonts w:hint="eastAsia" w:ascii="方正小标宋_GBK" w:eastAsia="方正小标宋_GBK" w:cs="方正小标宋_GBK"/>
          <w:sz w:val="72"/>
          <w:szCs w:val="72"/>
          <w:highlight w:val="none"/>
        </w:rPr>
      </w:pPr>
    </w:p>
    <w:p w14:paraId="5C08980A">
      <w:pPr>
        <w:rPr>
          <w:rFonts w:hint="eastAsia" w:ascii="方正小标宋_GBK" w:eastAsia="方正小标宋_GBK" w:cs="方正小标宋_GBK"/>
          <w:sz w:val="72"/>
          <w:szCs w:val="72"/>
          <w:highlight w:val="none"/>
        </w:rPr>
      </w:pPr>
    </w:p>
    <w:p w14:paraId="3B26A357">
      <w:pPr>
        <w:pStyle w:val="11"/>
        <w:jc w:val="center"/>
        <w:rPr>
          <w:rFonts w:hint="eastAsia" w:ascii="方正小标宋_GBK" w:eastAsia="方正小标宋_GBK" w:cs="方正小标宋_GBK"/>
          <w:sz w:val="84"/>
          <w:szCs w:val="84"/>
          <w:highlight w:val="none"/>
        </w:rPr>
      </w:pPr>
      <w:r>
        <w:rPr>
          <w:rFonts w:hint="eastAsia" w:ascii="方正小标宋_GBK" w:eastAsia="方正小标宋_GBK" w:cs="方正小标宋_GBK"/>
          <w:sz w:val="84"/>
          <w:szCs w:val="84"/>
          <w:highlight w:val="none"/>
        </w:rPr>
        <w:t xml:space="preserve">第一部分 </w:t>
      </w:r>
    </w:p>
    <w:p w14:paraId="61C5724B">
      <w:pPr>
        <w:pStyle w:val="11"/>
        <w:jc w:val="center"/>
        <w:rPr>
          <w:rFonts w:hint="eastAsia" w:ascii="方正小标宋_GBK" w:eastAsia="方正小标宋_GBK" w:cs="方正小标宋_GBK"/>
          <w:sz w:val="84"/>
          <w:szCs w:val="84"/>
          <w:highlight w:val="none"/>
        </w:rPr>
      </w:pPr>
    </w:p>
    <w:p w14:paraId="526DFA27">
      <w:pPr>
        <w:pStyle w:val="11"/>
        <w:jc w:val="center"/>
        <w:rPr>
          <w:rFonts w:hint="eastAsia" w:ascii="方正小标宋_GBK" w:eastAsia="方正小标宋_GBK" w:cs="方正小标宋_GBK"/>
          <w:sz w:val="84"/>
          <w:szCs w:val="84"/>
          <w:highlight w:val="none"/>
        </w:rPr>
      </w:pPr>
      <w:r>
        <w:rPr>
          <w:rFonts w:hint="eastAsia" w:ascii="方正小标宋_GBK" w:eastAsia="方正小标宋_GBK" w:cs="方正小标宋_GBK"/>
          <w:sz w:val="84"/>
          <w:szCs w:val="84"/>
          <w:highlight w:val="none"/>
        </w:rPr>
        <w:t>中共怀化市委政策研究室</w:t>
      </w:r>
    </w:p>
    <w:p w14:paraId="79641F49">
      <w:pPr>
        <w:pStyle w:val="11"/>
        <w:jc w:val="center"/>
        <w:rPr>
          <w:rFonts w:hint="eastAsia" w:ascii="方正小标宋_GBK" w:eastAsia="方正小标宋_GBK" w:cs="方正小标宋_GBK"/>
          <w:sz w:val="84"/>
          <w:szCs w:val="84"/>
          <w:highlight w:val="none"/>
        </w:rPr>
      </w:pPr>
      <w:r>
        <w:rPr>
          <w:rFonts w:hint="eastAsia" w:ascii="方正小标宋_GBK" w:eastAsia="方正小标宋_GBK" w:cs="方正小标宋_GBK"/>
          <w:sz w:val="84"/>
          <w:szCs w:val="84"/>
          <w:highlight w:val="none"/>
        </w:rPr>
        <w:t>单位概况</w:t>
      </w:r>
    </w:p>
    <w:p w14:paraId="66B10690">
      <w:pPr>
        <w:jc w:val="center"/>
        <w:rPr>
          <w:rFonts w:hint="eastAsia" w:ascii="方正小标宋_GBK" w:eastAsia="方正小标宋_GBK" w:cs="方正小标宋_GBK"/>
          <w:sz w:val="72"/>
          <w:szCs w:val="72"/>
          <w:highlight w:val="none"/>
        </w:rPr>
      </w:pPr>
    </w:p>
    <w:p w14:paraId="636054E2">
      <w:pPr>
        <w:jc w:val="center"/>
        <w:rPr>
          <w:rFonts w:hint="eastAsia" w:ascii="方正小标宋_GBK" w:eastAsia="方正小标宋_GBK" w:cs="方正小标宋_GBK"/>
          <w:sz w:val="72"/>
          <w:szCs w:val="72"/>
          <w:highlight w:val="none"/>
        </w:rPr>
      </w:pPr>
    </w:p>
    <w:p w14:paraId="60AFAE8F">
      <w:pPr>
        <w:jc w:val="center"/>
        <w:rPr>
          <w:rFonts w:hint="eastAsia" w:ascii="方正小标宋_GBK" w:eastAsia="方正小标宋_GBK" w:cs="方正小标宋_GBK"/>
          <w:sz w:val="72"/>
          <w:szCs w:val="72"/>
          <w:highlight w:val="none"/>
        </w:rPr>
      </w:pPr>
    </w:p>
    <w:p w14:paraId="0B51DD56">
      <w:pPr>
        <w:jc w:val="both"/>
        <w:rPr>
          <w:rFonts w:hint="eastAsia" w:ascii="方正小标宋_GBK" w:eastAsia="方正小标宋_GBK" w:cs="方正小标宋_GBK"/>
          <w:sz w:val="72"/>
          <w:szCs w:val="72"/>
          <w:highlight w:val="none"/>
        </w:rPr>
      </w:pPr>
    </w:p>
    <w:p w14:paraId="6A7C0267">
      <w:pPr>
        <w:pStyle w:val="12"/>
        <w:numPr>
          <w:ilvl w:val="0"/>
          <w:numId w:val="0"/>
        </w:numPr>
        <w:ind w:firstLine="640" w:firstLineChars="200"/>
        <w:jc w:val="left"/>
        <w:rPr>
          <w:rFonts w:hint="eastAsia" w:ascii="黑体" w:eastAsia="黑体" w:cs="黑体"/>
          <w:b w:val="0"/>
          <w:bCs w:val="0"/>
          <w:sz w:val="32"/>
          <w:szCs w:val="32"/>
          <w:highlight w:val="none"/>
        </w:rPr>
      </w:pPr>
      <w:r>
        <w:rPr>
          <w:rFonts w:hint="default" w:ascii="黑体" w:hAnsi="Calibri" w:eastAsia="黑体" w:cs="黑体"/>
          <w:b w:val="0"/>
          <w:bCs w:val="0"/>
          <w:kern w:val="2"/>
          <w:sz w:val="32"/>
          <w:szCs w:val="32"/>
          <w:highlight w:val="none"/>
          <w:lang w:val="en-US" w:eastAsia="zh-CN" w:bidi="ar-SA"/>
        </w:rPr>
        <w:t>一、</w:t>
      </w:r>
      <w:r>
        <w:rPr>
          <w:rFonts w:hint="eastAsia" w:ascii="黑体" w:eastAsia="黑体" w:cs="黑体"/>
          <w:b w:val="0"/>
          <w:bCs w:val="0"/>
          <w:sz w:val="32"/>
          <w:szCs w:val="32"/>
          <w:highlight w:val="none"/>
        </w:rPr>
        <w:t>部门职责</w:t>
      </w:r>
    </w:p>
    <w:p w14:paraId="21BD1A98">
      <w:pPr>
        <w:widowControl/>
        <w:spacing w:line="600" w:lineRule="exact"/>
        <w:ind w:firstLine="640" w:firstLineChars="200"/>
        <w:rPr>
          <w:rFonts w:hint="eastAsia" w:ascii="Times New Roman" w:hAnsi="Times New Roman" w:eastAsia="仿宋_GB2312" w:cs="仿宋_GB2312"/>
          <w:bCs/>
          <w:kern w:val="0"/>
          <w:sz w:val="32"/>
          <w:szCs w:val="32"/>
          <w:highlight w:val="none"/>
          <w:lang w:eastAsia="zh-CN"/>
        </w:rPr>
      </w:pPr>
      <w:r>
        <w:rPr>
          <w:rFonts w:hint="eastAsia" w:ascii="Times New Roman" w:hAnsi="Times New Roman" w:eastAsia="仿宋_GB2312" w:cs="仿宋_GB2312"/>
          <w:bCs/>
          <w:kern w:val="0"/>
          <w:sz w:val="32"/>
          <w:szCs w:val="32"/>
          <w:highlight w:val="none"/>
          <w:lang w:val="en-US" w:eastAsia="zh-CN"/>
        </w:rPr>
        <w:t>（一）</w:t>
      </w:r>
      <w:r>
        <w:rPr>
          <w:rFonts w:hint="eastAsia" w:ascii="Times New Roman" w:hAnsi="Times New Roman" w:eastAsia="仿宋_GB2312" w:cs="仿宋_GB2312"/>
          <w:bCs/>
          <w:kern w:val="0"/>
          <w:sz w:val="32"/>
          <w:szCs w:val="32"/>
          <w:highlight w:val="none"/>
          <w:lang w:eastAsia="zh-CN"/>
        </w:rPr>
        <w:t>围绕贯彻落实党的路线方针政策，起草、参与起草和修改市委领导同志的报告、讲话和其他文稿；起草、参与起草修改市委的重要文稿。</w:t>
      </w:r>
    </w:p>
    <w:p w14:paraId="6345823F">
      <w:pPr>
        <w:widowControl/>
        <w:spacing w:line="600" w:lineRule="exact"/>
        <w:ind w:firstLine="640" w:firstLineChars="200"/>
        <w:rPr>
          <w:rFonts w:hint="eastAsia" w:ascii="Times New Roman" w:hAnsi="Times New Roman" w:eastAsia="仿宋_GB2312" w:cs="仿宋_GB2312"/>
          <w:bCs/>
          <w:kern w:val="0"/>
          <w:sz w:val="32"/>
          <w:szCs w:val="32"/>
          <w:highlight w:val="none"/>
          <w:lang w:eastAsia="zh-CN"/>
        </w:rPr>
      </w:pPr>
      <w:r>
        <w:rPr>
          <w:rFonts w:hint="eastAsia" w:ascii="Times New Roman" w:hAnsi="Times New Roman" w:eastAsia="仿宋_GB2312" w:cs="仿宋_GB2312"/>
          <w:bCs/>
          <w:kern w:val="0"/>
          <w:sz w:val="32"/>
          <w:szCs w:val="32"/>
          <w:highlight w:val="none"/>
          <w:lang w:val="en-US" w:eastAsia="zh-CN"/>
        </w:rPr>
        <w:t>（二）</w:t>
      </w:r>
      <w:r>
        <w:rPr>
          <w:rFonts w:hint="eastAsia" w:ascii="Times New Roman" w:hAnsi="Times New Roman" w:eastAsia="仿宋_GB2312" w:cs="仿宋_GB2312"/>
          <w:bCs/>
          <w:kern w:val="0"/>
          <w:sz w:val="32"/>
          <w:szCs w:val="32"/>
          <w:highlight w:val="none"/>
          <w:lang w:eastAsia="zh-CN"/>
        </w:rPr>
        <w:t>围绕“五位一体”总体布局、“四个全面”战略布局开展重大课题调研，提出意见和建议，供市委参考，并进行决策后的跟踪调查，为促进政策落实和完善决策服务。</w:t>
      </w:r>
    </w:p>
    <w:p w14:paraId="7A59061A">
      <w:pPr>
        <w:widowControl/>
        <w:spacing w:line="600" w:lineRule="exact"/>
        <w:ind w:firstLine="640" w:firstLineChars="200"/>
        <w:rPr>
          <w:rFonts w:hint="eastAsia" w:ascii="Times New Roman" w:hAnsi="Times New Roman" w:eastAsia="仿宋_GB2312" w:cs="仿宋_GB2312"/>
          <w:bCs/>
          <w:kern w:val="0"/>
          <w:sz w:val="32"/>
          <w:szCs w:val="32"/>
          <w:highlight w:val="none"/>
          <w:lang w:eastAsia="zh-CN"/>
        </w:rPr>
      </w:pPr>
      <w:r>
        <w:rPr>
          <w:rFonts w:hint="eastAsia" w:ascii="Times New Roman" w:hAnsi="Times New Roman" w:eastAsia="仿宋_GB2312" w:cs="仿宋_GB2312"/>
          <w:bCs/>
          <w:kern w:val="0"/>
          <w:sz w:val="32"/>
          <w:szCs w:val="32"/>
          <w:highlight w:val="none"/>
          <w:lang w:val="en-US" w:eastAsia="zh-CN"/>
        </w:rPr>
        <w:t>（三）</w:t>
      </w:r>
      <w:r>
        <w:rPr>
          <w:rFonts w:hint="eastAsia" w:ascii="Times New Roman" w:hAnsi="Times New Roman" w:eastAsia="仿宋_GB2312" w:cs="仿宋_GB2312"/>
          <w:bCs/>
          <w:kern w:val="0"/>
          <w:sz w:val="32"/>
          <w:szCs w:val="32"/>
          <w:highlight w:val="none"/>
          <w:lang w:eastAsia="zh-CN"/>
        </w:rPr>
        <w:t>收集整理国内外、省内外、市内外重要信息资料，对经济、政治、社会、文化、生态文明等方面的重要问题进行分析和预测，及时将有关资料和研究结果提供给市委领导参阅。</w:t>
      </w:r>
    </w:p>
    <w:p w14:paraId="685E8E9A">
      <w:pPr>
        <w:widowControl/>
        <w:spacing w:line="600" w:lineRule="exact"/>
        <w:ind w:firstLine="640" w:firstLineChars="200"/>
        <w:rPr>
          <w:rFonts w:hint="eastAsia" w:ascii="Times New Roman" w:hAnsi="Times New Roman" w:eastAsia="仿宋_GB2312" w:cs="仿宋_GB2312"/>
          <w:bCs/>
          <w:kern w:val="0"/>
          <w:sz w:val="32"/>
          <w:szCs w:val="32"/>
          <w:highlight w:val="none"/>
          <w:lang w:eastAsia="zh-CN"/>
        </w:rPr>
      </w:pPr>
      <w:r>
        <w:rPr>
          <w:rFonts w:hint="eastAsia" w:ascii="Times New Roman" w:hAnsi="Times New Roman" w:eastAsia="仿宋_GB2312" w:cs="仿宋_GB2312"/>
          <w:bCs/>
          <w:kern w:val="0"/>
          <w:sz w:val="32"/>
          <w:szCs w:val="32"/>
          <w:highlight w:val="none"/>
          <w:lang w:val="en-US" w:eastAsia="zh-CN"/>
        </w:rPr>
        <w:t>（四）</w:t>
      </w:r>
      <w:r>
        <w:rPr>
          <w:rFonts w:hint="eastAsia" w:ascii="Times New Roman" w:hAnsi="Times New Roman" w:eastAsia="仿宋_GB2312" w:cs="仿宋_GB2312"/>
          <w:bCs/>
          <w:kern w:val="0"/>
          <w:sz w:val="32"/>
          <w:szCs w:val="32"/>
          <w:highlight w:val="none"/>
          <w:lang w:eastAsia="zh-CN"/>
        </w:rPr>
        <w:t>围绕市委中心工作做好有关调查研究的组织、协调和联络工作；协助市委做好对民主党派、工商联调查研究的协调联络工作。</w:t>
      </w:r>
    </w:p>
    <w:p w14:paraId="7A863405">
      <w:pPr>
        <w:widowControl/>
        <w:spacing w:line="600" w:lineRule="exact"/>
        <w:ind w:firstLine="640" w:firstLineChars="200"/>
        <w:rPr>
          <w:rFonts w:hint="eastAsia" w:ascii="Times New Roman" w:hAnsi="Times New Roman" w:eastAsia="仿宋_GB2312" w:cs="仿宋_GB2312"/>
          <w:bCs/>
          <w:kern w:val="0"/>
          <w:sz w:val="32"/>
          <w:szCs w:val="32"/>
          <w:highlight w:val="none"/>
          <w:lang w:eastAsia="zh-CN"/>
        </w:rPr>
      </w:pPr>
      <w:r>
        <w:rPr>
          <w:rFonts w:hint="eastAsia" w:ascii="Times New Roman" w:hAnsi="Times New Roman" w:eastAsia="仿宋_GB2312" w:cs="仿宋_GB2312"/>
          <w:bCs/>
          <w:kern w:val="0"/>
          <w:sz w:val="32"/>
          <w:szCs w:val="32"/>
          <w:highlight w:val="none"/>
          <w:lang w:val="en-US" w:eastAsia="zh-CN"/>
        </w:rPr>
        <w:t>（五）</w:t>
      </w:r>
      <w:r>
        <w:rPr>
          <w:rFonts w:hint="eastAsia" w:ascii="Times New Roman" w:hAnsi="Times New Roman" w:eastAsia="仿宋_GB2312" w:cs="仿宋_GB2312"/>
          <w:bCs/>
          <w:kern w:val="0"/>
          <w:sz w:val="32"/>
          <w:szCs w:val="32"/>
          <w:highlight w:val="none"/>
          <w:lang w:eastAsia="zh-CN"/>
        </w:rPr>
        <w:t>向市委全面深化改革委员会提出年度工作要点、年度改革进展和评估报告。</w:t>
      </w:r>
    </w:p>
    <w:p w14:paraId="05C6190D">
      <w:pPr>
        <w:widowControl/>
        <w:spacing w:line="600" w:lineRule="exact"/>
        <w:ind w:firstLine="640" w:firstLineChars="200"/>
        <w:rPr>
          <w:rFonts w:hint="eastAsia" w:ascii="Times New Roman" w:hAnsi="Times New Roman" w:eastAsia="仿宋_GB2312" w:cs="仿宋_GB2312"/>
          <w:bCs/>
          <w:kern w:val="0"/>
          <w:sz w:val="32"/>
          <w:szCs w:val="32"/>
          <w:highlight w:val="none"/>
          <w:lang w:eastAsia="zh-CN"/>
        </w:rPr>
      </w:pPr>
      <w:r>
        <w:rPr>
          <w:rFonts w:hint="eastAsia" w:ascii="Times New Roman" w:hAnsi="Times New Roman" w:eastAsia="仿宋_GB2312" w:cs="仿宋_GB2312"/>
          <w:bCs/>
          <w:kern w:val="0"/>
          <w:sz w:val="32"/>
          <w:szCs w:val="32"/>
          <w:highlight w:val="none"/>
          <w:lang w:val="en-US" w:eastAsia="zh-CN"/>
        </w:rPr>
        <w:t>（六）</w:t>
      </w:r>
      <w:r>
        <w:rPr>
          <w:rFonts w:hint="eastAsia" w:ascii="Times New Roman" w:hAnsi="Times New Roman" w:eastAsia="仿宋_GB2312" w:cs="仿宋_GB2312"/>
          <w:bCs/>
          <w:kern w:val="0"/>
          <w:sz w:val="32"/>
          <w:szCs w:val="32"/>
          <w:highlight w:val="none"/>
          <w:lang w:eastAsia="zh-CN"/>
        </w:rPr>
        <w:t>收集汇总改革信息资料，组织开展全面深化改革重大问题的政策研究和政策咨询，为市委全面深化改革委员会提供决策参谋服务。</w:t>
      </w:r>
    </w:p>
    <w:p w14:paraId="0913F001">
      <w:pPr>
        <w:widowControl/>
        <w:spacing w:line="600" w:lineRule="exact"/>
        <w:ind w:firstLine="640" w:firstLineChars="200"/>
        <w:rPr>
          <w:rFonts w:hint="eastAsia" w:ascii="Times New Roman" w:hAnsi="Times New Roman" w:eastAsia="仿宋_GB2312" w:cs="仿宋_GB2312"/>
          <w:bCs/>
          <w:kern w:val="0"/>
          <w:sz w:val="32"/>
          <w:szCs w:val="32"/>
          <w:highlight w:val="none"/>
          <w:lang w:eastAsia="zh-CN"/>
        </w:rPr>
      </w:pPr>
      <w:r>
        <w:rPr>
          <w:rFonts w:hint="eastAsia" w:ascii="Times New Roman" w:hAnsi="Times New Roman" w:eastAsia="仿宋_GB2312" w:cs="仿宋_GB2312"/>
          <w:bCs/>
          <w:kern w:val="0"/>
          <w:sz w:val="32"/>
          <w:szCs w:val="32"/>
          <w:highlight w:val="none"/>
          <w:lang w:val="en-US" w:eastAsia="zh-CN"/>
        </w:rPr>
        <w:t>（七）</w:t>
      </w:r>
      <w:r>
        <w:rPr>
          <w:rFonts w:hint="eastAsia" w:ascii="Times New Roman" w:hAnsi="Times New Roman" w:eastAsia="仿宋_GB2312" w:cs="仿宋_GB2312"/>
          <w:bCs/>
          <w:kern w:val="0"/>
          <w:sz w:val="32"/>
          <w:szCs w:val="32"/>
          <w:highlight w:val="none"/>
          <w:lang w:eastAsia="zh-CN"/>
        </w:rPr>
        <w:t>统筹协调有关方面提出改革方案和措施；研究处理有关方面向市委全面深化改革委员会提出的重要改革事项及相关请示，接受各地各部门深化改革的有关决定和重要改革方案向市委全面深化改革委员会的备案，研究评估后向省委全面深化改革委员会提出建议。</w:t>
      </w:r>
    </w:p>
    <w:p w14:paraId="37E48E02">
      <w:pPr>
        <w:widowControl/>
        <w:spacing w:line="600" w:lineRule="exact"/>
        <w:ind w:firstLine="640" w:firstLineChars="200"/>
        <w:rPr>
          <w:rFonts w:hint="eastAsia" w:ascii="Times New Roman" w:hAnsi="Times New Roman" w:eastAsia="仿宋_GB2312" w:cs="仿宋_GB2312"/>
          <w:bCs/>
          <w:kern w:val="0"/>
          <w:sz w:val="32"/>
          <w:szCs w:val="32"/>
          <w:highlight w:val="none"/>
          <w:lang w:eastAsia="zh-CN"/>
        </w:rPr>
      </w:pPr>
      <w:r>
        <w:rPr>
          <w:rFonts w:hint="eastAsia" w:ascii="Times New Roman" w:hAnsi="Times New Roman" w:eastAsia="仿宋_GB2312" w:cs="仿宋_GB2312"/>
          <w:bCs/>
          <w:kern w:val="0"/>
          <w:sz w:val="32"/>
          <w:szCs w:val="32"/>
          <w:highlight w:val="none"/>
          <w:lang w:val="en-US" w:eastAsia="zh-CN"/>
        </w:rPr>
        <w:t>（八）</w:t>
      </w:r>
      <w:r>
        <w:rPr>
          <w:rFonts w:hint="eastAsia" w:ascii="Times New Roman" w:hAnsi="Times New Roman" w:eastAsia="仿宋_GB2312" w:cs="仿宋_GB2312"/>
          <w:bCs/>
          <w:kern w:val="0"/>
          <w:sz w:val="32"/>
          <w:szCs w:val="32"/>
          <w:highlight w:val="none"/>
          <w:lang w:eastAsia="zh-CN"/>
        </w:rPr>
        <w:t>负责对各专项小组和各地各部门全面深化改革工作的统筹、协调、督促、检查；统筹指导各地各部门开展改革试点。</w:t>
      </w:r>
    </w:p>
    <w:p w14:paraId="6AC63B19">
      <w:pPr>
        <w:widowControl/>
        <w:spacing w:line="600" w:lineRule="exact"/>
        <w:ind w:firstLine="640" w:firstLineChars="200"/>
        <w:rPr>
          <w:rFonts w:hint="eastAsia" w:ascii="Times New Roman" w:hAnsi="Times New Roman" w:eastAsia="仿宋_GB2312" w:cs="仿宋_GB2312"/>
          <w:bCs/>
          <w:kern w:val="0"/>
          <w:sz w:val="32"/>
          <w:szCs w:val="32"/>
          <w:highlight w:val="none"/>
          <w:lang w:eastAsia="zh-CN"/>
        </w:rPr>
      </w:pPr>
      <w:r>
        <w:rPr>
          <w:rFonts w:hint="eastAsia" w:ascii="Times New Roman" w:hAnsi="Times New Roman" w:eastAsia="仿宋_GB2312" w:cs="仿宋_GB2312"/>
          <w:bCs/>
          <w:kern w:val="0"/>
          <w:sz w:val="32"/>
          <w:szCs w:val="32"/>
          <w:highlight w:val="none"/>
          <w:lang w:val="en-US" w:eastAsia="zh-CN"/>
        </w:rPr>
        <w:t>（九）</w:t>
      </w:r>
      <w:r>
        <w:rPr>
          <w:rFonts w:hint="eastAsia" w:ascii="Times New Roman" w:hAnsi="Times New Roman" w:eastAsia="仿宋_GB2312" w:cs="仿宋_GB2312"/>
          <w:bCs/>
          <w:kern w:val="0"/>
          <w:sz w:val="32"/>
          <w:szCs w:val="32"/>
          <w:highlight w:val="none"/>
          <w:lang w:eastAsia="zh-CN"/>
        </w:rPr>
        <w:t>协调开展市委全面深化改革委员会的决定事项、工作部署要求及重要改革举措落实情况督察；负责年度改革绩效评估。</w:t>
      </w:r>
    </w:p>
    <w:p w14:paraId="276D05B7">
      <w:pPr>
        <w:widowControl/>
        <w:spacing w:line="600" w:lineRule="exact"/>
        <w:ind w:firstLine="640" w:firstLineChars="200"/>
        <w:rPr>
          <w:rFonts w:hint="eastAsia" w:ascii="Times New Roman" w:hAnsi="Times New Roman" w:eastAsia="仿宋_GB2312" w:cs="仿宋_GB2312"/>
          <w:bCs/>
          <w:kern w:val="0"/>
          <w:sz w:val="32"/>
          <w:szCs w:val="32"/>
          <w:highlight w:val="none"/>
          <w:lang w:eastAsia="zh-CN"/>
        </w:rPr>
      </w:pPr>
      <w:r>
        <w:rPr>
          <w:rFonts w:hint="eastAsia" w:ascii="Times New Roman" w:hAnsi="Times New Roman" w:eastAsia="仿宋_GB2312" w:cs="仿宋_GB2312"/>
          <w:bCs/>
          <w:kern w:val="0"/>
          <w:sz w:val="32"/>
          <w:szCs w:val="32"/>
          <w:highlight w:val="none"/>
          <w:lang w:val="en-US" w:eastAsia="zh-CN"/>
        </w:rPr>
        <w:t>（十）</w:t>
      </w:r>
      <w:r>
        <w:rPr>
          <w:rFonts w:hint="eastAsia" w:ascii="Times New Roman" w:hAnsi="Times New Roman" w:eastAsia="仿宋_GB2312" w:cs="仿宋_GB2312"/>
          <w:bCs/>
          <w:kern w:val="0"/>
          <w:sz w:val="32"/>
          <w:szCs w:val="32"/>
          <w:highlight w:val="none"/>
          <w:lang w:eastAsia="zh-CN"/>
        </w:rPr>
        <w:t>负责市委全面深化改革委员会的会议组织、内刊编印等工作，总结宣传改革先进经验和典型案例。</w:t>
      </w:r>
    </w:p>
    <w:p w14:paraId="193AA827">
      <w:pPr>
        <w:widowControl/>
        <w:spacing w:line="600" w:lineRule="exact"/>
        <w:ind w:firstLine="640" w:firstLineChars="200"/>
        <w:rPr>
          <w:rFonts w:hint="eastAsia" w:ascii="Times New Roman" w:hAnsi="Times New Roman" w:eastAsia="仿宋_GB2312" w:cs="仿宋_GB2312"/>
          <w:bCs/>
          <w:kern w:val="0"/>
          <w:sz w:val="32"/>
          <w:szCs w:val="32"/>
          <w:highlight w:val="none"/>
          <w:lang w:eastAsia="zh-CN"/>
        </w:rPr>
      </w:pPr>
      <w:r>
        <w:rPr>
          <w:rFonts w:hint="eastAsia" w:ascii="Times New Roman" w:hAnsi="Times New Roman" w:eastAsia="仿宋_GB2312" w:cs="仿宋_GB2312"/>
          <w:bCs/>
          <w:kern w:val="0"/>
          <w:sz w:val="32"/>
          <w:szCs w:val="32"/>
          <w:highlight w:val="none"/>
          <w:lang w:val="en-US" w:eastAsia="zh-CN"/>
        </w:rPr>
        <w:t>（十一）</w:t>
      </w:r>
      <w:r>
        <w:rPr>
          <w:rFonts w:hint="eastAsia" w:ascii="Times New Roman" w:hAnsi="Times New Roman" w:eastAsia="仿宋_GB2312" w:cs="仿宋_GB2312"/>
          <w:bCs/>
          <w:kern w:val="0"/>
          <w:sz w:val="32"/>
          <w:szCs w:val="32"/>
          <w:highlight w:val="none"/>
          <w:lang w:eastAsia="zh-CN"/>
        </w:rPr>
        <w:t>负责市委财经委的会议组织等日常工作。组织开展全市财经工作重大问题的政策研究，协调督促有关方面落实市委财经委的决定事项、工作部署和要求。</w:t>
      </w:r>
    </w:p>
    <w:p w14:paraId="77CA9F0E">
      <w:pPr>
        <w:widowControl/>
        <w:spacing w:line="600" w:lineRule="exact"/>
        <w:ind w:firstLine="640" w:firstLineChars="200"/>
        <w:rPr>
          <w:rFonts w:hint="eastAsia" w:ascii="Times New Roman" w:hAnsi="Times New Roman" w:eastAsia="仿宋_GB2312" w:cs="仿宋_GB2312"/>
          <w:bCs/>
          <w:kern w:val="0"/>
          <w:sz w:val="32"/>
          <w:szCs w:val="32"/>
          <w:highlight w:val="none"/>
          <w:lang w:eastAsia="zh-CN"/>
        </w:rPr>
      </w:pPr>
      <w:r>
        <w:rPr>
          <w:rFonts w:hint="eastAsia" w:ascii="Times New Roman" w:hAnsi="Times New Roman" w:eastAsia="仿宋_GB2312" w:cs="仿宋_GB2312"/>
          <w:bCs/>
          <w:kern w:val="0"/>
          <w:sz w:val="32"/>
          <w:szCs w:val="32"/>
          <w:highlight w:val="none"/>
          <w:lang w:val="en-US" w:eastAsia="zh-CN"/>
        </w:rPr>
        <w:t>（十二）</w:t>
      </w:r>
      <w:r>
        <w:rPr>
          <w:rFonts w:hint="eastAsia" w:ascii="Times New Roman" w:hAnsi="Times New Roman" w:eastAsia="仿宋_GB2312" w:cs="仿宋_GB2312"/>
          <w:bCs/>
          <w:kern w:val="0"/>
          <w:sz w:val="32"/>
          <w:szCs w:val="32"/>
          <w:highlight w:val="none"/>
          <w:lang w:eastAsia="zh-CN"/>
        </w:rPr>
        <w:t>完成市委、市委全面深化改革委员会和市委财经委交办的其他事项。</w:t>
      </w:r>
    </w:p>
    <w:p w14:paraId="5F3AD4E7">
      <w:pPr>
        <w:widowControl/>
        <w:spacing w:line="600" w:lineRule="exact"/>
        <w:ind w:firstLine="640" w:firstLineChars="200"/>
        <w:rPr>
          <w:rFonts w:hint="eastAsia" w:ascii="黑体" w:eastAsia="黑体" w:cs="黑体"/>
          <w:b w:val="0"/>
          <w:bCs/>
          <w:kern w:val="0"/>
          <w:sz w:val="32"/>
          <w:szCs w:val="32"/>
          <w:highlight w:val="none"/>
        </w:rPr>
      </w:pPr>
      <w:r>
        <w:rPr>
          <w:rFonts w:hint="eastAsia" w:ascii="黑体" w:eastAsia="黑体" w:cs="黑体"/>
          <w:b w:val="0"/>
          <w:bCs/>
          <w:kern w:val="0"/>
          <w:sz w:val="32"/>
          <w:szCs w:val="32"/>
          <w:highlight w:val="none"/>
        </w:rPr>
        <w:t>二、机构设置及决算单位构成</w:t>
      </w:r>
    </w:p>
    <w:p w14:paraId="41AF0283">
      <w:pPr>
        <w:widowControl/>
        <w:spacing w:line="600" w:lineRule="exact"/>
        <w:ind w:firstLine="640" w:firstLineChars="200"/>
        <w:rPr>
          <w:rFonts w:hint="eastAsia"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（一）内设机构设置。</w:t>
      </w:r>
      <w:r>
        <w:rPr>
          <w:rFonts w:hint="eastAsia" w:ascii="Times New Roman" w:hAnsi="Times New Roman" w:eastAsia="仿宋_GB2312" w:cs="仿宋_GB2312"/>
          <w:bCs/>
          <w:kern w:val="0"/>
          <w:sz w:val="32"/>
          <w:szCs w:val="32"/>
          <w:highlight w:val="none"/>
          <w:lang w:val="en-US" w:eastAsia="zh-CN"/>
        </w:rPr>
        <w:t>中共怀化市委政策研究室</w:t>
      </w:r>
      <w:r>
        <w:rPr>
          <w:rFonts w:hint="eastAsia" w:ascii="Times New Roman" w:hAnsi="Times New Roman" w:eastAsia="仿宋_GB2312" w:cs="仿宋_GB2312"/>
          <w:bCs/>
          <w:kern w:val="0"/>
          <w:sz w:val="32"/>
          <w:szCs w:val="32"/>
          <w:highlight w:val="none"/>
        </w:rPr>
        <w:t>单位内设机构包括：</w:t>
      </w:r>
      <w:r>
        <w:rPr>
          <w:rFonts w:hint="eastAsia" w:ascii="Times New Roman" w:hAnsi="Times New Roman" w:eastAsia="仿宋_GB2312" w:cs="仿宋_GB2312"/>
          <w:bCs/>
          <w:kern w:val="0"/>
          <w:sz w:val="32"/>
          <w:szCs w:val="32"/>
          <w:highlight w:val="none"/>
          <w:lang w:val="en-US" w:eastAsia="zh-CN"/>
        </w:rPr>
        <w:t>办公室、综合科、农村和城市科、党群和科教文卫科、改革秘书科、改革协调科、改革督察科、财经一科、财经二科。</w:t>
      </w:r>
    </w:p>
    <w:p w14:paraId="062E9F32">
      <w:pPr>
        <w:widowControl/>
        <w:spacing w:line="600" w:lineRule="exact"/>
        <w:ind w:firstLine="640" w:firstLineChars="200"/>
        <w:rPr>
          <w:rFonts w:hint="eastAsia" w:ascii="Times New Roman" w:hAnsi="Times New Roman" w:eastAsia="仿宋_GB2312" w:cs="仿宋_GB2312"/>
          <w:bCs/>
          <w:kern w:val="0"/>
          <w:sz w:val="32"/>
          <w:szCs w:val="32"/>
          <w:highlight w:val="none"/>
          <w:lang w:eastAsia="zh-CN"/>
        </w:rPr>
      </w:pPr>
      <w:r>
        <w:rPr>
          <w:rFonts w:hint="eastAsia" w:ascii="Times New Roman" w:hAnsi="Times New Roman" w:eastAsia="仿宋_GB2312" w:cs="仿宋_GB2312"/>
          <w:bCs/>
          <w:kern w:val="0"/>
          <w:sz w:val="32"/>
          <w:szCs w:val="32"/>
          <w:highlight w:val="none"/>
        </w:rPr>
        <w:t>（二）决算单位构成。</w:t>
      </w:r>
      <w:r>
        <w:rPr>
          <w:rFonts w:hint="eastAsia" w:ascii="Times New Roman" w:hAnsi="Times New Roman" w:eastAsia="仿宋_GB2312" w:cs="仿宋_GB2312"/>
          <w:bCs/>
          <w:kern w:val="0"/>
          <w:sz w:val="32"/>
          <w:szCs w:val="32"/>
          <w:highlight w:val="none"/>
          <w:lang w:val="en-US" w:eastAsia="zh-CN"/>
        </w:rPr>
        <w:t>中共怀化市委政策研究室</w:t>
      </w:r>
      <w:r>
        <w:rPr>
          <w:rFonts w:hint="eastAsia" w:ascii="Times New Roman" w:hAnsi="Times New Roman" w:eastAsia="仿宋_GB2312" w:cs="仿宋_GB2312"/>
          <w:bCs/>
          <w:kern w:val="0"/>
          <w:sz w:val="32"/>
          <w:szCs w:val="32"/>
          <w:highlight w:val="none"/>
        </w:rPr>
        <w:t>单位202</w:t>
      </w:r>
      <w:r>
        <w:rPr>
          <w:rFonts w:hint="eastAsia" w:ascii="Times New Roman" w:hAnsi="Times New Roman" w:eastAsia="仿宋_GB2312" w:cs="仿宋_GB2312"/>
          <w:bCs/>
          <w:kern w:val="0"/>
          <w:sz w:val="32"/>
          <w:szCs w:val="32"/>
          <w:highlight w:val="none"/>
          <w:lang w:val="en-US" w:eastAsia="zh-CN"/>
        </w:rPr>
        <w:t>2</w:t>
      </w:r>
      <w:r>
        <w:rPr>
          <w:rFonts w:hint="eastAsia" w:ascii="Times New Roman" w:hAnsi="Times New Roman" w:eastAsia="仿宋_GB2312" w:cs="仿宋_GB2312"/>
          <w:bCs/>
          <w:kern w:val="0"/>
          <w:sz w:val="32"/>
          <w:szCs w:val="32"/>
          <w:highlight w:val="none"/>
        </w:rPr>
        <w:t>年部门决算汇总公开单位构成包括：</w:t>
      </w:r>
      <w:r>
        <w:rPr>
          <w:rFonts w:hint="eastAsia" w:ascii="Times New Roman" w:hAnsi="Times New Roman" w:eastAsia="仿宋_GB2312" w:cs="仿宋_GB2312"/>
          <w:bCs/>
          <w:kern w:val="0"/>
          <w:sz w:val="32"/>
          <w:szCs w:val="32"/>
          <w:highlight w:val="none"/>
          <w:lang w:val="en-US" w:eastAsia="zh-CN"/>
        </w:rPr>
        <w:t>中共怀化市委政策研究室</w:t>
      </w:r>
      <w:r>
        <w:rPr>
          <w:rFonts w:hint="eastAsia" w:ascii="Times New Roman" w:hAnsi="Times New Roman" w:eastAsia="仿宋_GB2312" w:cs="仿宋_GB2312"/>
          <w:bCs/>
          <w:kern w:val="0"/>
          <w:sz w:val="32"/>
          <w:szCs w:val="32"/>
          <w:highlight w:val="none"/>
        </w:rPr>
        <w:t>单位本级</w:t>
      </w:r>
      <w:r>
        <w:rPr>
          <w:rFonts w:hint="eastAsia" w:ascii="Times New Roman" w:hAnsi="Times New Roman" w:eastAsia="仿宋_GB2312" w:cs="仿宋_GB2312"/>
          <w:bCs/>
          <w:kern w:val="0"/>
          <w:sz w:val="32"/>
          <w:szCs w:val="32"/>
          <w:highlight w:val="none"/>
          <w:lang w:eastAsia="zh-CN"/>
        </w:rPr>
        <w:t>。</w:t>
      </w:r>
    </w:p>
    <w:p w14:paraId="56A28316">
      <w:pPr>
        <w:jc w:val="both"/>
        <w:rPr>
          <w:rFonts w:ascii="黑体" w:eastAsia="黑体"/>
          <w:sz w:val="28"/>
          <w:szCs w:val="28"/>
          <w:highlight w:val="none"/>
        </w:rPr>
      </w:pPr>
    </w:p>
    <w:p w14:paraId="55F50709">
      <w:pPr>
        <w:rPr>
          <w:sz w:val="72"/>
          <w:szCs w:val="72"/>
          <w:highlight w:val="none"/>
        </w:rPr>
      </w:pPr>
      <w:r>
        <w:rPr>
          <w:sz w:val="72"/>
          <w:szCs w:val="72"/>
          <w:highlight w:val="none"/>
        </w:rPr>
        <w:br w:type="page"/>
      </w:r>
    </w:p>
    <w:p w14:paraId="1BC61F34">
      <w:pPr>
        <w:jc w:val="center"/>
        <w:rPr>
          <w:sz w:val="72"/>
          <w:szCs w:val="72"/>
          <w:highlight w:val="none"/>
        </w:rPr>
      </w:pPr>
    </w:p>
    <w:p w14:paraId="10231AC5">
      <w:pPr>
        <w:jc w:val="center"/>
        <w:rPr>
          <w:sz w:val="72"/>
          <w:szCs w:val="72"/>
          <w:highlight w:val="none"/>
        </w:rPr>
      </w:pPr>
    </w:p>
    <w:p w14:paraId="13ADCEC6">
      <w:pPr>
        <w:jc w:val="center"/>
        <w:rPr>
          <w:sz w:val="72"/>
          <w:szCs w:val="72"/>
          <w:highlight w:val="none"/>
        </w:rPr>
      </w:pPr>
    </w:p>
    <w:p w14:paraId="1319D852">
      <w:pPr>
        <w:pStyle w:val="11"/>
        <w:jc w:val="center"/>
        <w:rPr>
          <w:rFonts w:hint="eastAsia" w:ascii="方正小标宋_GBK" w:eastAsia="方正小标宋_GBK" w:cs="方正小标宋_GBK"/>
          <w:sz w:val="84"/>
          <w:szCs w:val="84"/>
          <w:highlight w:val="none"/>
        </w:rPr>
      </w:pPr>
    </w:p>
    <w:p w14:paraId="777873BB">
      <w:pPr>
        <w:pStyle w:val="11"/>
        <w:jc w:val="center"/>
        <w:rPr>
          <w:rFonts w:hint="eastAsia" w:ascii="方正小标宋_GBK" w:eastAsia="方正小标宋_GBK" w:cs="方正小标宋_GBK"/>
          <w:sz w:val="84"/>
          <w:szCs w:val="84"/>
          <w:highlight w:val="none"/>
        </w:rPr>
      </w:pPr>
      <w:r>
        <w:rPr>
          <w:rFonts w:hint="eastAsia" w:ascii="方正小标宋_GBK" w:eastAsia="方正小标宋_GBK" w:cs="方正小标宋_GBK"/>
          <w:sz w:val="84"/>
          <w:szCs w:val="84"/>
          <w:highlight w:val="none"/>
        </w:rPr>
        <w:t>第二部分</w:t>
      </w:r>
    </w:p>
    <w:p w14:paraId="7670AFFC">
      <w:pPr>
        <w:pStyle w:val="11"/>
        <w:jc w:val="center"/>
        <w:rPr>
          <w:rFonts w:hint="eastAsia" w:ascii="方正小标宋_GBK" w:eastAsia="方正小标宋_GBK" w:cs="方正小标宋_GBK"/>
          <w:sz w:val="84"/>
          <w:szCs w:val="84"/>
          <w:highlight w:val="none"/>
        </w:rPr>
      </w:pPr>
      <w:r>
        <w:rPr>
          <w:rFonts w:hint="eastAsia" w:ascii="方正小标宋_GBK" w:eastAsia="方正小标宋_GBK" w:cs="方正小标宋_GBK"/>
          <w:sz w:val="84"/>
          <w:szCs w:val="84"/>
          <w:highlight w:val="none"/>
        </w:rPr>
        <w:t>部门决算表</w:t>
      </w:r>
    </w:p>
    <w:p w14:paraId="0BF6252E">
      <w:pPr>
        <w:pStyle w:val="11"/>
        <w:jc w:val="center"/>
        <w:rPr>
          <w:rFonts w:hint="default" w:ascii="方正小标宋_GBK" w:eastAsia="方正小标宋_GBK" w:cs="方正小标宋_GBK"/>
          <w:sz w:val="84"/>
          <w:szCs w:val="84"/>
          <w:highlight w:val="none"/>
          <w:lang w:val="en-US" w:eastAsia="zh-CN"/>
        </w:rPr>
      </w:pPr>
      <w:r>
        <w:rPr>
          <w:rFonts w:hint="eastAsia" w:ascii="方正小标宋_GBK" w:eastAsia="方正小标宋_GBK" w:cs="方正小标宋_GBK"/>
          <w:sz w:val="84"/>
          <w:szCs w:val="84"/>
          <w:highlight w:val="none"/>
          <w:lang w:eastAsia="zh-CN"/>
        </w:rPr>
        <w:t>（</w:t>
      </w:r>
      <w:r>
        <w:rPr>
          <w:rFonts w:hint="eastAsia" w:ascii="方正小标宋_GBK" w:eastAsia="方正小标宋_GBK" w:cs="方正小标宋_GBK"/>
          <w:sz w:val="84"/>
          <w:szCs w:val="84"/>
          <w:highlight w:val="none"/>
          <w:lang w:val="en-US" w:eastAsia="zh-CN"/>
        </w:rPr>
        <w:t>见附件）</w:t>
      </w:r>
    </w:p>
    <w:p w14:paraId="23C9EBE3">
      <w:pPr>
        <w:jc w:val="center"/>
        <w:rPr>
          <w:sz w:val="72"/>
          <w:szCs w:val="72"/>
          <w:highlight w:val="none"/>
        </w:rPr>
      </w:pPr>
    </w:p>
    <w:p w14:paraId="40576718">
      <w:pPr>
        <w:jc w:val="center"/>
        <w:rPr>
          <w:sz w:val="72"/>
          <w:szCs w:val="72"/>
          <w:highlight w:val="none"/>
        </w:rPr>
      </w:pPr>
    </w:p>
    <w:p w14:paraId="1C14DC59">
      <w:pPr>
        <w:jc w:val="center"/>
        <w:rPr>
          <w:sz w:val="72"/>
          <w:szCs w:val="72"/>
          <w:highlight w:val="none"/>
        </w:rPr>
      </w:pPr>
    </w:p>
    <w:p w14:paraId="5EE52777">
      <w:pPr>
        <w:jc w:val="center"/>
        <w:rPr>
          <w:sz w:val="72"/>
          <w:szCs w:val="72"/>
          <w:highlight w:val="none"/>
        </w:rPr>
      </w:pPr>
    </w:p>
    <w:p w14:paraId="2DAC7EB8">
      <w:pPr>
        <w:jc w:val="center"/>
        <w:rPr>
          <w:sz w:val="72"/>
          <w:szCs w:val="72"/>
          <w:highlight w:val="none"/>
        </w:rPr>
      </w:pPr>
    </w:p>
    <w:p w14:paraId="233867A9">
      <w:pPr>
        <w:jc w:val="left"/>
        <w:rPr>
          <w:rFonts w:ascii="宋体"/>
          <w:sz w:val="32"/>
          <w:szCs w:val="32"/>
          <w:highlight w:val="none"/>
        </w:rPr>
        <w:sectPr>
          <w:pgSz w:w="11906" w:h="16838"/>
          <w:pgMar w:top="720" w:right="720" w:bottom="720" w:left="720" w:header="851" w:footer="992" w:gutter="0"/>
          <w:cols w:space="720" w:num="1"/>
          <w:docGrid w:type="lines" w:linePitch="312" w:charSpace="0"/>
        </w:sectPr>
      </w:pPr>
    </w:p>
    <w:p w14:paraId="4687CABC">
      <w:pPr>
        <w:pStyle w:val="11"/>
        <w:rPr>
          <w:sz w:val="72"/>
          <w:szCs w:val="72"/>
          <w:highlight w:val="none"/>
        </w:rPr>
      </w:pPr>
    </w:p>
    <w:p w14:paraId="5B226AB0">
      <w:pPr>
        <w:pStyle w:val="11"/>
        <w:rPr>
          <w:sz w:val="72"/>
          <w:szCs w:val="72"/>
          <w:highlight w:val="none"/>
        </w:rPr>
      </w:pPr>
    </w:p>
    <w:p w14:paraId="05FC8CA2">
      <w:pPr>
        <w:pStyle w:val="11"/>
        <w:rPr>
          <w:sz w:val="72"/>
          <w:szCs w:val="72"/>
          <w:highlight w:val="none"/>
        </w:rPr>
      </w:pPr>
    </w:p>
    <w:p w14:paraId="143F6D14">
      <w:pPr>
        <w:pStyle w:val="11"/>
        <w:rPr>
          <w:sz w:val="72"/>
          <w:szCs w:val="72"/>
          <w:highlight w:val="none"/>
        </w:rPr>
      </w:pPr>
    </w:p>
    <w:p w14:paraId="2032B801">
      <w:pPr>
        <w:pStyle w:val="11"/>
        <w:jc w:val="center"/>
        <w:rPr>
          <w:sz w:val="72"/>
          <w:szCs w:val="72"/>
          <w:highlight w:val="none"/>
        </w:rPr>
      </w:pPr>
    </w:p>
    <w:p w14:paraId="71C2B738">
      <w:pPr>
        <w:pStyle w:val="11"/>
        <w:jc w:val="center"/>
        <w:rPr>
          <w:rFonts w:hint="eastAsia" w:ascii="方正小标宋_GBK" w:eastAsia="方正小标宋_GBK" w:cs="方正小标宋_GBK"/>
          <w:sz w:val="72"/>
          <w:szCs w:val="72"/>
          <w:highlight w:val="none"/>
        </w:rPr>
      </w:pPr>
    </w:p>
    <w:p w14:paraId="23B20F14">
      <w:pPr>
        <w:pStyle w:val="11"/>
        <w:jc w:val="center"/>
        <w:rPr>
          <w:rFonts w:hint="eastAsia" w:ascii="方正小标宋_GBK" w:eastAsia="方正小标宋_GBK" w:cs="方正小标宋_GBK"/>
          <w:sz w:val="72"/>
          <w:szCs w:val="72"/>
          <w:highlight w:val="none"/>
        </w:rPr>
      </w:pPr>
      <w:r>
        <w:rPr>
          <w:rFonts w:hint="eastAsia" w:ascii="方正小标宋_GBK" w:eastAsia="方正小标宋_GBK" w:cs="方正小标宋_GBK"/>
          <w:sz w:val="72"/>
          <w:szCs w:val="72"/>
          <w:highlight w:val="none"/>
        </w:rPr>
        <w:t>第三部分</w:t>
      </w:r>
    </w:p>
    <w:p w14:paraId="6F0A496F">
      <w:pPr>
        <w:pStyle w:val="11"/>
        <w:jc w:val="center"/>
        <w:rPr>
          <w:rFonts w:hint="eastAsia" w:ascii="方正小标宋_GBK" w:eastAsia="方正小标宋_GBK" w:cs="方正小标宋_GBK"/>
          <w:sz w:val="70"/>
          <w:szCs w:val="70"/>
          <w:highlight w:val="none"/>
        </w:rPr>
      </w:pPr>
    </w:p>
    <w:p w14:paraId="28DEC951">
      <w:pPr>
        <w:pStyle w:val="11"/>
        <w:jc w:val="center"/>
        <w:rPr>
          <w:rFonts w:hint="eastAsia" w:ascii="方正小标宋_GBK" w:eastAsia="方正小标宋_GBK" w:cs="方正小标宋_GBK"/>
          <w:sz w:val="70"/>
          <w:szCs w:val="70"/>
          <w:highlight w:val="none"/>
        </w:rPr>
      </w:pPr>
      <w:r>
        <w:rPr>
          <w:rFonts w:hint="eastAsia" w:ascii="方正小标宋_GBK" w:eastAsia="方正小标宋_GBK" w:cs="方正小标宋_GBK"/>
          <w:sz w:val="70"/>
          <w:szCs w:val="70"/>
          <w:highlight w:val="none"/>
        </w:rPr>
        <w:t>202</w:t>
      </w:r>
      <w:r>
        <w:rPr>
          <w:rFonts w:hint="eastAsia" w:ascii="方正小标宋_GBK" w:eastAsia="方正小标宋_GBK" w:cs="方正小标宋_GBK"/>
          <w:sz w:val="70"/>
          <w:szCs w:val="70"/>
          <w:highlight w:val="none"/>
          <w:lang w:val="en-US" w:eastAsia="zh-CN"/>
        </w:rPr>
        <w:t>2</w:t>
      </w:r>
      <w:r>
        <w:rPr>
          <w:rFonts w:hint="eastAsia" w:ascii="方正小标宋_GBK" w:eastAsia="方正小标宋_GBK" w:cs="方正小标宋_GBK"/>
          <w:sz w:val="70"/>
          <w:szCs w:val="70"/>
          <w:highlight w:val="none"/>
        </w:rPr>
        <w:t>年度部门决算情况说明</w:t>
      </w:r>
    </w:p>
    <w:p w14:paraId="0E697BD9">
      <w:pPr>
        <w:widowControl/>
        <w:jc w:val="left"/>
        <w:rPr>
          <w:rFonts w:ascii="宋体" w:eastAsia="宋体"/>
          <w:sz w:val="32"/>
          <w:szCs w:val="32"/>
          <w:highlight w:val="none"/>
        </w:rPr>
      </w:pPr>
      <w:r>
        <w:rPr>
          <w:rFonts w:hint="eastAsia" w:ascii="方正小标宋_GBK" w:eastAsia="方正小标宋_GBK" w:cs="方正小标宋_GBK"/>
          <w:sz w:val="70"/>
          <w:szCs w:val="70"/>
          <w:highlight w:val="none"/>
        </w:rPr>
        <w:br w:type="page"/>
      </w:r>
    </w:p>
    <w:p w14:paraId="72B56325">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eastAsia="黑体" w:cs="黑体"/>
          <w:b w:val="0"/>
          <w:bCs/>
          <w:sz w:val="32"/>
          <w:szCs w:val="32"/>
          <w:highlight w:val="none"/>
        </w:rPr>
      </w:pPr>
      <w:r>
        <w:rPr>
          <w:rFonts w:hint="eastAsia" w:ascii="黑体" w:eastAsia="黑体" w:cs="黑体"/>
          <w:b w:val="0"/>
          <w:bCs/>
          <w:sz w:val="32"/>
          <w:szCs w:val="32"/>
          <w:highlight w:val="none"/>
        </w:rPr>
        <w:t>一、收入支出决算总体情况说明</w:t>
      </w:r>
    </w:p>
    <w:p w14:paraId="2F6CE2C6">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年度收、支总计</w:t>
      </w:r>
      <w:r>
        <w:rPr>
          <w:rFonts w:hint="eastAsia" w:ascii="Times New Roman" w:eastAsia="仿宋_GB2312"/>
          <w:sz w:val="32"/>
          <w:szCs w:val="32"/>
          <w:highlight w:val="none"/>
          <w:lang w:val="en-US" w:eastAsia="zh-CN"/>
        </w:rPr>
        <w:t>均为</w:t>
      </w:r>
      <w:r>
        <w:rPr>
          <w:rFonts w:hint="eastAsia" w:ascii="Times New Roman" w:hAnsi="Times New Roman" w:eastAsia="仿宋_GB2312"/>
          <w:sz w:val="32"/>
          <w:szCs w:val="32"/>
          <w:highlight w:val="none"/>
        </w:rPr>
        <w:t>465.94万元。与上年相比，增加</w:t>
      </w:r>
      <w:r>
        <w:rPr>
          <w:rFonts w:hint="eastAsia" w:ascii="Times New Roman" w:hAnsi="Times New Roman" w:eastAsia="仿宋_GB2312"/>
          <w:sz w:val="32"/>
          <w:szCs w:val="32"/>
          <w:highlight w:val="none"/>
          <w:lang w:val="en-US" w:eastAsia="zh-CN"/>
        </w:rPr>
        <w:t>43.80</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10.38</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绩效奖等人员经费增加。</w:t>
      </w:r>
    </w:p>
    <w:p w14:paraId="606F16C5">
      <w:pPr>
        <w:pStyle w:val="11"/>
        <w:keepNext w:val="0"/>
        <w:keepLines w:val="0"/>
        <w:pageBreakBefore w:val="0"/>
        <w:widowControl w:val="0"/>
        <w:tabs>
          <w:tab w:val="left" w:pos="6510"/>
        </w:tabs>
        <w:kinsoku/>
        <w:wordWrap/>
        <w:overflowPunct/>
        <w:topLinePunct w:val="0"/>
        <w:autoSpaceDE w:val="0"/>
        <w:autoSpaceDN w:val="0"/>
        <w:bidi w:val="0"/>
        <w:adjustRightInd w:val="0"/>
        <w:snapToGrid/>
        <w:spacing w:line="600" w:lineRule="exact"/>
        <w:ind w:firstLine="640" w:firstLineChars="200"/>
        <w:textAlignment w:val="auto"/>
        <w:rPr>
          <w:rFonts w:hint="eastAsia" w:ascii="黑体" w:eastAsia="黑体" w:cs="黑体"/>
          <w:b w:val="0"/>
          <w:bCs/>
          <w:sz w:val="32"/>
          <w:szCs w:val="32"/>
          <w:highlight w:val="none"/>
        </w:rPr>
      </w:pPr>
      <w:r>
        <w:rPr>
          <w:rFonts w:hint="eastAsia" w:ascii="黑体" w:eastAsia="黑体" w:cs="黑体"/>
          <w:b w:val="0"/>
          <w:bCs/>
          <w:sz w:val="32"/>
          <w:szCs w:val="32"/>
          <w:highlight w:val="none"/>
        </w:rPr>
        <w:t>二、收入决算情况说明</w:t>
      </w:r>
    </w:p>
    <w:p w14:paraId="234265AB">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年度收入合计465.94万元，其中：财政拨款收入465.94万元，占</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r>
        <w:rPr>
          <w:rFonts w:hint="eastAsia" w:ascii="Times New Roman" w:eastAsia="仿宋_GB2312"/>
          <w:sz w:val="32"/>
          <w:szCs w:val="32"/>
          <w:highlight w:val="none"/>
          <w:lang w:eastAsia="zh-CN"/>
        </w:rPr>
        <w:t>。</w:t>
      </w:r>
    </w:p>
    <w:p w14:paraId="17489C7C">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eastAsia="黑体" w:cs="黑体"/>
          <w:b w:val="0"/>
          <w:bCs/>
          <w:sz w:val="32"/>
          <w:szCs w:val="32"/>
          <w:highlight w:val="none"/>
        </w:rPr>
      </w:pPr>
      <w:r>
        <w:rPr>
          <w:rFonts w:hint="eastAsia" w:ascii="黑体" w:eastAsia="黑体" w:cs="黑体"/>
          <w:b w:val="0"/>
          <w:bCs/>
          <w:sz w:val="32"/>
          <w:szCs w:val="32"/>
          <w:highlight w:val="none"/>
        </w:rPr>
        <w:t>三、支出决算情况说明</w:t>
      </w:r>
    </w:p>
    <w:p w14:paraId="51C35690">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年度支出总计465.94万元，其中：基本支出352.4</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75.63</w:t>
      </w:r>
      <w:r>
        <w:rPr>
          <w:rFonts w:hint="eastAsia" w:ascii="Times New Roman" w:hAnsi="Times New Roman" w:eastAsia="仿宋_GB2312"/>
          <w:sz w:val="32"/>
          <w:szCs w:val="32"/>
          <w:highlight w:val="none"/>
        </w:rPr>
        <w:t>%；项目支出113.54万元，占</w:t>
      </w:r>
      <w:r>
        <w:rPr>
          <w:rFonts w:hint="eastAsia" w:ascii="Times New Roman" w:hAnsi="Times New Roman" w:eastAsia="仿宋_GB2312"/>
          <w:sz w:val="32"/>
          <w:szCs w:val="32"/>
          <w:highlight w:val="none"/>
          <w:lang w:val="en-US" w:eastAsia="zh-CN"/>
        </w:rPr>
        <w:t>24.37</w:t>
      </w:r>
      <w:r>
        <w:rPr>
          <w:rFonts w:hint="eastAsia" w:ascii="Times New Roman" w:hAnsi="Times New Roman" w:eastAsia="仿宋_GB2312"/>
          <w:sz w:val="32"/>
          <w:szCs w:val="32"/>
          <w:highlight w:val="none"/>
        </w:rPr>
        <w:t>%。</w:t>
      </w:r>
    </w:p>
    <w:p w14:paraId="28DBA3D2">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eastAsia="黑体" w:cs="黑体"/>
          <w:b w:val="0"/>
          <w:bCs/>
          <w:sz w:val="32"/>
          <w:szCs w:val="32"/>
          <w:highlight w:val="none"/>
        </w:rPr>
      </w:pPr>
      <w:r>
        <w:rPr>
          <w:rFonts w:hint="eastAsia" w:ascii="黑体" w:eastAsia="黑体" w:cs="黑体"/>
          <w:b w:val="0"/>
          <w:bCs/>
          <w:sz w:val="32"/>
          <w:szCs w:val="32"/>
          <w:highlight w:val="none"/>
        </w:rPr>
        <w:t>四、财政拨款收入支出决算总体情况说明</w:t>
      </w:r>
    </w:p>
    <w:p w14:paraId="62A20CDF">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年度财政拨款收、支总计</w:t>
      </w:r>
      <w:r>
        <w:rPr>
          <w:rFonts w:hint="eastAsia" w:ascii="Times New Roman" w:eastAsia="仿宋_GB2312"/>
          <w:sz w:val="32"/>
          <w:szCs w:val="32"/>
          <w:highlight w:val="none"/>
          <w:lang w:val="en-US" w:eastAsia="zh-CN"/>
        </w:rPr>
        <w:t>均为</w:t>
      </w:r>
      <w:r>
        <w:rPr>
          <w:rFonts w:hint="eastAsia" w:ascii="Times New Roman" w:hAnsi="Times New Roman" w:eastAsia="仿宋_GB2312"/>
          <w:sz w:val="32"/>
          <w:szCs w:val="32"/>
          <w:highlight w:val="none"/>
        </w:rPr>
        <w:t>465.94万元，与上年相比，增加</w:t>
      </w:r>
      <w:r>
        <w:rPr>
          <w:rFonts w:hint="eastAsia" w:ascii="Times New Roman" w:hAnsi="Times New Roman" w:eastAsia="仿宋_GB2312"/>
          <w:sz w:val="32"/>
          <w:szCs w:val="32"/>
          <w:highlight w:val="none"/>
          <w:lang w:val="en-US" w:eastAsia="zh-CN"/>
        </w:rPr>
        <w:t>43.80</w:t>
      </w:r>
      <w:r>
        <w:rPr>
          <w:rFonts w:hint="eastAsia" w:ascii="Times New Roman" w:hAnsi="Times New Roman" w:eastAsia="仿宋_GB2312"/>
          <w:sz w:val="32"/>
          <w:szCs w:val="32"/>
          <w:highlight w:val="none"/>
        </w:rPr>
        <w:t>万元</w:t>
      </w:r>
      <w:r>
        <w:rPr>
          <w:rFonts w:hint="eastAsia" w:ascii="Times New Roman" w:eastAsia="仿宋_GB2312"/>
          <w:sz w:val="32"/>
          <w:szCs w:val="32"/>
          <w:highlight w:val="none"/>
          <w:lang w:eastAsia="zh-CN"/>
        </w:rPr>
        <w:t>，</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val="en-US" w:eastAsia="zh-CN"/>
        </w:rPr>
        <w:t>10.38</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绩效奖等人员经费增加。</w:t>
      </w:r>
    </w:p>
    <w:p w14:paraId="301F4CB2">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eastAsia="黑体" w:cs="黑体"/>
          <w:b w:val="0"/>
          <w:bCs/>
          <w:sz w:val="32"/>
          <w:szCs w:val="32"/>
          <w:highlight w:val="none"/>
        </w:rPr>
      </w:pPr>
      <w:r>
        <w:rPr>
          <w:rFonts w:hint="eastAsia" w:ascii="黑体" w:eastAsia="黑体" w:cs="黑体"/>
          <w:b w:val="0"/>
          <w:bCs/>
          <w:sz w:val="32"/>
          <w:szCs w:val="32"/>
          <w:highlight w:val="none"/>
        </w:rPr>
        <w:t>五、一般公共预算财政拨款支出决算情况说明</w:t>
      </w:r>
    </w:p>
    <w:p w14:paraId="7F6B8D75">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楷体" w:eastAsia="楷体" w:cs="楷体"/>
          <w:b w:val="0"/>
          <w:bCs/>
          <w:sz w:val="32"/>
          <w:szCs w:val="32"/>
          <w:highlight w:val="none"/>
        </w:rPr>
      </w:pPr>
      <w:r>
        <w:rPr>
          <w:rFonts w:hint="eastAsia" w:ascii="楷体" w:eastAsia="楷体" w:cs="楷体"/>
          <w:b w:val="0"/>
          <w:bCs/>
          <w:sz w:val="32"/>
          <w:szCs w:val="32"/>
          <w:highlight w:val="none"/>
        </w:rPr>
        <w:t>（一）财政拨款支出决算总体情况</w:t>
      </w:r>
    </w:p>
    <w:p w14:paraId="26A93567">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年度财政拨款支出465.94万元，占本年支出合计的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%，与上年相比，财政拨款支出增加</w:t>
      </w:r>
      <w:r>
        <w:rPr>
          <w:rFonts w:hint="eastAsia" w:ascii="Times New Roman" w:hAnsi="Times New Roman" w:eastAsia="仿宋_GB2312"/>
          <w:sz w:val="32"/>
          <w:szCs w:val="32"/>
          <w:highlight w:val="none"/>
          <w:lang w:val="en-US" w:eastAsia="zh-CN"/>
        </w:rPr>
        <w:t>43.80</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10.38</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绩效奖等人员经费增加。</w:t>
      </w:r>
    </w:p>
    <w:p w14:paraId="2CEE6C3E">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480" w:firstLineChars="150"/>
        <w:textAlignment w:val="auto"/>
        <w:rPr>
          <w:rFonts w:hint="eastAsia" w:ascii="楷体" w:eastAsia="楷体" w:cs="楷体"/>
          <w:b w:val="0"/>
          <w:bCs/>
          <w:sz w:val="32"/>
          <w:szCs w:val="32"/>
          <w:highlight w:val="none"/>
        </w:rPr>
      </w:pPr>
      <w:r>
        <w:rPr>
          <w:rFonts w:hint="eastAsia" w:ascii="楷体" w:eastAsia="楷体" w:cs="楷体"/>
          <w:b w:val="0"/>
          <w:bCs/>
          <w:sz w:val="32"/>
          <w:szCs w:val="32"/>
          <w:highlight w:val="none"/>
        </w:rPr>
        <w:t>（二）财政拨款支出决算结构情况</w:t>
      </w:r>
    </w:p>
    <w:p w14:paraId="0E43CC53">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年度财政拨款支出465.94万元，主要用于以下方面：一般公共服务（类）支出425.23万元，占</w:t>
      </w:r>
      <w:r>
        <w:rPr>
          <w:rFonts w:hint="eastAsia" w:ascii="Times New Roman" w:hAnsi="Times New Roman" w:eastAsia="仿宋_GB2312"/>
          <w:sz w:val="32"/>
          <w:szCs w:val="32"/>
          <w:highlight w:val="none"/>
          <w:lang w:val="en-US" w:eastAsia="zh-CN"/>
        </w:rPr>
        <w:t>91.26</w:t>
      </w:r>
      <w:r>
        <w:rPr>
          <w:rFonts w:hint="eastAsia" w:ascii="Times New Roman" w:hAnsi="Times New Roman" w:eastAsia="仿宋_GB2312"/>
          <w:sz w:val="32"/>
          <w:szCs w:val="32"/>
          <w:highlight w:val="none"/>
        </w:rPr>
        <w:t>%；科学技术（类）支出</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0.64</w:t>
      </w:r>
      <w:r>
        <w:rPr>
          <w:rFonts w:hint="eastAsia" w:ascii="Times New Roman" w:hAnsi="Times New Roman" w:eastAsia="仿宋_GB2312"/>
          <w:sz w:val="32"/>
          <w:szCs w:val="32"/>
          <w:highlight w:val="none"/>
        </w:rPr>
        <w:t>%;社会保障和就业</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类）支出25.1</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5.39</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；卫生健康（</w:t>
      </w:r>
      <w:r>
        <w:rPr>
          <w:rFonts w:hint="eastAsia" w:ascii="Times New Roman" w:hAnsi="Times New Roman" w:eastAsia="仿宋_GB2312"/>
          <w:sz w:val="32"/>
          <w:szCs w:val="32"/>
          <w:highlight w:val="none"/>
          <w:lang w:val="en-US" w:eastAsia="zh-CN"/>
        </w:rPr>
        <w:t>类</w:t>
      </w:r>
      <w:r>
        <w:rPr>
          <w:rFonts w:hint="eastAsia" w:ascii="Times New Roman" w:hAnsi="Times New Roman" w:eastAsia="仿宋_GB2312"/>
          <w:sz w:val="32"/>
          <w:szCs w:val="32"/>
          <w:highlight w:val="none"/>
          <w:lang w:eastAsia="zh-CN"/>
        </w:rPr>
        <w:t>）支出12.61</w:t>
      </w:r>
      <w:r>
        <w:rPr>
          <w:rFonts w:hint="eastAsia" w:ascii="Times New Roman" w:hAnsi="Times New Roman" w:eastAsia="仿宋_GB2312"/>
          <w:sz w:val="32"/>
          <w:szCs w:val="32"/>
          <w:highlight w:val="none"/>
          <w:lang w:val="en-US" w:eastAsia="zh-CN"/>
        </w:rPr>
        <w:t>万元，</w:t>
      </w:r>
      <w:r>
        <w:rPr>
          <w:rFonts w:hint="eastAsia" w:ascii="Times New Roman" w:hAnsi="Times New Roman" w:eastAsia="仿宋_GB2312"/>
          <w:sz w:val="32"/>
          <w:szCs w:val="32"/>
          <w:highlight w:val="none"/>
        </w:rPr>
        <w:t>占</w:t>
      </w:r>
      <w:r>
        <w:rPr>
          <w:rFonts w:hint="eastAsia" w:ascii="Times New Roman" w:hAnsi="Times New Roman" w:eastAsia="仿宋_GB2312"/>
          <w:sz w:val="32"/>
          <w:szCs w:val="32"/>
          <w:highlight w:val="none"/>
          <w:lang w:val="en-US" w:eastAsia="zh-CN"/>
        </w:rPr>
        <w:t>2.71</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p>
    <w:p w14:paraId="0CCC9BDF">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楷体" w:eastAsia="楷体" w:cs="楷体"/>
          <w:b w:val="0"/>
          <w:bCs/>
          <w:sz w:val="32"/>
          <w:szCs w:val="32"/>
          <w:highlight w:val="none"/>
        </w:rPr>
      </w:pPr>
      <w:r>
        <w:rPr>
          <w:rFonts w:hint="eastAsia" w:ascii="楷体" w:eastAsia="楷体" w:cs="楷体"/>
          <w:b w:val="0"/>
          <w:bCs/>
          <w:sz w:val="32"/>
          <w:szCs w:val="32"/>
          <w:highlight w:val="none"/>
        </w:rPr>
        <w:t>（三）财政拨款支出决算具体情况</w:t>
      </w:r>
    </w:p>
    <w:p w14:paraId="2BD97234">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年度财政拨款支出年初预算数为</w:t>
      </w:r>
      <w:r>
        <w:rPr>
          <w:rFonts w:hint="eastAsia" w:ascii="Times New Roman" w:hAnsi="Times New Roman" w:eastAsia="仿宋_GB2312"/>
          <w:sz w:val="32"/>
          <w:szCs w:val="32"/>
          <w:highlight w:val="none"/>
          <w:lang w:val="en-US" w:eastAsia="zh-CN"/>
        </w:rPr>
        <w:t>395.05</w:t>
      </w:r>
      <w:r>
        <w:rPr>
          <w:rFonts w:hint="eastAsia" w:ascii="Times New Roman" w:hAnsi="Times New Roman" w:eastAsia="仿宋_GB2312"/>
          <w:sz w:val="32"/>
          <w:szCs w:val="32"/>
          <w:highlight w:val="none"/>
        </w:rPr>
        <w:t>万元，支出决算数为465.94万元，完成年初预算的</w:t>
      </w:r>
      <w:r>
        <w:rPr>
          <w:rFonts w:hint="eastAsia" w:ascii="Times New Roman" w:hAnsi="Times New Roman" w:eastAsia="仿宋_GB2312"/>
          <w:sz w:val="32"/>
          <w:szCs w:val="32"/>
          <w:highlight w:val="none"/>
          <w:lang w:val="en-US" w:eastAsia="zh-CN"/>
        </w:rPr>
        <w:t>117.94</w:t>
      </w:r>
      <w:r>
        <w:rPr>
          <w:rFonts w:hint="eastAsia" w:ascii="Times New Roman" w:hAnsi="Times New Roman" w:eastAsia="仿宋_GB2312"/>
          <w:sz w:val="32"/>
          <w:szCs w:val="32"/>
          <w:highlight w:val="none"/>
        </w:rPr>
        <w:t>%，其中：</w:t>
      </w:r>
    </w:p>
    <w:p w14:paraId="61B97207">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1、一般公共服务（类）党委办公厅（室）及相关机构事务（款）行政运行（项）。</w:t>
      </w:r>
    </w:p>
    <w:p w14:paraId="219291CF">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225.59</w:t>
      </w:r>
      <w:r>
        <w:rPr>
          <w:rFonts w:hint="eastAsia" w:ascii="Times New Roman" w:hAnsi="Times New Roman" w:eastAsia="仿宋_GB2312"/>
          <w:sz w:val="32"/>
          <w:szCs w:val="32"/>
          <w:highlight w:val="none"/>
        </w:rPr>
        <w:t>万元，支出决算为259.85万元，完成年初预算的</w:t>
      </w:r>
      <w:r>
        <w:rPr>
          <w:rFonts w:hint="eastAsia" w:ascii="Times New Roman" w:hAnsi="Times New Roman" w:eastAsia="仿宋_GB2312"/>
          <w:sz w:val="32"/>
          <w:szCs w:val="32"/>
          <w:highlight w:val="none"/>
          <w:lang w:val="en-US" w:eastAsia="zh-CN"/>
        </w:rPr>
        <w:t>115.19</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人员工资以上年度数据为基准测算，本年度工资水平较上年度增长。</w:t>
      </w:r>
    </w:p>
    <w:p w14:paraId="092F50A4">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2、一般公共服务（类）党委办公厅（室）及相关机构事务（款）一般行政管理事务（项）。</w:t>
      </w:r>
    </w:p>
    <w:p w14:paraId="1435EE82">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eastAsia="仿宋" w:cs="仿宋"/>
          <w:b w:val="0"/>
          <w:bCs w:val="0"/>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120.00</w:t>
      </w:r>
      <w:r>
        <w:rPr>
          <w:rFonts w:hint="eastAsia" w:ascii="Times New Roman" w:hAnsi="Times New Roman" w:eastAsia="仿宋_GB2312"/>
          <w:color w:val="000000" w:themeColor="text1"/>
          <w:sz w:val="32"/>
          <w:szCs w:val="32"/>
          <w:highlight w:val="none"/>
          <w14:textFill>
            <w14:solidFill>
              <w14:schemeClr w14:val="tx1"/>
            </w14:solidFill>
          </w14:textFill>
        </w:rPr>
        <w:t>万</w:t>
      </w:r>
      <w:r>
        <w:rPr>
          <w:rFonts w:hint="eastAsia" w:ascii="Times New Roman" w:hAnsi="Times New Roman" w:eastAsia="仿宋_GB2312"/>
          <w:sz w:val="32"/>
          <w:szCs w:val="32"/>
          <w:highlight w:val="none"/>
        </w:rPr>
        <w:t>元，支出决算为109.04万元，完成年初预算的</w:t>
      </w:r>
      <w:r>
        <w:rPr>
          <w:rFonts w:hint="eastAsia" w:ascii="Times New Roman" w:hAnsi="Times New Roman" w:eastAsia="仿宋_GB2312"/>
          <w:sz w:val="32"/>
          <w:szCs w:val="32"/>
          <w:highlight w:val="none"/>
          <w:lang w:val="en-US" w:eastAsia="zh-CN"/>
        </w:rPr>
        <w:t>90.87</w:t>
      </w:r>
      <w:r>
        <w:rPr>
          <w:rFonts w:hint="eastAsia" w:ascii="Times New Roman" w:hAnsi="Times New Roman" w:eastAsia="仿宋_GB2312"/>
          <w:sz w:val="32"/>
          <w:szCs w:val="32"/>
          <w:highlight w:val="none"/>
        </w:rPr>
        <w:t>%，决算数小于年初预算数的主要原因是：</w:t>
      </w:r>
      <w:r>
        <w:rPr>
          <w:rFonts w:hint="eastAsia" w:ascii="仿宋" w:eastAsia="仿宋" w:cs="仿宋"/>
          <w:b w:val="0"/>
          <w:bCs w:val="0"/>
          <w:sz w:val="32"/>
          <w:szCs w:val="32"/>
          <w:highlight w:val="none"/>
          <w:lang w:val="en-US" w:eastAsia="zh-CN"/>
        </w:rPr>
        <w:t>压减专项业务经费开支。</w:t>
      </w:r>
    </w:p>
    <w:p w14:paraId="63975E43">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、一般公共服务（类）党委办公厅（室）及相关机构事务（款）其他党委办公厅（室）及相关机构事务（项）。</w:t>
      </w:r>
    </w:p>
    <w:p w14:paraId="03D8062B">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w:t>
      </w:r>
      <w:r>
        <w:rPr>
          <w:rFonts w:hint="eastAsia" w:ascii="Times New Roman" w:hAnsi="Times New Roman" w:eastAsia="仿宋_GB2312"/>
          <w:color w:val="000000" w:themeColor="text1"/>
          <w:sz w:val="32"/>
          <w:szCs w:val="32"/>
          <w:highlight w:val="none"/>
          <w14:textFill>
            <w14:solidFill>
              <w14:schemeClr w14:val="tx1"/>
            </w14:solidFill>
          </w14:textFill>
        </w:rPr>
        <w:t>算为56.35万</w:t>
      </w:r>
      <w:r>
        <w:rPr>
          <w:rFonts w:hint="eastAsia" w:ascii="Times New Roman" w:hAnsi="Times New Roman" w:eastAsia="仿宋_GB2312"/>
          <w:sz w:val="32"/>
          <w:szCs w:val="32"/>
          <w:highlight w:val="none"/>
        </w:rPr>
        <w:t>元，决算数大于年初预算数的主要原因是：2021年绩效奖金</w:t>
      </w:r>
      <w:r>
        <w:rPr>
          <w:rFonts w:hint="eastAsia" w:ascii="Times New Roman" w:hAnsi="Times New Roman" w:eastAsia="仿宋_GB2312"/>
          <w:sz w:val="32"/>
          <w:szCs w:val="32"/>
          <w:highlight w:val="none"/>
          <w:lang w:val="en-US" w:eastAsia="zh-CN"/>
        </w:rPr>
        <w:t>未纳入年初预算。</w:t>
      </w:r>
    </w:p>
    <w:p w14:paraId="3C1DF140">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4、科学技术（类）社会科学（款）其他社会科学（项）。</w:t>
      </w:r>
    </w:p>
    <w:p w14:paraId="3F208C4E">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0万</w:t>
      </w:r>
      <w:r>
        <w:rPr>
          <w:rFonts w:hint="eastAsia" w:ascii="Times New Roman" w:hAnsi="Times New Roman" w:eastAsia="仿宋_GB2312"/>
          <w:sz w:val="32"/>
          <w:szCs w:val="32"/>
          <w:highlight w:val="none"/>
          <w:lang w:val="en-US" w:eastAsia="zh-CN"/>
        </w:rPr>
        <w:t>元，支出决算为3万元，决算数大于年初预算数的主要原因是：重大、重点课题项目经费未纳入年初预算。</w:t>
      </w:r>
    </w:p>
    <w:p w14:paraId="2B31CBE1">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5、社会保障和就业（类）行政事业单位养老（款）行政单位离退休（项）。</w:t>
      </w:r>
    </w:p>
    <w:p w14:paraId="4C775BD5">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为0.32</w:t>
      </w:r>
      <w:r>
        <w:rPr>
          <w:rFonts w:hint="eastAsia" w:ascii="Times New Roman" w:hAnsi="Times New Roman" w:eastAsia="仿宋_GB2312"/>
          <w:sz w:val="32"/>
          <w:szCs w:val="32"/>
          <w:highlight w:val="none"/>
          <w:lang w:val="en-US" w:eastAsia="zh-CN"/>
        </w:rPr>
        <w:t>万元，支出决算为0.18万元，完成年初预算的56.25%，决算数小于年初预算数的主要原因是：经费部分结余。</w:t>
      </w:r>
    </w:p>
    <w:p w14:paraId="5B1FDCB7">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6、社会保障和就业（类）行政事业单位养老（款）机关事业单位基本养老保险缴费（项）。</w:t>
      </w:r>
    </w:p>
    <w:p w14:paraId="4E5394AD">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为21.54万</w:t>
      </w:r>
      <w:r>
        <w:rPr>
          <w:rFonts w:hint="eastAsia" w:ascii="Times New Roman" w:hAnsi="Times New Roman" w:eastAsia="仿宋_GB2312"/>
          <w:sz w:val="32"/>
          <w:szCs w:val="32"/>
          <w:highlight w:val="none"/>
          <w:lang w:val="en-US" w:eastAsia="zh-CN"/>
        </w:rPr>
        <w:t>元，支出决算为21.93万元，完成年初预算的101.80%，决算数大于年初预算数的主要原因是：养老保险以上年度数据为基准测算，本年度社保水平较上年度增长。</w:t>
      </w:r>
    </w:p>
    <w:p w14:paraId="246FA42E">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7、社会保障和就业（类）行政事业单位养老（款）其他行政事业单位养老（项）。</w:t>
      </w:r>
    </w:p>
    <w:p w14:paraId="5CA44A4C">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w:t>
      </w:r>
      <w:r>
        <w:rPr>
          <w:rFonts w:hint="eastAsia" w:ascii="Times New Roman" w:eastAsia="仿宋_GB2312"/>
          <w:sz w:val="32"/>
          <w:szCs w:val="32"/>
          <w:highlight w:val="none"/>
          <w:lang w:val="en-US" w:eastAsia="zh-CN"/>
        </w:rPr>
        <w:t>0</w:t>
      </w:r>
      <w:r>
        <w:rPr>
          <w:rFonts w:hint="eastAsia" w:ascii="Times New Roman" w:hAnsi="Times New Roman" w:eastAsia="仿宋_GB2312"/>
          <w:sz w:val="32"/>
          <w:szCs w:val="32"/>
          <w:highlight w:val="none"/>
          <w:lang w:val="en-US" w:eastAsia="zh-CN"/>
        </w:rPr>
        <w:t>万元，支出决算为3.00万元，决算数</w:t>
      </w:r>
      <w:r>
        <w:rPr>
          <w:rFonts w:hint="eastAsia" w:ascii="Times New Roman" w:eastAsia="仿宋_GB2312"/>
          <w:sz w:val="32"/>
          <w:szCs w:val="32"/>
          <w:highlight w:val="none"/>
          <w:lang w:val="en-US" w:eastAsia="zh-CN"/>
        </w:rPr>
        <w:t>大</w:t>
      </w:r>
      <w:r>
        <w:rPr>
          <w:rFonts w:hint="eastAsia" w:ascii="Times New Roman" w:hAnsi="Times New Roman" w:eastAsia="仿宋_GB2312"/>
          <w:sz w:val="32"/>
          <w:szCs w:val="32"/>
          <w:highlight w:val="none"/>
          <w:lang w:val="en-US" w:eastAsia="zh-CN"/>
        </w:rPr>
        <w:t>于年初预算数的主要原因是其他行政事业单位养老</w:t>
      </w:r>
      <w:r>
        <w:rPr>
          <w:rFonts w:hint="eastAsia" w:ascii="Times New Roman" w:eastAsia="仿宋_GB2312"/>
          <w:sz w:val="32"/>
          <w:szCs w:val="32"/>
          <w:highlight w:val="none"/>
          <w:lang w:val="en-US" w:eastAsia="zh-CN"/>
        </w:rPr>
        <w:t>未纳入年初预算，本年度发生实际支出</w:t>
      </w:r>
      <w:r>
        <w:rPr>
          <w:rFonts w:hint="eastAsia" w:ascii="Times New Roman" w:hAnsi="Times New Roman" w:eastAsia="仿宋_GB2312"/>
          <w:sz w:val="32"/>
          <w:szCs w:val="32"/>
          <w:highlight w:val="none"/>
          <w:lang w:val="en-US" w:eastAsia="zh-CN"/>
        </w:rPr>
        <w:t>。。</w:t>
      </w:r>
    </w:p>
    <w:p w14:paraId="27969FAC">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8、卫生健康（类）公共卫生（款）突发公共卫生事件应急处理（项）。</w:t>
      </w:r>
    </w:p>
    <w:p w14:paraId="2A46937D">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0</w:t>
      </w:r>
      <w:r>
        <w:rPr>
          <w:rFonts w:hint="eastAsia" w:ascii="Times New Roman" w:hAnsi="Times New Roman" w:eastAsia="仿宋_GB2312"/>
          <w:sz w:val="32"/>
          <w:szCs w:val="32"/>
          <w:highlight w:val="none"/>
          <w:lang w:val="en-US" w:eastAsia="zh-CN"/>
        </w:rPr>
        <w:t>万元，支出决算为1.50万元，决算数大于年初预算数的主要原因是：抗疫补助资金未纳入年初预算。</w:t>
      </w:r>
    </w:p>
    <w:p w14:paraId="2048BF0A">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9、卫生健康（类）行政事业单位医疗（款）行政单位医疗（项）。</w:t>
      </w:r>
    </w:p>
    <w:p w14:paraId="77836EEC">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预算为11.44万元</w:t>
      </w:r>
      <w:r>
        <w:rPr>
          <w:rFonts w:hint="eastAsia" w:ascii="Times New Roman" w:hAnsi="Times New Roman" w:eastAsia="仿宋_GB2312"/>
          <w:sz w:val="32"/>
          <w:szCs w:val="32"/>
          <w:highlight w:val="none"/>
          <w:lang w:val="en-US" w:eastAsia="zh-CN"/>
        </w:rPr>
        <w:t>，支出决算为11.11万元，完成年初预算的97.08%，决算数小于年初预算数的主要原因是：年初预算含生育保险经费，而决算未包含生育保险开支。</w:t>
      </w:r>
    </w:p>
    <w:p w14:paraId="4D8D64B2">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eastAsia="仿宋_GB2312"/>
          <w:sz w:val="32"/>
          <w:szCs w:val="32"/>
          <w:highlight w:val="none"/>
          <w:lang w:val="en-US" w:eastAsia="zh-CN"/>
        </w:rPr>
      </w:pPr>
      <w:r>
        <w:rPr>
          <w:rFonts w:hint="eastAsia" w:ascii="Times New Roman" w:eastAsia="仿宋_GB2312"/>
          <w:sz w:val="32"/>
          <w:szCs w:val="32"/>
          <w:highlight w:val="none"/>
          <w:lang w:val="en-US" w:eastAsia="zh-CN"/>
        </w:rPr>
        <w:t>10、住房保障支出（类）住房改革支出（款）住房公积金（项）。</w:t>
      </w:r>
    </w:p>
    <w:p w14:paraId="2693CA88">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预算为</w:t>
      </w:r>
      <w:r>
        <w:rPr>
          <w:rFonts w:hint="eastAsia" w:ascii="Times New Roman" w:eastAsia="仿宋_GB2312"/>
          <w:color w:val="000000" w:themeColor="text1"/>
          <w:sz w:val="32"/>
          <w:szCs w:val="32"/>
          <w:highlight w:val="none"/>
          <w:lang w:val="en-US" w:eastAsia="zh-CN"/>
          <w14:textFill>
            <w14:solidFill>
              <w14:schemeClr w14:val="tx1"/>
            </w14:solidFill>
          </w14:textFill>
        </w:rPr>
        <w:t>16.16</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万元</w:t>
      </w:r>
      <w:r>
        <w:rPr>
          <w:rFonts w:hint="eastAsia" w:ascii="Times New Roman" w:hAnsi="Times New Roman" w:eastAsia="仿宋_GB2312"/>
          <w:sz w:val="32"/>
          <w:szCs w:val="32"/>
          <w:highlight w:val="none"/>
          <w:lang w:val="en-US" w:eastAsia="zh-CN"/>
        </w:rPr>
        <w:t>，支出决算为</w:t>
      </w:r>
      <w:r>
        <w:rPr>
          <w:rFonts w:hint="eastAsia" w:ascii="Times New Roman" w:eastAsia="仿宋_GB2312"/>
          <w:sz w:val="32"/>
          <w:szCs w:val="32"/>
          <w:highlight w:val="none"/>
          <w:lang w:val="en-US" w:eastAsia="zh-CN"/>
        </w:rPr>
        <w:t>0</w:t>
      </w:r>
      <w:r>
        <w:rPr>
          <w:rFonts w:hint="eastAsia" w:ascii="Times New Roman" w:hAnsi="Times New Roman" w:eastAsia="仿宋_GB2312"/>
          <w:sz w:val="32"/>
          <w:szCs w:val="32"/>
          <w:highlight w:val="none"/>
          <w:lang w:val="en-US" w:eastAsia="zh-CN"/>
        </w:rPr>
        <w:t>万元，决算数小于年初预算数的主要原因是</w:t>
      </w:r>
      <w:r>
        <w:rPr>
          <w:rFonts w:hint="eastAsia" w:ascii="Times New Roman" w:eastAsia="仿宋_GB2312"/>
          <w:sz w:val="32"/>
          <w:szCs w:val="32"/>
          <w:highlight w:val="none"/>
          <w:lang w:val="en-US" w:eastAsia="zh-CN"/>
        </w:rPr>
        <w:t>住房公积金以工资测算为准，由财政统一发放</w:t>
      </w:r>
      <w:r>
        <w:rPr>
          <w:rFonts w:hint="eastAsia" w:ascii="Times New Roman" w:hAnsi="Times New Roman" w:eastAsia="仿宋_GB2312"/>
          <w:sz w:val="32"/>
          <w:szCs w:val="32"/>
          <w:highlight w:val="none"/>
          <w:lang w:val="en-US" w:eastAsia="zh-CN"/>
        </w:rPr>
        <w:t>。</w:t>
      </w:r>
    </w:p>
    <w:p w14:paraId="2B9CBB01">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eastAsia="黑体" w:cs="黑体"/>
          <w:b w:val="0"/>
          <w:bCs/>
          <w:sz w:val="32"/>
          <w:szCs w:val="32"/>
          <w:highlight w:val="none"/>
        </w:rPr>
      </w:pPr>
      <w:r>
        <w:rPr>
          <w:rFonts w:hint="eastAsia" w:ascii="黑体" w:eastAsia="黑体" w:cs="黑体"/>
          <w:b w:val="0"/>
          <w:bCs/>
          <w:sz w:val="32"/>
          <w:szCs w:val="32"/>
          <w:highlight w:val="none"/>
        </w:rPr>
        <w:t>六、一般公共预算财政拨款基本支出决算情况说明</w:t>
      </w:r>
    </w:p>
    <w:p w14:paraId="4F51B7C8">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年度财政拨款基本支出</w:t>
      </w:r>
      <w:r>
        <w:rPr>
          <w:rFonts w:hint="eastAsia" w:ascii="Times New Roman" w:hAnsi="Times New Roman" w:eastAsia="仿宋_GB2312"/>
          <w:sz w:val="32"/>
          <w:szCs w:val="32"/>
          <w:highlight w:val="none"/>
          <w:lang w:val="en-US" w:eastAsia="zh-CN"/>
        </w:rPr>
        <w:t>352.40</w:t>
      </w:r>
      <w:r>
        <w:rPr>
          <w:rFonts w:hint="eastAsia" w:ascii="Times New Roman" w:hAnsi="Times New Roman" w:eastAsia="仿宋_GB2312"/>
          <w:sz w:val="32"/>
          <w:szCs w:val="32"/>
          <w:highlight w:val="none"/>
        </w:rPr>
        <w:t>万元，其中：</w:t>
      </w:r>
    </w:p>
    <w:p w14:paraId="72736A52">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rPr>
        <w:t>人员经费</w:t>
      </w:r>
      <w:r>
        <w:rPr>
          <w:rFonts w:hint="eastAsia" w:ascii="Times New Roman" w:hAnsi="Times New Roman" w:eastAsia="仿宋_GB2312"/>
          <w:sz w:val="32"/>
          <w:szCs w:val="32"/>
          <w:highlight w:val="none"/>
        </w:rPr>
        <w:t>296.41万元，占基本支出的</w:t>
      </w:r>
      <w:r>
        <w:rPr>
          <w:rFonts w:hint="eastAsia" w:ascii="Times New Roman" w:hAnsi="Times New Roman" w:eastAsia="仿宋_GB2312"/>
          <w:sz w:val="32"/>
          <w:szCs w:val="32"/>
          <w:highlight w:val="none"/>
          <w:lang w:val="en-US" w:eastAsia="zh-CN"/>
        </w:rPr>
        <w:t>84.11</w:t>
      </w:r>
      <w:r>
        <w:rPr>
          <w:rFonts w:hint="eastAsia" w:ascii="Times New Roman" w:hAnsi="Times New Roman" w:eastAsia="仿宋_GB2312"/>
          <w:sz w:val="32"/>
          <w:szCs w:val="32"/>
          <w:highlight w:val="none"/>
        </w:rPr>
        <w:t>%</w:t>
      </w:r>
      <w:r>
        <w:rPr>
          <w:rFonts w:hint="eastAsia" w:ascii="Times New Roman" w:eastAsia="仿宋_GB2312"/>
          <w:sz w:val="32"/>
          <w:szCs w:val="32"/>
          <w:highlight w:val="none"/>
          <w:lang w:eastAsia="zh-CN"/>
        </w:rPr>
        <w:t>，</w:t>
      </w:r>
      <w:r>
        <w:rPr>
          <w:rFonts w:hint="eastAsia" w:ascii="Times New Roman" w:hAnsi="Times New Roman" w:eastAsia="仿宋_GB2312"/>
          <w:sz w:val="32"/>
          <w:szCs w:val="32"/>
          <w:highlight w:val="none"/>
        </w:rPr>
        <w:t>主要包括基本工资、津贴补贴、奖金、伙食补助费</w:t>
      </w:r>
      <w:r>
        <w:rPr>
          <w:rFonts w:hint="eastAsia" w:ascii="Times New Roman" w:hAnsi="Times New Roman" w:eastAsia="仿宋_GB2312"/>
          <w:sz w:val="32"/>
          <w:szCs w:val="32"/>
          <w:highlight w:val="none"/>
          <w:lang w:eastAsia="zh-CN"/>
        </w:rPr>
        <w:t>、机关事业单位基本养老保险缴费、职工基本医疗保险缴费、其他社会保障缴费、生活补助、奖励金、其他对个人和家庭的补助。</w:t>
      </w:r>
      <w:r>
        <w:rPr>
          <w:rFonts w:hint="eastAsia" w:ascii="Times New Roman" w:hAnsi="Times New Roman" w:eastAsia="仿宋_GB2312"/>
          <w:sz w:val="32"/>
          <w:szCs w:val="32"/>
          <w:highlight w:val="none"/>
          <w:lang w:val="en-US" w:eastAsia="zh-CN"/>
        </w:rPr>
        <w:t xml:space="preserve">     </w:t>
      </w:r>
    </w:p>
    <w:p w14:paraId="2AC89E0D">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b/>
          <w:bCs/>
          <w:sz w:val="32"/>
          <w:szCs w:val="32"/>
          <w:highlight w:val="none"/>
        </w:rPr>
        <w:t>公用经费</w:t>
      </w:r>
      <w:r>
        <w:rPr>
          <w:rFonts w:hint="eastAsia" w:ascii="Times New Roman" w:hAnsi="Times New Roman" w:eastAsia="仿宋_GB2312"/>
          <w:sz w:val="32"/>
          <w:szCs w:val="32"/>
          <w:highlight w:val="none"/>
        </w:rPr>
        <w:t>55.99万元，占基本支出的</w:t>
      </w:r>
      <w:r>
        <w:rPr>
          <w:rFonts w:hint="eastAsia" w:ascii="Times New Roman" w:hAnsi="Times New Roman" w:eastAsia="仿宋_GB2312"/>
          <w:sz w:val="32"/>
          <w:szCs w:val="32"/>
          <w:highlight w:val="none"/>
          <w:lang w:val="en-US" w:eastAsia="zh-CN"/>
        </w:rPr>
        <w:t>15.89</w:t>
      </w:r>
      <w:r>
        <w:rPr>
          <w:rFonts w:hint="eastAsia" w:ascii="Times New Roman" w:hAnsi="Times New Roman" w:eastAsia="仿宋_GB2312"/>
          <w:sz w:val="32"/>
          <w:szCs w:val="32"/>
          <w:highlight w:val="none"/>
        </w:rPr>
        <w:t>%，主要包括办公费、邮电费、差旅费、工会经费</w:t>
      </w:r>
      <w:r>
        <w:rPr>
          <w:rFonts w:hint="eastAsia" w:ascii="Times New Roman" w:hAnsi="Times New Roman" w:eastAsia="仿宋_GB2312"/>
          <w:sz w:val="32"/>
          <w:szCs w:val="32"/>
          <w:highlight w:val="none"/>
          <w:lang w:eastAsia="zh-CN"/>
        </w:rPr>
        <w:t>、福利费、其他交通费用、其他商品和服务支出</w:t>
      </w:r>
      <w:r>
        <w:rPr>
          <w:rFonts w:hint="eastAsia" w:ascii="Times New Roman" w:hAnsi="Times New Roman" w:eastAsia="仿宋_GB2312"/>
          <w:sz w:val="32"/>
          <w:szCs w:val="32"/>
          <w:highlight w:val="none"/>
        </w:rPr>
        <w:t>。</w:t>
      </w:r>
    </w:p>
    <w:p w14:paraId="663D6DF9">
      <w:pPr>
        <w:pStyle w:val="11"/>
        <w:keepNext w:val="0"/>
        <w:keepLines w:val="0"/>
        <w:pageBreakBefore w:val="0"/>
        <w:widowControl w:val="0"/>
        <w:numPr>
          <w:ilvl w:val="0"/>
          <w:numId w:val="1"/>
        </w:numPr>
        <w:kinsoku/>
        <w:wordWrap/>
        <w:overflowPunct/>
        <w:topLinePunct w:val="0"/>
        <w:autoSpaceDE w:val="0"/>
        <w:autoSpaceDN w:val="0"/>
        <w:bidi w:val="0"/>
        <w:adjustRightInd w:val="0"/>
        <w:snapToGrid/>
        <w:spacing w:line="600" w:lineRule="exact"/>
        <w:ind w:left="0" w:firstLine="640" w:firstLineChars="200"/>
        <w:textAlignment w:val="auto"/>
        <w:rPr>
          <w:rFonts w:hint="eastAsia" w:ascii="黑体" w:eastAsia="黑体" w:cs="黑体"/>
          <w:b w:val="0"/>
          <w:bCs/>
          <w:sz w:val="32"/>
          <w:szCs w:val="32"/>
          <w:highlight w:val="none"/>
        </w:rPr>
      </w:pPr>
      <w:r>
        <w:rPr>
          <w:rFonts w:hint="eastAsia" w:ascii="黑体" w:eastAsia="黑体" w:cs="黑体"/>
          <w:b w:val="0"/>
          <w:bCs/>
          <w:sz w:val="32"/>
          <w:szCs w:val="32"/>
          <w:highlight w:val="none"/>
        </w:rPr>
        <w:t>财政拨款三公经费支出决算情况说明</w:t>
      </w:r>
    </w:p>
    <w:p w14:paraId="4518CE1A">
      <w:pPr>
        <w:pStyle w:val="11"/>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textAlignment w:val="auto"/>
        <w:rPr>
          <w:rFonts w:hint="eastAsia" w:ascii="楷体" w:eastAsia="楷体" w:cs="楷体"/>
          <w:b/>
          <w:bCs w:val="0"/>
          <w:sz w:val="32"/>
          <w:szCs w:val="32"/>
          <w:highlight w:val="none"/>
        </w:rPr>
      </w:pPr>
      <w:r>
        <w:rPr>
          <w:rFonts w:hint="eastAsia" w:ascii="楷体" w:eastAsia="楷体" w:cs="楷体"/>
          <w:b/>
          <w:bCs w:val="0"/>
          <w:sz w:val="32"/>
          <w:szCs w:val="32"/>
          <w:highlight w:val="none"/>
        </w:rPr>
        <w:t>（一）“三公”经费财政拨款支出决算总体情况说明</w:t>
      </w:r>
    </w:p>
    <w:p w14:paraId="343434D2">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“三公”经费财政拨款支出预算为</w:t>
      </w:r>
      <w:r>
        <w:rPr>
          <w:rFonts w:hint="eastAsia" w:ascii="Times New Roman" w:hAnsi="Times New Roman" w:eastAsia="仿宋_GB2312"/>
          <w:sz w:val="32"/>
          <w:szCs w:val="32"/>
          <w:highlight w:val="none"/>
          <w:lang w:val="en-US" w:eastAsia="zh-CN"/>
        </w:rPr>
        <w:t>12.00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3.31</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27.58</w:t>
      </w:r>
      <w:r>
        <w:rPr>
          <w:rFonts w:hint="eastAsia" w:ascii="Times New Roman" w:hAnsi="Times New Roman" w:eastAsia="仿宋_GB2312"/>
          <w:sz w:val="32"/>
          <w:szCs w:val="32"/>
          <w:highlight w:val="none"/>
        </w:rPr>
        <w:t>%，决算数小于预算数的主要原因是</w:t>
      </w:r>
      <w:r>
        <w:rPr>
          <w:rFonts w:hint="eastAsia" w:ascii="仿宋" w:hAnsi="仿宋" w:eastAsia="仿宋"/>
          <w:sz w:val="32"/>
          <w:szCs w:val="32"/>
          <w:highlight w:val="none"/>
        </w:rPr>
        <w:t>落实过“紧日子”要求，严格执行开支标准</w:t>
      </w:r>
      <w:r>
        <w:rPr>
          <w:rFonts w:hint="eastAsia" w:ascii="仿宋" w:hAnsi="仿宋" w:eastAsia="仿宋"/>
          <w:sz w:val="32"/>
          <w:szCs w:val="32"/>
          <w:highlight w:val="none"/>
          <w:lang w:eastAsia="zh-CN"/>
        </w:rPr>
        <w:t>，</w:t>
      </w:r>
      <w:r>
        <w:rPr>
          <w:rFonts w:hint="eastAsia" w:ascii="Times New Roman" w:hAnsi="Times New Roman" w:eastAsia="仿宋_GB2312"/>
          <w:sz w:val="32"/>
          <w:szCs w:val="32"/>
          <w:highlight w:val="none"/>
          <w:lang w:val="en-US" w:eastAsia="zh-CN"/>
        </w:rPr>
        <w:t>厉行节约；</w:t>
      </w:r>
      <w:r>
        <w:rPr>
          <w:rFonts w:hint="eastAsia" w:ascii="Times New Roman" w:hAnsi="Times New Roman" w:eastAsia="仿宋_GB2312"/>
          <w:color w:val="000000" w:themeColor="text1"/>
          <w:sz w:val="32"/>
          <w:szCs w:val="32"/>
          <w:highlight w:val="none"/>
          <w14:textFill>
            <w14:solidFill>
              <w14:schemeClr w14:val="tx1"/>
            </w14:solidFill>
          </w14:textFill>
        </w:rPr>
        <w:t>与上年相比</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增加0.04</w:t>
      </w:r>
      <w:r>
        <w:rPr>
          <w:rFonts w:hint="eastAsia" w:ascii="Times New Roman" w:hAnsi="Times New Roman" w:eastAsia="仿宋_GB2312"/>
          <w:color w:val="000000" w:themeColor="text1"/>
          <w:sz w:val="32"/>
          <w:szCs w:val="32"/>
          <w:highlight w:val="none"/>
          <w14:textFill>
            <w14:solidFill>
              <w14:schemeClr w14:val="tx1"/>
            </w14:solidFill>
          </w14:textFill>
        </w:rPr>
        <w:t>万元，</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增</w:t>
      </w:r>
      <w:r>
        <w:rPr>
          <w:rFonts w:hint="eastAsia" w:ascii="Times New Roman" w:eastAsia="仿宋_GB2312"/>
          <w:color w:val="000000" w:themeColor="text1"/>
          <w:sz w:val="32"/>
          <w:szCs w:val="32"/>
          <w:highlight w:val="none"/>
          <w:lang w:val="en-US" w:eastAsia="zh-CN"/>
          <w14:textFill>
            <w14:solidFill>
              <w14:schemeClr w14:val="tx1"/>
            </w14:solidFill>
          </w14:textFill>
        </w:rPr>
        <w:t>长</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12.23%</w:t>
      </w:r>
      <w:r>
        <w:rPr>
          <w:rFonts w:hint="eastAsia" w:ascii="Times New Roman" w:eastAsia="仿宋_GB2312"/>
          <w:color w:val="000000" w:themeColor="text1"/>
          <w:sz w:val="32"/>
          <w:szCs w:val="32"/>
          <w:highlight w:val="none"/>
          <w:lang w:val="en-US" w:eastAsia="zh-CN"/>
          <w14:textFill>
            <w14:solidFill>
              <w14:schemeClr w14:val="tx1"/>
            </w14:solidFill>
          </w14:textFill>
        </w:rPr>
        <w:t>，增长的主要原因是</w:t>
      </w:r>
      <w:r>
        <w:rPr>
          <w:rFonts w:hint="eastAsia" w:ascii="Times New Roman" w:hAnsi="Times New Roman" w:eastAsia="仿宋_GB2312"/>
          <w:sz w:val="32"/>
          <w:szCs w:val="32"/>
          <w:highlight w:val="none"/>
          <w:lang w:val="en-US" w:eastAsia="zh-CN"/>
        </w:rPr>
        <w:t>公车运行维护费用增加</w:t>
      </w:r>
      <w:r>
        <w:rPr>
          <w:rFonts w:hint="eastAsia" w:ascii="Times New Roman" w:eastAsia="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sz w:val="32"/>
          <w:szCs w:val="32"/>
          <w:highlight w:val="none"/>
        </w:rPr>
        <w:t>其中：</w:t>
      </w:r>
    </w:p>
    <w:p w14:paraId="78B3DD20">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因公出国</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是单位未</w:t>
      </w:r>
      <w:r>
        <w:rPr>
          <w:rFonts w:hint="eastAsia" w:ascii="仿宋_GB2312" w:hAnsi="仿宋_GB2312" w:eastAsia="仿宋_GB2312" w:cs="仿宋_GB2312"/>
          <w:sz w:val="32"/>
          <w:szCs w:val="32"/>
          <w:highlight w:val="none"/>
        </w:rPr>
        <w:t>因公出国（境），</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主要原因是单位未</w:t>
      </w:r>
      <w:r>
        <w:rPr>
          <w:rFonts w:hint="eastAsia" w:ascii="仿宋_GB2312" w:hAnsi="仿宋_GB2312" w:eastAsia="仿宋_GB2312" w:cs="仿宋_GB2312"/>
          <w:sz w:val="32"/>
          <w:szCs w:val="32"/>
          <w:highlight w:val="none"/>
        </w:rPr>
        <w:t>因公出国（境）。</w:t>
      </w:r>
    </w:p>
    <w:p w14:paraId="6712D145">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8.00</w:t>
      </w:r>
      <w:r>
        <w:rPr>
          <w:rFonts w:hint="eastAsia" w:ascii="Times New Roman" w:hAnsi="Times New Roman" w:eastAsia="仿宋_GB2312"/>
          <w:sz w:val="32"/>
          <w:szCs w:val="32"/>
          <w:highlight w:val="none"/>
        </w:rPr>
        <w:t>万元，支出决算为0.68万元，完成预算的</w:t>
      </w:r>
      <w:r>
        <w:rPr>
          <w:rFonts w:hint="eastAsia" w:ascii="Times New Roman" w:hAnsi="Times New Roman" w:eastAsia="仿宋_GB2312"/>
          <w:sz w:val="32"/>
          <w:szCs w:val="32"/>
          <w:highlight w:val="none"/>
          <w:lang w:val="en-US" w:eastAsia="zh-CN"/>
        </w:rPr>
        <w:t>8.50</w:t>
      </w:r>
      <w:r>
        <w:rPr>
          <w:rFonts w:hint="eastAsia" w:ascii="Times New Roman" w:hAnsi="Times New Roman" w:eastAsia="仿宋_GB2312"/>
          <w:sz w:val="32"/>
          <w:szCs w:val="32"/>
          <w:highlight w:val="none"/>
        </w:rPr>
        <w:t>%，决算数小于预算数的主要原因是</w:t>
      </w:r>
      <w:r>
        <w:rPr>
          <w:rFonts w:hint="eastAsia" w:ascii="Times New Roman" w:hAnsi="Times New Roman" w:eastAsia="仿宋_GB2312"/>
          <w:sz w:val="32"/>
          <w:szCs w:val="32"/>
          <w:highlight w:val="none"/>
          <w:lang w:val="en-US" w:eastAsia="zh-CN"/>
        </w:rPr>
        <w:t>压减经费开支</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0.20</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22.73</w:t>
      </w:r>
      <w:r>
        <w:rPr>
          <w:rFonts w:hint="eastAsia" w:ascii="Times New Roman" w:hAnsi="Times New Roman" w:eastAsia="仿宋_GB2312"/>
          <w:sz w:val="32"/>
          <w:szCs w:val="32"/>
          <w:highlight w:val="none"/>
        </w:rPr>
        <w:t>%</w:t>
      </w:r>
      <w:r>
        <w:rPr>
          <w:rFonts w:hint="eastAsia" w:ascii="Times New Roman" w:eastAsia="仿宋_GB2312"/>
          <w:sz w:val="32"/>
          <w:szCs w:val="32"/>
          <w:highlight w:val="none"/>
          <w:lang w:eastAsia="zh-CN"/>
        </w:rPr>
        <w:t>，</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val="en-US" w:eastAsia="zh-CN"/>
        </w:rPr>
        <w:t>压减经费开支</w:t>
      </w:r>
      <w:r>
        <w:rPr>
          <w:rFonts w:hint="eastAsia" w:ascii="Times New Roman" w:hAnsi="Times New Roman" w:eastAsia="仿宋_GB2312"/>
          <w:sz w:val="32"/>
          <w:szCs w:val="32"/>
          <w:highlight w:val="none"/>
        </w:rPr>
        <w:t>。</w:t>
      </w:r>
    </w:p>
    <w:p w14:paraId="5E056EA0">
      <w:pPr>
        <w:pStyle w:val="11"/>
        <w:spacing w:line="600" w:lineRule="exact"/>
        <w:ind w:firstLine="640" w:firstLineChars="200"/>
        <w:rPr>
          <w:rFonts w:ascii="Times New Roman" w:hAnsi="Times New Roman" w:eastAsia="仿宋_GB2312"/>
          <w:sz w:val="32"/>
          <w:szCs w:val="32"/>
          <w:highlight w:val="none"/>
        </w:rPr>
      </w:pPr>
      <w:r>
        <w:rPr>
          <w:rFonts w:hint="eastAsia" w:ascii="仿宋_GB2312" w:hAnsi="仿宋_GB2312" w:eastAsia="仿宋_GB2312" w:cs="仿宋_GB2312"/>
          <w:sz w:val="32"/>
          <w:szCs w:val="32"/>
          <w:highlight w:val="none"/>
        </w:rPr>
        <w:t>公务用车购置费支出预算为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p>
    <w:p w14:paraId="2713894D">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4.00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2.62</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65.50</w:t>
      </w:r>
      <w:r>
        <w:rPr>
          <w:rFonts w:hint="eastAsia" w:ascii="Times New Roman" w:hAnsi="Times New Roman" w:eastAsia="仿宋_GB2312"/>
          <w:sz w:val="32"/>
          <w:szCs w:val="32"/>
          <w:highlight w:val="none"/>
        </w:rPr>
        <w:t>%，决算数小于预算数的主要原因是</w:t>
      </w:r>
      <w:r>
        <w:rPr>
          <w:rFonts w:hint="eastAsia" w:ascii="Times New Roman" w:hAnsi="Times New Roman" w:eastAsia="仿宋_GB2312"/>
          <w:sz w:val="32"/>
          <w:szCs w:val="32"/>
          <w:highlight w:val="none"/>
          <w:lang w:val="en-US" w:eastAsia="zh-CN"/>
        </w:rPr>
        <w:t>压减经费开支</w:t>
      </w:r>
      <w:r>
        <w:rPr>
          <w:rFonts w:hint="eastAsia" w:ascii="Times New Roman" w:hAnsi="Times New Roman" w:eastAsia="仿宋_GB2312"/>
          <w:sz w:val="32"/>
          <w:szCs w:val="32"/>
          <w:highlight w:val="none"/>
        </w:rPr>
        <w:t>，与上年相比增加</w:t>
      </w:r>
      <w:r>
        <w:rPr>
          <w:rFonts w:hint="eastAsia" w:ascii="Times New Roman" w:hAnsi="Times New Roman" w:eastAsia="仿宋_GB2312"/>
          <w:sz w:val="32"/>
          <w:szCs w:val="32"/>
          <w:highlight w:val="none"/>
          <w:lang w:val="en-US" w:eastAsia="zh-CN"/>
        </w:rPr>
        <w:t>0.23</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9.62</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增长的主要原因是</w:t>
      </w:r>
      <w:r>
        <w:rPr>
          <w:rFonts w:hint="eastAsia" w:ascii="Times New Roman" w:hAnsi="Times New Roman" w:eastAsia="仿宋_GB2312"/>
          <w:sz w:val="32"/>
          <w:szCs w:val="32"/>
          <w:highlight w:val="none"/>
          <w:lang w:val="en-US" w:eastAsia="zh-CN"/>
        </w:rPr>
        <w:t>因公车使用年限长，油耗、维修等增加</w:t>
      </w:r>
      <w:r>
        <w:rPr>
          <w:rFonts w:hint="eastAsia" w:ascii="Times New Roman" w:hAnsi="Times New Roman" w:eastAsia="仿宋_GB2312"/>
          <w:sz w:val="32"/>
          <w:szCs w:val="32"/>
          <w:highlight w:val="none"/>
        </w:rPr>
        <w:t>。</w:t>
      </w:r>
    </w:p>
    <w:p w14:paraId="7071F7AF">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楷体" w:eastAsia="楷体" w:cs="楷体"/>
          <w:b/>
          <w:bCs w:val="0"/>
          <w:sz w:val="32"/>
          <w:szCs w:val="32"/>
          <w:highlight w:val="none"/>
        </w:rPr>
      </w:pPr>
      <w:r>
        <w:rPr>
          <w:rFonts w:hint="eastAsia" w:ascii="楷体" w:eastAsia="楷体" w:cs="楷体"/>
          <w:b/>
          <w:bCs w:val="0"/>
          <w:sz w:val="32"/>
          <w:szCs w:val="32"/>
          <w:highlight w:val="none"/>
        </w:rPr>
        <w:t>（二）“三公”经费财政拨款支出决算具体情况说明</w:t>
      </w:r>
    </w:p>
    <w:p w14:paraId="0F9EC455">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年度“三公”经费财政拨款支出决算中，公务接待费支出决算</w:t>
      </w:r>
      <w:r>
        <w:rPr>
          <w:rFonts w:hint="eastAsia" w:ascii="Times New Roman" w:hAnsi="Times New Roman" w:eastAsia="仿宋_GB2312"/>
          <w:sz w:val="32"/>
          <w:szCs w:val="32"/>
          <w:highlight w:val="none"/>
          <w:lang w:val="en-US" w:eastAsia="zh-CN"/>
        </w:rPr>
        <w:t>0.68</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20.54</w:t>
      </w:r>
      <w:r>
        <w:rPr>
          <w:rFonts w:hint="eastAsia" w:ascii="Times New Roman" w:hAnsi="Times New Roman" w:eastAsia="仿宋_GB2312"/>
          <w:sz w:val="32"/>
          <w:szCs w:val="32"/>
          <w:highlight w:val="none"/>
        </w:rPr>
        <w:t>%</w:t>
      </w:r>
      <w:r>
        <w:rPr>
          <w:rFonts w:hint="eastAsia" w:ascii="Times New Roman" w:eastAsia="仿宋_GB2312"/>
          <w:sz w:val="32"/>
          <w:szCs w:val="32"/>
          <w:highlight w:val="none"/>
          <w:lang w:eastAsia="zh-CN"/>
        </w:rPr>
        <w:t>，</w:t>
      </w:r>
      <w:r>
        <w:rPr>
          <w:rFonts w:hint="eastAsia" w:ascii="Times New Roman" w:hAnsi="Times New Roman" w:eastAsia="仿宋_GB2312"/>
          <w:sz w:val="32"/>
          <w:szCs w:val="32"/>
          <w:highlight w:val="none"/>
        </w:rPr>
        <w:t>因公出国（境）费支出决算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万元，公务用车购置费及运行维护费支出决算</w:t>
      </w:r>
      <w:r>
        <w:rPr>
          <w:rFonts w:hint="eastAsia" w:ascii="Times New Roman" w:hAnsi="Times New Roman" w:eastAsia="仿宋_GB2312"/>
          <w:sz w:val="32"/>
          <w:szCs w:val="32"/>
          <w:highlight w:val="none"/>
          <w:lang w:val="en-US" w:eastAsia="zh-CN"/>
        </w:rPr>
        <w:t>2.62</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79.16</w:t>
      </w:r>
      <w:r>
        <w:rPr>
          <w:rFonts w:hint="eastAsia" w:ascii="Times New Roman" w:hAnsi="Times New Roman" w:eastAsia="仿宋_GB2312"/>
          <w:sz w:val="32"/>
          <w:szCs w:val="32"/>
          <w:highlight w:val="none"/>
        </w:rPr>
        <w:t>%。其中：</w:t>
      </w:r>
    </w:p>
    <w:p w14:paraId="5015E1AC">
      <w:pPr>
        <w:pStyle w:val="11"/>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textAlignment w:val="auto"/>
        <w:rPr>
          <w:rFonts w:ascii="Times New Roman" w:hAnsi="Times New Roman" w:eastAsia="仿宋_GB2312"/>
          <w:b/>
          <w:sz w:val="32"/>
          <w:szCs w:val="32"/>
          <w:highlight w:val="none"/>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因公出国（境）费支出决算为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万元，全年安排因公出国（境）团组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个，累计</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人次</w:t>
      </w:r>
      <w:r>
        <w:rPr>
          <w:rFonts w:hint="eastAsia" w:ascii="Times New Roman" w:eastAsia="仿宋_GB2312"/>
          <w:sz w:val="32"/>
          <w:szCs w:val="32"/>
          <w:highlight w:val="none"/>
          <w:lang w:eastAsia="zh-CN"/>
        </w:rPr>
        <w:t>，主要是2022年我单位没有因公出国（境）费支出。</w:t>
      </w:r>
    </w:p>
    <w:p w14:paraId="3679411E">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2、公务接待费支出决算为</w:t>
      </w:r>
      <w:r>
        <w:rPr>
          <w:rFonts w:hint="eastAsia" w:ascii="Times New Roman" w:hAnsi="Times New Roman" w:eastAsia="仿宋_GB2312"/>
          <w:sz w:val="32"/>
          <w:szCs w:val="32"/>
          <w:highlight w:val="none"/>
          <w:lang w:val="en-US" w:eastAsia="zh-CN"/>
        </w:rPr>
        <w:t>0.68</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val="en-US" w:eastAsia="zh-CN"/>
        </w:rPr>
        <w:t>15</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93</w:t>
      </w:r>
      <w:r>
        <w:rPr>
          <w:rFonts w:hint="eastAsia" w:ascii="Times New Roman" w:hAnsi="Times New Roman" w:eastAsia="仿宋_GB2312"/>
          <w:sz w:val="32"/>
          <w:szCs w:val="32"/>
          <w:highlight w:val="none"/>
        </w:rPr>
        <w:t>人次，主要是</w:t>
      </w:r>
      <w:r>
        <w:rPr>
          <w:rFonts w:hint="eastAsia" w:ascii="Times New Roman" w:hAnsi="Times New Roman" w:eastAsia="仿宋_GB2312"/>
          <w:sz w:val="32"/>
          <w:szCs w:val="32"/>
          <w:highlight w:val="none"/>
          <w:lang w:val="en-US" w:eastAsia="zh-CN"/>
        </w:rPr>
        <w:t>对接业务工作</w:t>
      </w:r>
      <w:r>
        <w:rPr>
          <w:rFonts w:hint="eastAsia" w:ascii="Times New Roman" w:hAnsi="Times New Roman" w:eastAsia="仿宋_GB2312"/>
          <w:sz w:val="32"/>
          <w:szCs w:val="32"/>
          <w:highlight w:val="none"/>
        </w:rPr>
        <w:t>发生的接待支出。</w:t>
      </w:r>
    </w:p>
    <w:p w14:paraId="072614F3">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楷体" w:eastAsia="楷体" w:cs="楷体"/>
          <w:b/>
          <w:bCs/>
          <w:i/>
          <w:color w:val="auto"/>
          <w:kern w:val="0"/>
          <w:sz w:val="32"/>
          <w:szCs w:val="32"/>
          <w:highlight w:val="none"/>
          <w:lang w:val="en-US" w:eastAsia="zh-CN" w:bidi="ar-SA"/>
        </w:rPr>
      </w:pPr>
      <w:r>
        <w:rPr>
          <w:rFonts w:hint="eastAsia" w:ascii="Times New Roman" w:hAnsi="Times New Roman" w:eastAsia="仿宋_GB2312"/>
          <w:sz w:val="32"/>
          <w:szCs w:val="32"/>
          <w:highlight w:val="none"/>
        </w:rPr>
        <w:t>3、公务用车购置费及运行维护费支出决算为</w:t>
      </w:r>
      <w:r>
        <w:rPr>
          <w:rFonts w:hint="eastAsia" w:ascii="Times New Roman" w:hAnsi="Times New Roman" w:eastAsia="仿宋_GB2312"/>
          <w:sz w:val="32"/>
          <w:szCs w:val="32"/>
          <w:highlight w:val="none"/>
          <w:lang w:val="en-US" w:eastAsia="zh-CN"/>
        </w:rPr>
        <w:t>2.62</w:t>
      </w:r>
      <w:r>
        <w:rPr>
          <w:rFonts w:hint="eastAsia" w:ascii="Times New Roman" w:hAnsi="Times New Roman" w:eastAsia="仿宋_GB2312"/>
          <w:sz w:val="32"/>
          <w:szCs w:val="32"/>
          <w:highlight w:val="none"/>
        </w:rPr>
        <w:t>万元，其中：公务用车购置费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万元，中共怀化市委政策研究室更新公务用车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r>
        <w:rPr>
          <w:rFonts w:hint="eastAsia" w:ascii="Times New Roman" w:hAnsi="Times New Roman" w:eastAsia="仿宋_GB2312"/>
          <w:color w:val="000000"/>
          <w:sz w:val="32"/>
          <w:szCs w:val="32"/>
          <w:highlight w:val="none"/>
        </w:rPr>
        <w:t>。</w:t>
      </w:r>
      <w:r>
        <w:rPr>
          <w:rFonts w:hint="eastAsia" w:ascii="Times New Roman" w:hAnsi="Times New Roman" w:eastAsia="仿宋_GB2312"/>
          <w:sz w:val="32"/>
          <w:szCs w:val="32"/>
          <w:highlight w:val="none"/>
        </w:rPr>
        <w:t>公务用车运行维护费</w:t>
      </w:r>
      <w:r>
        <w:rPr>
          <w:rFonts w:hint="eastAsia" w:ascii="Times New Roman" w:hAnsi="Times New Roman" w:eastAsia="仿宋_GB2312"/>
          <w:sz w:val="32"/>
          <w:szCs w:val="32"/>
          <w:highlight w:val="none"/>
          <w:lang w:val="en-US" w:eastAsia="zh-CN"/>
        </w:rPr>
        <w:t>2.62</w:t>
      </w:r>
      <w:r>
        <w:rPr>
          <w:rFonts w:hint="eastAsia" w:ascii="Times New Roman" w:hAnsi="Times New Roman" w:eastAsia="仿宋_GB2312"/>
          <w:sz w:val="32"/>
          <w:szCs w:val="32"/>
          <w:highlight w:val="none"/>
        </w:rPr>
        <w:t>万元，主要是</w:t>
      </w:r>
      <w:r>
        <w:rPr>
          <w:rFonts w:hint="eastAsia" w:ascii="Times New Roman" w:hAnsi="Times New Roman" w:eastAsia="仿宋_GB2312"/>
          <w:sz w:val="32"/>
          <w:szCs w:val="32"/>
          <w:highlight w:val="none"/>
          <w:lang w:val="en-US" w:eastAsia="zh-CN"/>
        </w:rPr>
        <w:t>公车油耗、维修、保险等</w:t>
      </w:r>
      <w:r>
        <w:rPr>
          <w:rFonts w:hint="eastAsia" w:ascii="Times New Roman" w:hAnsi="Times New Roman" w:eastAsia="仿宋_GB2312"/>
          <w:sz w:val="32"/>
          <w:szCs w:val="32"/>
          <w:highlight w:val="none"/>
        </w:rPr>
        <w:t>支出，截止202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年12月31日，我单位开支财政拨款的公务用车保有量为</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辆。</w:t>
      </w:r>
    </w:p>
    <w:p w14:paraId="07B2B2D7">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eastAsia="黑体" w:cs="黑体"/>
          <w:b w:val="0"/>
          <w:bCs/>
          <w:sz w:val="32"/>
          <w:szCs w:val="32"/>
          <w:highlight w:val="none"/>
          <w:lang w:val="en-US" w:eastAsia="zh-CN"/>
        </w:rPr>
      </w:pPr>
      <w:r>
        <w:rPr>
          <w:rFonts w:hint="eastAsia" w:ascii="黑体" w:eastAsia="黑体" w:cs="黑体"/>
          <w:b w:val="0"/>
          <w:bCs/>
          <w:sz w:val="32"/>
          <w:szCs w:val="32"/>
          <w:highlight w:val="none"/>
        </w:rPr>
        <w:t>八、政府性基金预算收入支出决算情况</w:t>
      </w:r>
      <w:r>
        <w:rPr>
          <w:rFonts w:hint="eastAsia" w:cs="黑体"/>
          <w:b w:val="0"/>
          <w:bCs/>
          <w:sz w:val="32"/>
          <w:szCs w:val="32"/>
          <w:highlight w:val="none"/>
          <w:lang w:val="en-US" w:eastAsia="zh-CN"/>
        </w:rPr>
        <w:t>说明</w:t>
      </w:r>
    </w:p>
    <w:p w14:paraId="49595CAA">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b/>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w:t>
      </w:r>
      <w:r>
        <w:rPr>
          <w:rFonts w:hint="eastAsia" w:ascii="Times New Roman" w:hAnsi="Times New Roman" w:eastAsia="仿宋_GB2312"/>
          <w:sz w:val="32"/>
          <w:szCs w:val="32"/>
          <w:highlight w:val="none"/>
          <w:lang w:val="en-US" w:eastAsia="zh-CN"/>
        </w:rPr>
        <w:t>本单位无</w:t>
      </w:r>
      <w:r>
        <w:rPr>
          <w:rFonts w:hint="eastAsia" w:ascii="Times New Roman" w:hAnsi="Times New Roman" w:eastAsia="仿宋_GB2312"/>
          <w:sz w:val="32"/>
          <w:szCs w:val="32"/>
          <w:highlight w:val="none"/>
        </w:rPr>
        <w:t>政府性基金预算财政拨款</w:t>
      </w:r>
      <w:r>
        <w:rPr>
          <w:rFonts w:hint="eastAsia" w:ascii="Times New Roman" w:hAnsi="Times New Roman" w:eastAsia="仿宋_GB2312"/>
          <w:sz w:val="32"/>
          <w:szCs w:val="32"/>
          <w:highlight w:val="none"/>
          <w:lang w:val="en-US" w:eastAsia="zh-CN"/>
        </w:rPr>
        <w:t>收支。</w:t>
      </w:r>
    </w:p>
    <w:p w14:paraId="6D491F38">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lang w:val="en-US" w:eastAsia="zh-CN"/>
        </w:rPr>
        <w:t>九、国有资本经营预算财政拨款支出决算情况</w:t>
      </w:r>
    </w:p>
    <w:p w14:paraId="007A1C7E">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b w:val="0"/>
          <w:bCs w:val="0"/>
          <w:sz w:val="32"/>
          <w:szCs w:val="32"/>
          <w:highlight w:val="none"/>
          <w:lang w:eastAsia="zh-CN"/>
        </w:rPr>
      </w:pPr>
      <w:r>
        <w:rPr>
          <w:rFonts w:hint="eastAsia" w:ascii="Times New Roman" w:hAnsi="Times New Roman" w:eastAsia="仿宋_GB2312"/>
          <w:b w:val="0"/>
          <w:bCs w:val="0"/>
          <w:sz w:val="32"/>
          <w:szCs w:val="32"/>
          <w:highlight w:val="none"/>
        </w:rPr>
        <w:t>202</w:t>
      </w:r>
      <w:r>
        <w:rPr>
          <w:rFonts w:hint="eastAsia" w:ascii="Times New Roman" w:hAnsi="Times New Roman" w:eastAsia="仿宋_GB2312"/>
          <w:b w:val="0"/>
          <w:bCs w:val="0"/>
          <w:sz w:val="32"/>
          <w:szCs w:val="32"/>
          <w:highlight w:val="none"/>
          <w:lang w:val="en-US" w:eastAsia="zh-CN"/>
        </w:rPr>
        <w:t>2</w:t>
      </w:r>
      <w:r>
        <w:rPr>
          <w:rFonts w:hint="eastAsia" w:ascii="Times New Roman" w:hAnsi="Times New Roman" w:eastAsia="仿宋_GB2312"/>
          <w:b w:val="0"/>
          <w:bCs w:val="0"/>
          <w:sz w:val="32"/>
          <w:szCs w:val="32"/>
          <w:highlight w:val="none"/>
        </w:rPr>
        <w:t>年度</w:t>
      </w:r>
      <w:r>
        <w:rPr>
          <w:rFonts w:hint="eastAsia" w:ascii="Times New Roman" w:hAnsi="Times New Roman" w:eastAsia="仿宋_GB2312"/>
          <w:b w:val="0"/>
          <w:bCs w:val="0"/>
          <w:sz w:val="32"/>
          <w:szCs w:val="32"/>
          <w:highlight w:val="none"/>
          <w:lang w:val="en-US" w:eastAsia="zh-CN"/>
        </w:rPr>
        <w:t>本单位无国有资本经营预算财政拨款支出。</w:t>
      </w:r>
    </w:p>
    <w:p w14:paraId="66D6B7F2">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lang w:val="en-US" w:eastAsia="zh-CN"/>
        </w:rPr>
        <w:t>十</w:t>
      </w:r>
      <w:r>
        <w:rPr>
          <w:rFonts w:hint="eastAsia" w:ascii="黑体" w:hAnsi="黑体" w:eastAsia="黑体" w:cs="黑体"/>
          <w:b w:val="0"/>
          <w:bCs/>
          <w:sz w:val="32"/>
          <w:szCs w:val="32"/>
          <w:highlight w:val="none"/>
        </w:rPr>
        <w:t>、关于机关运行经费支出说明</w:t>
      </w:r>
    </w:p>
    <w:p w14:paraId="17B5493E">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年度机关运行经费支出</w:t>
      </w:r>
      <w:r>
        <w:rPr>
          <w:rFonts w:hint="eastAsia" w:ascii="Times New Roman" w:hAnsi="Times New Roman" w:eastAsia="仿宋_GB2312"/>
          <w:sz w:val="32"/>
          <w:szCs w:val="32"/>
          <w:highlight w:val="none"/>
          <w:lang w:val="en-US" w:eastAsia="zh-CN"/>
        </w:rPr>
        <w:t>55.99</w:t>
      </w:r>
      <w:r>
        <w:rPr>
          <w:rFonts w:hint="eastAsia" w:ascii="Times New Roman" w:hAnsi="Times New Roman" w:eastAsia="仿宋_GB2312"/>
          <w:sz w:val="32"/>
          <w:szCs w:val="32"/>
          <w:highlight w:val="none"/>
        </w:rPr>
        <w:t>万元，比上年决</w:t>
      </w:r>
      <w:r>
        <w:rPr>
          <w:rFonts w:hint="eastAsia" w:ascii="Times New Roman" w:hAnsi="Times New Roman" w:eastAsia="仿宋_GB2312"/>
          <w:color w:val="000000" w:themeColor="text1"/>
          <w:sz w:val="32"/>
          <w:szCs w:val="32"/>
          <w:highlight w:val="none"/>
          <w14:textFill>
            <w14:solidFill>
              <w14:schemeClr w14:val="tx1"/>
            </w14:solidFill>
          </w14:textFill>
        </w:rPr>
        <w:t>算数减少</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123.96</w:t>
      </w:r>
      <w:r>
        <w:rPr>
          <w:rFonts w:hint="eastAsia" w:ascii="Times New Roman" w:hAnsi="Times New Roman" w:eastAsia="仿宋_GB2312"/>
          <w:sz w:val="32"/>
          <w:szCs w:val="32"/>
          <w:highlight w:val="none"/>
        </w:rPr>
        <w:t>万元，降低</w:t>
      </w:r>
      <w:r>
        <w:rPr>
          <w:rFonts w:hint="eastAsia" w:ascii="Times New Roman" w:hAnsi="Times New Roman" w:eastAsia="仿宋_GB2312"/>
          <w:sz w:val="32"/>
          <w:szCs w:val="32"/>
          <w:highlight w:val="none"/>
          <w:lang w:val="en-US" w:eastAsia="zh-CN"/>
        </w:rPr>
        <w:t>68.89</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en-US" w:eastAsia="zh-CN"/>
        </w:rPr>
        <w:t>专项业务经费纳入项目支出</w:t>
      </w:r>
      <w:r>
        <w:rPr>
          <w:rFonts w:hint="eastAsia" w:ascii="Times New Roman" w:hAnsi="Times New Roman" w:eastAsia="仿宋_GB2312"/>
          <w:sz w:val="32"/>
          <w:szCs w:val="32"/>
          <w:highlight w:val="none"/>
        </w:rPr>
        <w:t>。</w:t>
      </w:r>
    </w:p>
    <w:p w14:paraId="744D98BE">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eastAsia="黑体" w:cs="黑体"/>
          <w:b w:val="0"/>
          <w:bCs/>
          <w:sz w:val="32"/>
          <w:szCs w:val="32"/>
          <w:highlight w:val="none"/>
        </w:rPr>
      </w:pPr>
      <w:r>
        <w:rPr>
          <w:rFonts w:hint="eastAsia" w:ascii="黑体" w:eastAsia="黑体" w:cs="黑体"/>
          <w:b w:val="0"/>
          <w:bCs/>
          <w:sz w:val="32"/>
          <w:szCs w:val="32"/>
          <w:highlight w:val="none"/>
        </w:rPr>
        <w:t>十</w:t>
      </w:r>
      <w:r>
        <w:rPr>
          <w:rFonts w:hint="eastAsia" w:cs="黑体"/>
          <w:b w:val="0"/>
          <w:bCs/>
          <w:sz w:val="32"/>
          <w:szCs w:val="32"/>
          <w:highlight w:val="none"/>
          <w:lang w:val="en-US" w:eastAsia="zh-CN"/>
        </w:rPr>
        <w:t>一</w:t>
      </w:r>
      <w:r>
        <w:rPr>
          <w:rFonts w:hint="eastAsia" w:ascii="黑体" w:eastAsia="黑体" w:cs="黑体"/>
          <w:b w:val="0"/>
          <w:bCs/>
          <w:sz w:val="32"/>
          <w:szCs w:val="32"/>
          <w:highlight w:val="none"/>
        </w:rPr>
        <w:t>、一般性支出情况说明</w:t>
      </w:r>
    </w:p>
    <w:p w14:paraId="7A1BD908">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2022年本部门开支会</w:t>
      </w:r>
      <w:r>
        <w:rPr>
          <w:rFonts w:hint="eastAsia" w:ascii="Times New Roman" w:hAnsi="Times New Roman" w:eastAsia="仿宋_GB2312"/>
          <w:color w:val="000000" w:themeColor="text1"/>
          <w:sz w:val="32"/>
          <w:szCs w:val="32"/>
          <w:highlight w:val="none"/>
          <w14:textFill>
            <w14:solidFill>
              <w14:schemeClr w14:val="tx1"/>
            </w14:solidFill>
          </w14:textFill>
        </w:rPr>
        <w:t>议费0.54万</w:t>
      </w:r>
      <w:r>
        <w:rPr>
          <w:rFonts w:hint="eastAsia" w:ascii="Times New Roman" w:hAnsi="Times New Roman" w:eastAsia="仿宋_GB2312"/>
          <w:sz w:val="32"/>
          <w:szCs w:val="32"/>
          <w:highlight w:val="none"/>
        </w:rPr>
        <w:t>元，用于召开1.本单位2022年度班子述职测评暨绩效评估年终汇报会会议，人数18人，内容为2022年度班子述职测评及绩效考核检查；2.本单位观看党的二十大开幕式及研讨会，人数17人，内容为全体干部收看习近平同志在中国共产党第二十次全国代表大会上的报告并开展研讨；3.县市区深化国防动员体制改革方案（初稿）集中审核会议，人数27人，内容为集中审核县市区深化国防动员体制改革方案（初稿）。开支培训费0万元。未举办节庆、晚会、论坛、赛事活动。</w:t>
      </w:r>
    </w:p>
    <w:p w14:paraId="53DCB9C1">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eastAsia="黑体" w:cs="黑体"/>
          <w:b w:val="0"/>
          <w:bCs/>
          <w:sz w:val="32"/>
          <w:szCs w:val="32"/>
          <w:highlight w:val="none"/>
        </w:rPr>
      </w:pPr>
      <w:r>
        <w:rPr>
          <w:rFonts w:hint="eastAsia" w:ascii="黑体" w:eastAsia="黑体" w:cs="黑体"/>
          <w:b w:val="0"/>
          <w:bCs/>
          <w:sz w:val="32"/>
          <w:szCs w:val="32"/>
          <w:highlight w:val="none"/>
        </w:rPr>
        <w:t>十</w:t>
      </w:r>
      <w:r>
        <w:rPr>
          <w:rFonts w:hint="eastAsia" w:cs="黑体"/>
          <w:b w:val="0"/>
          <w:bCs/>
          <w:sz w:val="32"/>
          <w:szCs w:val="32"/>
          <w:highlight w:val="none"/>
          <w:lang w:val="en-US" w:eastAsia="zh-CN"/>
        </w:rPr>
        <w:t>二</w:t>
      </w:r>
      <w:r>
        <w:rPr>
          <w:rFonts w:hint="eastAsia" w:ascii="黑体" w:eastAsia="黑体" w:cs="黑体"/>
          <w:b w:val="0"/>
          <w:bCs/>
          <w:sz w:val="32"/>
          <w:szCs w:val="32"/>
          <w:highlight w:val="none"/>
        </w:rPr>
        <w:t>、关于政府采购支出说明</w:t>
      </w:r>
    </w:p>
    <w:p w14:paraId="7F836B9F">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年度政府采购支出</w:t>
      </w:r>
      <w:r>
        <w:rPr>
          <w:rFonts w:hint="eastAsia" w:ascii="Times New Roman" w:hAnsi="Times New Roman" w:eastAsia="仿宋_GB2312"/>
          <w:color w:val="000000" w:themeColor="text1"/>
          <w:sz w:val="32"/>
          <w:szCs w:val="32"/>
          <w:highlight w:val="none"/>
          <w14:textFill>
            <w14:solidFill>
              <w14:schemeClr w14:val="tx1"/>
            </w14:solidFill>
          </w14:textFill>
        </w:rPr>
        <w:t>总额</w:t>
      </w:r>
      <w:r>
        <w:rPr>
          <w:rFonts w:ascii="Times New Roman" w:hAnsi="Times New Roman" w:eastAsia="仿宋_GB2312"/>
          <w:color w:val="000000" w:themeColor="text1"/>
          <w:sz w:val="32"/>
          <w:szCs w:val="32"/>
          <w:highlight w:val="none"/>
          <w:lang w:val="en-US" w:eastAsia="zh-CN"/>
          <w14:textFill>
            <w14:solidFill>
              <w14:schemeClr w14:val="tx1"/>
            </w14:solidFill>
          </w14:textFill>
        </w:rPr>
        <w:t>69.17</w:t>
      </w:r>
      <w:r>
        <w:rPr>
          <w:rFonts w:hint="eastAsia" w:ascii="Times New Roman" w:hAnsi="Times New Roman" w:eastAsia="仿宋_GB2312"/>
          <w:color w:val="000000" w:themeColor="text1"/>
          <w:sz w:val="32"/>
          <w:szCs w:val="32"/>
          <w:highlight w:val="none"/>
          <w14:textFill>
            <w14:solidFill>
              <w14:schemeClr w14:val="tx1"/>
            </w14:solidFill>
          </w14:textFill>
        </w:rPr>
        <w:t>万元，其中：政府采购货物支出</w:t>
      </w:r>
      <w:r>
        <w:rPr>
          <w:rFonts w:ascii="Times New Roman" w:hAnsi="Times New Roman" w:eastAsia="仿宋_GB2312"/>
          <w:color w:val="000000" w:themeColor="text1"/>
          <w:sz w:val="32"/>
          <w:szCs w:val="32"/>
          <w:highlight w:val="none"/>
          <w:lang w:val="en-US" w:eastAsia="zh-CN"/>
          <w14:textFill>
            <w14:solidFill>
              <w14:schemeClr w14:val="tx1"/>
            </w14:solidFill>
          </w14:textFill>
        </w:rPr>
        <w:t>64.98</w:t>
      </w:r>
      <w:r>
        <w:rPr>
          <w:rFonts w:hint="eastAsia" w:ascii="Times New Roman" w:hAnsi="Times New Roman" w:eastAsia="仿宋_GB2312"/>
          <w:color w:val="000000" w:themeColor="text1"/>
          <w:sz w:val="32"/>
          <w:szCs w:val="32"/>
          <w:highlight w:val="none"/>
          <w14:textFill>
            <w14:solidFill>
              <w14:schemeClr w14:val="tx1"/>
            </w14:solidFill>
          </w14:textFill>
        </w:rPr>
        <w:t>万元、政府采购工程支出</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0</w:t>
      </w:r>
      <w:r>
        <w:rPr>
          <w:rFonts w:hint="eastAsia" w:ascii="Times New Roman" w:hAnsi="Times New Roman" w:eastAsia="仿宋_GB2312"/>
          <w:color w:val="000000" w:themeColor="text1"/>
          <w:sz w:val="32"/>
          <w:szCs w:val="32"/>
          <w:highlight w:val="none"/>
          <w14:textFill>
            <w14:solidFill>
              <w14:schemeClr w14:val="tx1"/>
            </w14:solidFill>
          </w14:textFill>
        </w:rPr>
        <w:t>万元、政府采</w:t>
      </w:r>
      <w:r>
        <w:rPr>
          <w:rFonts w:hint="eastAsia" w:ascii="Times New Roman" w:hAnsi="Times New Roman" w:eastAsia="仿宋_GB2312"/>
          <w:sz w:val="32"/>
          <w:szCs w:val="32"/>
          <w:highlight w:val="none"/>
        </w:rPr>
        <w:t>购服务支出</w:t>
      </w:r>
      <w:r>
        <w:rPr>
          <w:rFonts w:ascii="Times New Roman" w:hAnsi="Times New Roman" w:eastAsia="仿宋_GB2312"/>
          <w:sz w:val="32"/>
          <w:szCs w:val="32"/>
          <w:highlight w:val="none"/>
          <w:lang w:val="en-US" w:eastAsia="zh-CN"/>
        </w:rPr>
        <w:t>4.19</w:t>
      </w:r>
      <w:r>
        <w:rPr>
          <w:rFonts w:hint="eastAsia" w:ascii="Times New Roman" w:hAnsi="Times New Roman" w:eastAsia="仿宋_GB2312"/>
          <w:sz w:val="32"/>
          <w:szCs w:val="32"/>
          <w:highlight w:val="none"/>
        </w:rPr>
        <w:t>万元。授予中小企业合同金额</w:t>
      </w:r>
      <w:r>
        <w:rPr>
          <w:rFonts w:ascii="Times New Roman" w:hAnsi="Times New Roman" w:eastAsia="仿宋_GB2312"/>
          <w:sz w:val="32"/>
          <w:szCs w:val="32"/>
          <w:highlight w:val="none"/>
          <w:lang w:val="en-US" w:eastAsia="zh-CN"/>
        </w:rPr>
        <w:t>69.17</w:t>
      </w:r>
      <w:r>
        <w:rPr>
          <w:rFonts w:hint="eastAsia" w:ascii="Times New Roman" w:hAnsi="Times New Roman" w:eastAsia="仿宋_GB2312"/>
          <w:sz w:val="32"/>
          <w:szCs w:val="32"/>
          <w:highlight w:val="none"/>
        </w:rPr>
        <w:t>万元，占政府采购支出总额的</w:t>
      </w:r>
      <w:r>
        <w:rPr>
          <w:rFonts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%，其中：授予小微企业合同金额</w:t>
      </w:r>
      <w:r>
        <w:rPr>
          <w:rFonts w:ascii="Times New Roman" w:hAnsi="Times New Roman" w:eastAsia="仿宋_GB2312"/>
          <w:sz w:val="32"/>
          <w:szCs w:val="32"/>
          <w:highlight w:val="none"/>
          <w:lang w:val="en-US" w:eastAsia="zh-CN"/>
        </w:rPr>
        <w:t>69.17</w:t>
      </w:r>
      <w:r>
        <w:rPr>
          <w:rFonts w:hint="eastAsia" w:ascii="Times New Roman" w:hAnsi="Times New Roman" w:eastAsia="仿宋_GB2312"/>
          <w:sz w:val="32"/>
          <w:szCs w:val="32"/>
          <w:highlight w:val="none"/>
        </w:rPr>
        <w:t>万元，占政府采购支出总额的</w:t>
      </w:r>
      <w:r>
        <w:rPr>
          <w:rFonts w:ascii="Times New Roman" w:hAnsi="Times New Roman" w:eastAsia="仿宋_GB2312"/>
          <w:sz w:val="32"/>
          <w:szCs w:val="32"/>
          <w:highlight w:val="none"/>
        </w:rPr>
        <w:t>10</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%。货物采购授予中小企业合同金额占货物支出金额的</w:t>
      </w:r>
      <w:r>
        <w:rPr>
          <w:rFonts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bookmarkStart w:id="0" w:name="DIS_MARK_GP_BGT_CGGC_AMT_1"/>
      <w:r>
        <w:rPr>
          <w:rFonts w:hint="eastAsia" w:ascii="Times New Roman" w:eastAsia="仿宋_GB2312"/>
          <w:sz w:val="32"/>
          <w:szCs w:val="32"/>
          <w:highlight w:val="none"/>
          <w:lang w:eastAsia="zh-CN"/>
        </w:rPr>
        <w:t>；</w:t>
      </w:r>
      <w:r>
        <w:rPr>
          <w:rFonts w:hint="eastAsia" w:ascii="Times New Roman" w:hAnsi="Times New Roman" w:eastAsia="仿宋_GB2312"/>
          <w:sz w:val="32"/>
          <w:szCs w:val="32"/>
          <w:highlight w:val="none"/>
        </w:rPr>
        <w:t>由于工程支出金额为0万元，无法计算工程采购授予中小企业合同金额占工程支出金额的百分比；</w:t>
      </w:r>
      <w:bookmarkEnd w:id="0"/>
      <w:r>
        <w:rPr>
          <w:rFonts w:hint="eastAsia" w:ascii="Times New Roman" w:hAnsi="Times New Roman" w:eastAsia="仿宋_GB2312"/>
          <w:w w:val="93"/>
          <w:sz w:val="32"/>
          <w:szCs w:val="32"/>
          <w:highlight w:val="none"/>
        </w:rPr>
        <w:t>服务采购授予中小企业合同金额占服务支出金额的</w:t>
      </w:r>
      <w:r>
        <w:rPr>
          <w:rFonts w:ascii="Times New Roman" w:hAnsi="Times New Roman" w:eastAsia="仿宋_GB2312"/>
          <w:w w:val="93"/>
          <w:sz w:val="32"/>
          <w:szCs w:val="32"/>
          <w:highlight w:val="none"/>
          <w:lang w:val="en-US" w:eastAsia="zh-CN"/>
        </w:rPr>
        <w:t>100</w:t>
      </w:r>
      <w:r>
        <w:rPr>
          <w:rFonts w:hint="eastAsia" w:ascii="Times New Roman" w:hAnsi="Times New Roman" w:eastAsia="仿宋_GB2312"/>
          <w:w w:val="93"/>
          <w:sz w:val="32"/>
          <w:szCs w:val="32"/>
          <w:highlight w:val="none"/>
        </w:rPr>
        <w:t>%。</w:t>
      </w:r>
    </w:p>
    <w:p w14:paraId="31E70E58">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eastAsia="黑体" w:cs="黑体"/>
          <w:b w:val="0"/>
          <w:bCs/>
          <w:sz w:val="32"/>
          <w:szCs w:val="32"/>
          <w:highlight w:val="none"/>
        </w:rPr>
      </w:pPr>
      <w:r>
        <w:rPr>
          <w:rFonts w:hint="eastAsia" w:ascii="黑体" w:eastAsia="黑体" w:cs="黑体"/>
          <w:b w:val="0"/>
          <w:bCs/>
          <w:sz w:val="32"/>
          <w:szCs w:val="32"/>
          <w:highlight w:val="none"/>
        </w:rPr>
        <w:t>十</w:t>
      </w:r>
      <w:r>
        <w:rPr>
          <w:rFonts w:hint="eastAsia" w:cs="黑体"/>
          <w:b w:val="0"/>
          <w:bCs/>
          <w:sz w:val="32"/>
          <w:szCs w:val="32"/>
          <w:highlight w:val="none"/>
          <w:lang w:val="en-US" w:eastAsia="zh-CN"/>
        </w:rPr>
        <w:t>三</w:t>
      </w:r>
      <w:r>
        <w:rPr>
          <w:rFonts w:hint="eastAsia" w:ascii="黑体" w:eastAsia="黑体" w:cs="黑体"/>
          <w:b w:val="0"/>
          <w:bCs/>
          <w:sz w:val="32"/>
          <w:szCs w:val="32"/>
          <w:highlight w:val="none"/>
        </w:rPr>
        <w:t>、关于国有资产占用情况说明</w:t>
      </w:r>
    </w:p>
    <w:p w14:paraId="1D6F710F">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截至202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年12月31日，本单位共有车辆</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辆，其中，主要领导干部用车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辆，机要通信用车</w:t>
      </w:r>
      <w:r>
        <w:rPr>
          <w:rFonts w:hint="eastAsia" w:ascii="Times New Roman" w:eastAsia="仿宋_GB2312"/>
          <w:sz w:val="32"/>
          <w:szCs w:val="32"/>
          <w:highlight w:val="none"/>
          <w:lang w:val="en-US" w:eastAsia="zh-CN"/>
        </w:rPr>
        <w:t>1</w:t>
      </w:r>
      <w:r>
        <w:rPr>
          <w:rFonts w:hint="eastAsia" w:ascii="Times New Roman" w:hAnsi="Times New Roman" w:eastAsia="仿宋_GB2312"/>
          <w:sz w:val="32"/>
          <w:szCs w:val="32"/>
          <w:highlight w:val="none"/>
        </w:rPr>
        <w:t>辆、应急保障用车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辆、执法执勤用车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辆、特种专业技术用车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辆、其他用车</w:t>
      </w:r>
      <w:r>
        <w:rPr>
          <w:rFonts w:hint="eastAsia" w:ascii="Times New Roman" w:eastAsia="仿宋_GB2312"/>
          <w:sz w:val="32"/>
          <w:szCs w:val="32"/>
          <w:highlight w:val="none"/>
          <w:lang w:val="en-US" w:eastAsia="zh-CN"/>
        </w:rPr>
        <w:t>0</w:t>
      </w:r>
      <w:r>
        <w:rPr>
          <w:rFonts w:hint="eastAsia" w:ascii="Times New Roman" w:hAnsi="Times New Roman" w:eastAsia="仿宋_GB2312"/>
          <w:sz w:val="32"/>
          <w:szCs w:val="32"/>
          <w:highlight w:val="none"/>
        </w:rPr>
        <w:t>辆，其他用车主要是</w:t>
      </w:r>
      <w:r>
        <w:rPr>
          <w:rFonts w:hint="eastAsia" w:ascii="仿宋" w:eastAsia="仿宋" w:cs="仿宋"/>
          <w:b w:val="0"/>
          <w:bCs w:val="0"/>
          <w:sz w:val="32"/>
          <w:szCs w:val="32"/>
          <w:highlight w:val="none"/>
          <w:lang w:val="en-US" w:eastAsia="zh-CN"/>
        </w:rPr>
        <w:t>一般公务用车</w:t>
      </w:r>
      <w:r>
        <w:rPr>
          <w:rFonts w:hint="eastAsia" w:ascii="Times New Roman" w:hAnsi="Times New Roman" w:eastAsia="仿宋_GB2312"/>
          <w:sz w:val="32"/>
          <w:szCs w:val="32"/>
          <w:highlight w:val="none"/>
        </w:rPr>
        <w:t>；单位价值50万元以上通用设备</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台（套）；单位价值100万元以上专用设备</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台（套）。</w:t>
      </w:r>
    </w:p>
    <w:p w14:paraId="6372F772">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eastAsia="黑体" w:cs="黑体"/>
          <w:b w:val="0"/>
          <w:bCs/>
          <w:sz w:val="32"/>
          <w:szCs w:val="32"/>
          <w:highlight w:val="none"/>
        </w:rPr>
      </w:pPr>
      <w:r>
        <w:rPr>
          <w:rFonts w:hint="eastAsia" w:ascii="黑体" w:eastAsia="黑体" w:cs="黑体"/>
          <w:b w:val="0"/>
          <w:bCs/>
          <w:sz w:val="32"/>
          <w:szCs w:val="32"/>
          <w:highlight w:val="none"/>
        </w:rPr>
        <w:t>十</w:t>
      </w:r>
      <w:r>
        <w:rPr>
          <w:rFonts w:hint="eastAsia" w:cs="黑体"/>
          <w:b w:val="0"/>
          <w:bCs/>
          <w:sz w:val="32"/>
          <w:szCs w:val="32"/>
          <w:highlight w:val="none"/>
          <w:lang w:val="en-US" w:eastAsia="zh-CN"/>
        </w:rPr>
        <w:t>四</w:t>
      </w:r>
      <w:r>
        <w:rPr>
          <w:rFonts w:hint="eastAsia" w:ascii="黑体" w:eastAsia="黑体" w:cs="黑体"/>
          <w:b w:val="0"/>
          <w:bCs/>
          <w:sz w:val="32"/>
          <w:szCs w:val="32"/>
          <w:highlight w:val="none"/>
        </w:rPr>
        <w:t>、关于</w:t>
      </w: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黑体" w:eastAsia="黑体" w:cs="黑体"/>
          <w:b w:val="0"/>
          <w:bCs/>
          <w:sz w:val="32"/>
          <w:szCs w:val="32"/>
          <w:highlight w:val="none"/>
        </w:rPr>
        <w:t>年度预算绩效情况的说明</w:t>
      </w:r>
    </w:p>
    <w:p w14:paraId="045593C8">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楷体" w:eastAsia="楷体" w:cs="楷体"/>
          <w:b/>
          <w:bCs/>
          <w:sz w:val="32"/>
          <w:szCs w:val="32"/>
          <w:highlight w:val="none"/>
        </w:rPr>
      </w:pPr>
      <w:r>
        <w:rPr>
          <w:rFonts w:hint="eastAsia" w:ascii="楷体" w:eastAsia="楷体" w:cs="楷体"/>
          <w:b/>
          <w:bCs/>
          <w:sz w:val="32"/>
          <w:szCs w:val="32"/>
          <w:highlight w:val="none"/>
          <w:lang w:eastAsia="zh-CN"/>
        </w:rPr>
        <w:t>（一）</w:t>
      </w:r>
      <w:r>
        <w:rPr>
          <w:rFonts w:hint="eastAsia" w:ascii="楷体" w:eastAsia="楷体" w:cs="楷体"/>
          <w:b/>
          <w:bCs/>
          <w:sz w:val="32"/>
          <w:szCs w:val="32"/>
          <w:highlight w:val="none"/>
        </w:rPr>
        <w:t>部门整体支出绩效情况</w:t>
      </w:r>
    </w:p>
    <w:p w14:paraId="23761C41">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根据预算绩效管理要求，我部门组织开展整体支出绩效评价，涉及一般公共预算支出465.94万元，政府性基金预算支出0万元。从评价情况来看，按照财政部门要求开展了整体支出绩效自评，形成的整体支出绩效自评报告见附件。从评价情况来看，通过全年工作的开展，各项目标任务都有效完成。</w:t>
      </w:r>
    </w:p>
    <w:p w14:paraId="3E81A5F4">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楷体" w:eastAsia="楷体" w:cs="楷体"/>
          <w:b/>
          <w:bCs/>
          <w:sz w:val="32"/>
          <w:szCs w:val="32"/>
          <w:highlight w:val="none"/>
        </w:rPr>
      </w:pPr>
      <w:r>
        <w:rPr>
          <w:rFonts w:hint="eastAsia" w:ascii="楷体" w:eastAsia="楷体" w:cs="楷体"/>
          <w:b/>
          <w:bCs/>
          <w:sz w:val="32"/>
          <w:szCs w:val="32"/>
          <w:highlight w:val="none"/>
          <w:lang w:eastAsia="zh-CN"/>
        </w:rPr>
        <w:t>（二）</w:t>
      </w:r>
      <w:r>
        <w:rPr>
          <w:rFonts w:hint="eastAsia" w:ascii="楷体" w:eastAsia="楷体" w:cs="楷体"/>
          <w:b/>
          <w:bCs/>
          <w:sz w:val="32"/>
          <w:szCs w:val="32"/>
          <w:highlight w:val="none"/>
        </w:rPr>
        <w:t>存在的问题及原因分析</w:t>
      </w:r>
    </w:p>
    <w:p w14:paraId="0F4A4BC7">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1、管理制度有待进一步完善</w:t>
      </w:r>
    </w:p>
    <w:p w14:paraId="724BD461">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本单位已制定了财务管理制度、项目资金管理办法及项目实施方案，但不够细化，有待进一步完善。</w:t>
      </w:r>
    </w:p>
    <w:p w14:paraId="6A3EDD11">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2、预算控制率有待降低</w:t>
      </w:r>
    </w:p>
    <w:p w14:paraId="5EEC32F3">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因部分项目年初未纳入预算，如2021年度绩效奖励资金等人员经费，导致预算控制率上升。</w:t>
      </w:r>
    </w:p>
    <w:p w14:paraId="5A284DA6">
      <w:pPr>
        <w:rPr>
          <w:rFonts w:hint="eastAsia" w:ascii="方正小标宋_GBK" w:eastAsia="方正小标宋_GBK" w:cs="方正小标宋_GBK"/>
          <w:sz w:val="72"/>
          <w:szCs w:val="72"/>
          <w:highlight w:val="none"/>
        </w:rPr>
      </w:pPr>
      <w:r>
        <w:rPr>
          <w:rFonts w:hint="eastAsia" w:ascii="方正小标宋_GBK" w:eastAsia="方正小标宋_GBK" w:cs="方正小标宋_GBK"/>
          <w:sz w:val="72"/>
          <w:szCs w:val="72"/>
          <w:highlight w:val="none"/>
        </w:rPr>
        <w:br w:type="page"/>
      </w:r>
    </w:p>
    <w:p w14:paraId="6E08D008">
      <w:pPr>
        <w:pStyle w:val="11"/>
        <w:jc w:val="both"/>
        <w:rPr>
          <w:rFonts w:hint="eastAsia" w:ascii="方正小标宋_GBK" w:eastAsia="方正小标宋_GBK" w:cs="方正小标宋_GBK"/>
          <w:sz w:val="72"/>
          <w:szCs w:val="72"/>
          <w:highlight w:val="none"/>
        </w:rPr>
      </w:pPr>
    </w:p>
    <w:p w14:paraId="3FE68566">
      <w:pPr>
        <w:pStyle w:val="11"/>
        <w:jc w:val="both"/>
        <w:rPr>
          <w:rFonts w:hint="eastAsia" w:ascii="方正小标宋_GBK" w:eastAsia="方正小标宋_GBK" w:cs="方正小标宋_GBK"/>
          <w:sz w:val="72"/>
          <w:szCs w:val="72"/>
          <w:highlight w:val="none"/>
        </w:rPr>
      </w:pPr>
    </w:p>
    <w:p w14:paraId="627F2E3F">
      <w:pPr>
        <w:pStyle w:val="11"/>
        <w:jc w:val="both"/>
        <w:rPr>
          <w:rFonts w:hint="eastAsia" w:ascii="方正小标宋_GBK" w:eastAsia="方正小标宋_GBK" w:cs="方正小标宋_GBK"/>
          <w:sz w:val="72"/>
          <w:szCs w:val="72"/>
          <w:highlight w:val="none"/>
        </w:rPr>
      </w:pPr>
    </w:p>
    <w:p w14:paraId="264DB481">
      <w:pPr>
        <w:pStyle w:val="11"/>
        <w:jc w:val="both"/>
        <w:rPr>
          <w:rFonts w:hint="eastAsia" w:ascii="方正小标宋_GBK" w:eastAsia="方正小标宋_GBK" w:cs="方正小标宋_GBK"/>
          <w:sz w:val="72"/>
          <w:szCs w:val="72"/>
          <w:highlight w:val="none"/>
        </w:rPr>
      </w:pPr>
    </w:p>
    <w:p w14:paraId="3F589D53">
      <w:pPr>
        <w:pStyle w:val="11"/>
        <w:jc w:val="center"/>
        <w:rPr>
          <w:rFonts w:hint="eastAsia" w:ascii="方正小标宋_GBK" w:eastAsia="方正小标宋_GBK" w:cs="方正小标宋_GBK"/>
          <w:sz w:val="72"/>
          <w:szCs w:val="72"/>
          <w:highlight w:val="none"/>
        </w:rPr>
      </w:pPr>
    </w:p>
    <w:p w14:paraId="74E59822">
      <w:pPr>
        <w:pStyle w:val="11"/>
        <w:jc w:val="center"/>
        <w:rPr>
          <w:rFonts w:hint="eastAsia" w:ascii="方正小标宋_GBK" w:eastAsia="方正小标宋_GBK" w:cs="方正小标宋_GBK"/>
          <w:sz w:val="72"/>
          <w:szCs w:val="72"/>
          <w:highlight w:val="none"/>
        </w:rPr>
      </w:pPr>
      <w:r>
        <w:rPr>
          <w:rFonts w:hint="eastAsia" w:ascii="方正小标宋_GBK" w:eastAsia="方正小标宋_GBK" w:cs="方正小标宋_GBK"/>
          <w:sz w:val="72"/>
          <w:szCs w:val="72"/>
          <w:highlight w:val="none"/>
        </w:rPr>
        <w:t>第四部分</w:t>
      </w:r>
    </w:p>
    <w:p w14:paraId="21EEE4EC">
      <w:pPr>
        <w:jc w:val="center"/>
        <w:rPr>
          <w:rFonts w:hint="eastAsia" w:ascii="方正小标宋_GBK" w:eastAsia="方正小标宋_GBK" w:cs="方正小标宋_GBK"/>
          <w:color w:val="000000"/>
          <w:kern w:val="0"/>
          <w:sz w:val="70"/>
          <w:szCs w:val="70"/>
          <w:highlight w:val="none"/>
        </w:rPr>
      </w:pPr>
    </w:p>
    <w:p w14:paraId="37665AA1">
      <w:pPr>
        <w:jc w:val="center"/>
        <w:rPr>
          <w:rFonts w:hint="eastAsia" w:ascii="方正小标宋_GBK" w:eastAsia="方正小标宋_GBK" w:cs="方正小标宋_GBK"/>
          <w:color w:val="000000"/>
          <w:kern w:val="0"/>
          <w:sz w:val="70"/>
          <w:szCs w:val="70"/>
          <w:highlight w:val="none"/>
        </w:rPr>
      </w:pPr>
      <w:r>
        <w:rPr>
          <w:rFonts w:hint="eastAsia" w:ascii="方正小标宋_GBK" w:eastAsia="方正小标宋_GBK" w:cs="方正小标宋_GBK"/>
          <w:color w:val="000000"/>
          <w:kern w:val="0"/>
          <w:sz w:val="70"/>
          <w:szCs w:val="70"/>
          <w:highlight w:val="none"/>
        </w:rPr>
        <w:t>名词解释</w:t>
      </w:r>
    </w:p>
    <w:p w14:paraId="272C5731">
      <w:pPr>
        <w:widowControl/>
        <w:jc w:val="left"/>
        <w:rPr>
          <w:rFonts w:ascii="宋体" w:cs="黑体"/>
          <w:color w:val="000000"/>
          <w:kern w:val="0"/>
          <w:sz w:val="32"/>
          <w:szCs w:val="32"/>
          <w:highlight w:val="none"/>
        </w:rPr>
      </w:pPr>
      <w:r>
        <w:rPr>
          <w:rFonts w:hint="eastAsia" w:ascii="方正小标宋_GBK" w:eastAsia="方正小标宋_GBK" w:cs="方正小标宋_GBK"/>
          <w:color w:val="000000"/>
          <w:kern w:val="0"/>
          <w:sz w:val="70"/>
          <w:szCs w:val="70"/>
          <w:highlight w:val="none"/>
        </w:rPr>
        <w:br w:type="page"/>
      </w:r>
    </w:p>
    <w:p w14:paraId="090F917C">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2FE696A8">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6D7DCDC">
      <w:pPr>
        <w:pStyle w:val="11"/>
        <w:jc w:val="center"/>
        <w:rPr>
          <w:sz w:val="72"/>
          <w:szCs w:val="72"/>
          <w:highlight w:val="none"/>
        </w:rPr>
      </w:pPr>
    </w:p>
    <w:p w14:paraId="4A1AEA38">
      <w:pPr>
        <w:pStyle w:val="11"/>
        <w:jc w:val="center"/>
        <w:rPr>
          <w:sz w:val="72"/>
          <w:szCs w:val="72"/>
          <w:highlight w:val="none"/>
        </w:rPr>
      </w:pPr>
    </w:p>
    <w:p w14:paraId="5514FE93">
      <w:pPr>
        <w:pStyle w:val="11"/>
        <w:jc w:val="center"/>
        <w:rPr>
          <w:sz w:val="72"/>
          <w:szCs w:val="72"/>
          <w:highlight w:val="none"/>
        </w:rPr>
      </w:pPr>
    </w:p>
    <w:p w14:paraId="4448A126">
      <w:pPr>
        <w:pStyle w:val="11"/>
        <w:jc w:val="center"/>
        <w:rPr>
          <w:sz w:val="72"/>
          <w:szCs w:val="72"/>
          <w:highlight w:val="none"/>
        </w:rPr>
      </w:pPr>
    </w:p>
    <w:p w14:paraId="59C5B329">
      <w:pPr>
        <w:pStyle w:val="11"/>
        <w:jc w:val="center"/>
        <w:rPr>
          <w:sz w:val="72"/>
          <w:szCs w:val="72"/>
          <w:highlight w:val="none"/>
        </w:rPr>
      </w:pPr>
    </w:p>
    <w:p w14:paraId="057921E4">
      <w:pPr>
        <w:pStyle w:val="11"/>
        <w:jc w:val="center"/>
        <w:rPr>
          <w:sz w:val="72"/>
          <w:szCs w:val="72"/>
          <w:highlight w:val="none"/>
        </w:rPr>
      </w:pPr>
    </w:p>
    <w:p w14:paraId="6F9CE5B2">
      <w:pPr>
        <w:pStyle w:val="11"/>
        <w:jc w:val="center"/>
        <w:rPr>
          <w:sz w:val="72"/>
          <w:szCs w:val="72"/>
          <w:highlight w:val="none"/>
        </w:rPr>
      </w:pPr>
    </w:p>
    <w:p w14:paraId="41A303A7">
      <w:pPr>
        <w:pStyle w:val="11"/>
        <w:jc w:val="center"/>
        <w:rPr>
          <w:sz w:val="72"/>
          <w:szCs w:val="72"/>
          <w:highlight w:val="none"/>
        </w:rPr>
      </w:pPr>
    </w:p>
    <w:p w14:paraId="72632145">
      <w:pPr>
        <w:pStyle w:val="11"/>
        <w:jc w:val="center"/>
        <w:rPr>
          <w:sz w:val="72"/>
          <w:szCs w:val="72"/>
          <w:highlight w:val="none"/>
        </w:rPr>
      </w:pPr>
    </w:p>
    <w:p w14:paraId="7CA6225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eastAsia="黑体" w:cs="黑体"/>
          <w:i w:val="0"/>
          <w:iCs w:val="0"/>
          <w:caps w:val="0"/>
          <w:smallCaps w:val="0"/>
          <w:color w:val="000000"/>
          <w:spacing w:val="0"/>
          <w:sz w:val="72"/>
          <w:szCs w:val="72"/>
          <w:highlight w:val="none"/>
          <w:shd w:val="clear" w:color="auto" w:fill="FFFFFF"/>
        </w:rPr>
      </w:pPr>
    </w:p>
    <w:p w14:paraId="75B0055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eastAsia="黑体" w:cs="黑体"/>
          <w:i w:val="0"/>
          <w:iCs w:val="0"/>
          <w:caps w:val="0"/>
          <w:smallCaps w:val="0"/>
          <w:color w:val="000000"/>
          <w:spacing w:val="0"/>
          <w:sz w:val="72"/>
          <w:szCs w:val="72"/>
          <w:highlight w:val="none"/>
          <w:shd w:val="clear" w:color="auto" w:fill="FFFFFF"/>
        </w:rPr>
      </w:pPr>
    </w:p>
    <w:p w14:paraId="3AF5B7F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eastAsia="黑体" w:cs="黑体"/>
          <w:i w:val="0"/>
          <w:iCs w:val="0"/>
          <w:caps w:val="0"/>
          <w:smallCaps w:val="0"/>
          <w:color w:val="000000"/>
          <w:spacing w:val="0"/>
          <w:sz w:val="72"/>
          <w:szCs w:val="72"/>
          <w:highlight w:val="none"/>
          <w:shd w:val="clear" w:color="auto" w:fill="FFFFFF"/>
        </w:rPr>
      </w:pPr>
    </w:p>
    <w:p w14:paraId="4871F50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eastAsia="黑体" w:cs="黑体"/>
          <w:i w:val="0"/>
          <w:iCs w:val="0"/>
          <w:caps w:val="0"/>
          <w:smallCaps w:val="0"/>
          <w:color w:val="000000"/>
          <w:spacing w:val="0"/>
          <w:sz w:val="72"/>
          <w:szCs w:val="72"/>
          <w:highlight w:val="none"/>
          <w:shd w:val="clear" w:color="auto" w:fill="FFFFFF"/>
        </w:rPr>
      </w:pPr>
    </w:p>
    <w:p w14:paraId="1E0FFAF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eastAsia="黑体" w:cs="黑体"/>
          <w:i w:val="0"/>
          <w:iCs w:val="0"/>
          <w:caps w:val="0"/>
          <w:smallCaps w:val="0"/>
          <w:color w:val="000000"/>
          <w:spacing w:val="0"/>
          <w:sz w:val="72"/>
          <w:szCs w:val="72"/>
          <w:highlight w:val="none"/>
          <w:shd w:val="clear" w:color="auto" w:fill="FFFFFF"/>
        </w:rPr>
      </w:pPr>
      <w:r>
        <w:rPr>
          <w:rFonts w:hint="eastAsia" w:ascii="黑体" w:eastAsia="黑体" w:cs="黑体"/>
          <w:i w:val="0"/>
          <w:iCs w:val="0"/>
          <w:caps w:val="0"/>
          <w:smallCaps w:val="0"/>
          <w:color w:val="000000"/>
          <w:spacing w:val="0"/>
          <w:sz w:val="72"/>
          <w:szCs w:val="72"/>
          <w:highlight w:val="none"/>
          <w:shd w:val="clear" w:color="auto" w:fill="FFFFFF"/>
        </w:rPr>
        <w:t>第五部分</w:t>
      </w:r>
    </w:p>
    <w:p w14:paraId="4F6C0F1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eastAsia="黑体" w:cs="黑体"/>
          <w:i w:val="0"/>
          <w:iCs w:val="0"/>
          <w:caps w:val="0"/>
          <w:smallCaps w:val="0"/>
          <w:color w:val="000000"/>
          <w:spacing w:val="0"/>
          <w:sz w:val="72"/>
          <w:szCs w:val="72"/>
          <w:highlight w:val="none"/>
          <w:shd w:val="clear" w:color="auto" w:fill="FFFFFF"/>
        </w:rPr>
      </w:pPr>
    </w:p>
    <w:p w14:paraId="07811AB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ascii="Calibri" w:hAnsi="Calibri" w:cs="Calibri"/>
          <w:color w:val="3D3D3D"/>
          <w:sz w:val="21"/>
          <w:szCs w:val="21"/>
          <w:highlight w:val="none"/>
        </w:rPr>
      </w:pPr>
      <w:r>
        <w:rPr>
          <w:rFonts w:hint="eastAsia" w:ascii="黑体" w:eastAsia="黑体" w:cs="黑体"/>
          <w:i w:val="0"/>
          <w:iCs w:val="0"/>
          <w:caps w:val="0"/>
          <w:smallCaps w:val="0"/>
          <w:color w:val="000000"/>
          <w:spacing w:val="0"/>
          <w:sz w:val="70"/>
          <w:szCs w:val="70"/>
          <w:highlight w:val="none"/>
          <w:shd w:val="clear" w:color="auto" w:fill="FFFFFF"/>
        </w:rPr>
        <w:t>附件</w:t>
      </w:r>
    </w:p>
    <w:p w14:paraId="48ADDEBA">
      <w:pPr>
        <w:pStyle w:val="11"/>
        <w:jc w:val="center"/>
        <w:rPr>
          <w:sz w:val="72"/>
          <w:szCs w:val="72"/>
          <w:highlight w:val="none"/>
        </w:rPr>
      </w:pPr>
    </w:p>
    <w:p w14:paraId="49CF2154">
      <w:pPr>
        <w:pStyle w:val="11"/>
        <w:jc w:val="center"/>
        <w:rPr>
          <w:sz w:val="72"/>
          <w:szCs w:val="72"/>
          <w:highlight w:val="none"/>
        </w:rPr>
      </w:pPr>
    </w:p>
    <w:p w14:paraId="5F9A386E">
      <w:pPr>
        <w:pStyle w:val="11"/>
        <w:jc w:val="center"/>
        <w:rPr>
          <w:sz w:val="72"/>
          <w:szCs w:val="72"/>
          <w:highlight w:val="none"/>
        </w:rPr>
      </w:pPr>
    </w:p>
    <w:p w14:paraId="0198BB0C">
      <w:pPr>
        <w:pStyle w:val="11"/>
        <w:jc w:val="center"/>
        <w:rPr>
          <w:sz w:val="72"/>
          <w:szCs w:val="72"/>
          <w:highlight w:val="none"/>
        </w:rPr>
      </w:pPr>
    </w:p>
    <w:p w14:paraId="54D96AA2">
      <w:pPr>
        <w:pStyle w:val="11"/>
        <w:jc w:val="center"/>
        <w:rPr>
          <w:sz w:val="72"/>
          <w:szCs w:val="72"/>
          <w:highlight w:val="none"/>
        </w:rPr>
      </w:pPr>
    </w:p>
    <w:p w14:paraId="112CBB8D">
      <w:pPr>
        <w:pStyle w:val="11"/>
        <w:jc w:val="center"/>
        <w:rPr>
          <w:sz w:val="72"/>
          <w:szCs w:val="72"/>
          <w:highlight w:val="none"/>
        </w:rPr>
      </w:pPr>
    </w:p>
    <w:p w14:paraId="1FE8D39D">
      <w:pPr>
        <w:pStyle w:val="11"/>
        <w:jc w:val="center"/>
        <w:rPr>
          <w:sz w:val="72"/>
          <w:szCs w:val="72"/>
          <w:highlight w:val="none"/>
        </w:rPr>
      </w:pPr>
    </w:p>
    <w:p w14:paraId="30B4A784">
      <w:pPr>
        <w:pStyle w:val="11"/>
        <w:jc w:val="center"/>
        <w:rPr>
          <w:sz w:val="72"/>
          <w:szCs w:val="72"/>
          <w:highlight w:val="none"/>
        </w:rPr>
      </w:pPr>
    </w:p>
    <w:p w14:paraId="56D5DD2A">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1、2022年部门决算公开表</w:t>
      </w:r>
    </w:p>
    <w:p w14:paraId="0E9270E5">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2、2022年部门整体支出绩效报告</w:t>
      </w:r>
    </w:p>
    <w:p w14:paraId="64B75DC2">
      <w:pPr>
        <w:pStyle w:val="11"/>
        <w:jc w:val="center"/>
        <w:rPr>
          <w:sz w:val="72"/>
          <w:szCs w:val="72"/>
          <w:highlight w:val="none"/>
        </w:rPr>
      </w:pPr>
    </w:p>
    <w:p w14:paraId="6F2FBE73">
      <w:pPr>
        <w:jc w:val="left"/>
        <w:rPr>
          <w:rFonts w:ascii="宋体" w:cs="黑体"/>
          <w:color w:val="000000"/>
          <w:kern w:val="0"/>
          <w:sz w:val="32"/>
          <w:szCs w:val="32"/>
          <w:highlight w:val="none"/>
        </w:rPr>
      </w:pPr>
    </w:p>
    <w:sectPr>
      <w:pgSz w:w="11906" w:h="16838"/>
      <w:pgMar w:top="720" w:right="720" w:bottom="720" w:left="72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1D3E244-1A33-41C3-8379-3D290B67DA9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12E55604-4578-4E54-9E08-5D62307EF61E}"/>
  </w:font>
  <w:font w:name="方正小标宋_GBK">
    <w:panose1 w:val="02000000000000000000"/>
    <w:charset w:val="86"/>
    <w:family w:val="script"/>
    <w:pitch w:val="default"/>
    <w:sig w:usb0="A00002BF" w:usb1="38CF7CFA" w:usb2="00082016" w:usb3="00000000" w:csb0="00040001" w:csb1="00000000"/>
    <w:embedRegular r:id="rId3" w:fontKey="{008F24C9-FBD7-42E1-AE64-23595FCD9ACB}"/>
  </w:font>
  <w:font w:name="仿宋">
    <w:panose1 w:val="02010609060101010101"/>
    <w:charset w:val="86"/>
    <w:family w:val="auto"/>
    <w:pitch w:val="default"/>
    <w:sig w:usb0="800002BF" w:usb1="38CF7CFA" w:usb2="00000016" w:usb3="00000000" w:csb0="00040001" w:csb1="00000000"/>
    <w:embedRegular r:id="rId4" w:fontKey="{2447674E-6194-4586-8989-DCDAB77A7562}"/>
  </w:font>
  <w:font w:name="仿宋_GB2312">
    <w:panose1 w:val="02010609030101010101"/>
    <w:charset w:val="86"/>
    <w:family w:val="modern"/>
    <w:pitch w:val="default"/>
    <w:sig w:usb0="00000001" w:usb1="080E0000" w:usb2="00000000" w:usb3="00000000" w:csb0="00040000" w:csb1="00000000"/>
    <w:embedRegular r:id="rId5" w:fontKey="{D90423A5-370E-4B0F-AF17-D34A932FF5B3}"/>
  </w:font>
  <w:font w:name="楷体">
    <w:panose1 w:val="02010609060101010101"/>
    <w:charset w:val="86"/>
    <w:family w:val="auto"/>
    <w:pitch w:val="default"/>
    <w:sig w:usb0="800002BF" w:usb1="38CF7CFA" w:usb2="00000016" w:usb3="00000000" w:csb0="00040001" w:csb1="00000000"/>
    <w:embedRegular r:id="rId6" w:fontKey="{95CD76E1-F3FF-4D2D-AF78-B07E6253B22A}"/>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E93523"/>
    <w:multiLevelType w:val="singleLevel"/>
    <w:tmpl w:val="50E93523"/>
    <w:lvl w:ilvl="0" w:tentative="0">
      <w:start w:val="7"/>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docVars>
    <w:docVar w:name="commondata" w:val="eyJoZGlkIjoiYmJkZmVlZWE1YThmOTUxYzdmMmU4OWMyMmJiMWY5ZTgifQ=="/>
  </w:docVars>
  <w:rsids>
    <w:rsidRoot w:val="00000000"/>
    <w:rsid w:val="0237048F"/>
    <w:rsid w:val="052421AE"/>
    <w:rsid w:val="0C6C16D9"/>
    <w:rsid w:val="245E3964"/>
    <w:rsid w:val="29181220"/>
    <w:rsid w:val="339856DE"/>
    <w:rsid w:val="49A5428F"/>
    <w:rsid w:val="49AE0410"/>
    <w:rsid w:val="4EA41299"/>
    <w:rsid w:val="5A8264C0"/>
    <w:rsid w:val="5EDD6435"/>
    <w:rsid w:val="6BB66BA3"/>
    <w:rsid w:val="784B788E"/>
    <w:rsid w:val="79B072F4"/>
    <w:rsid w:val="7AEB46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alloon Text"/>
    <w:basedOn w:val="1"/>
    <w:qFormat/>
    <w:uiPriority w:val="0"/>
    <w:rPr>
      <w:sz w:val="18"/>
      <w:szCs w:val="18"/>
    </w:rPr>
  </w:style>
  <w:style w:type="paragraph" w:styleId="6">
    <w:name w:val="footer"/>
    <w:basedOn w:val="1"/>
    <w:next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rPr>
  </w:style>
  <w:style w:type="paragraph" w:customStyle="1" w:styleId="11">
    <w:name w:val="Default"/>
    <w:qFormat/>
    <w:uiPriority w:val="0"/>
    <w:pPr>
      <w:widowControl w:val="0"/>
      <w:autoSpaceDE w:val="0"/>
      <w:autoSpaceDN w:val="0"/>
      <w:adjustRightInd w:val="0"/>
    </w:pPr>
    <w:rPr>
      <w:rFonts w:ascii="黑体" w:hAnsi="Times New Roman" w:eastAsia="黑体" w:cs="黑体"/>
      <w:color w:val="000000"/>
      <w:kern w:val="0"/>
      <w:sz w:val="24"/>
      <w:szCs w:val="24"/>
      <w:lang w:val="en-US" w:eastAsia="zh-CN" w:bidi="ar-SA"/>
    </w:rPr>
  </w:style>
  <w:style w:type="paragraph" w:styleId="12">
    <w:name w:val="List Paragraph"/>
    <w:basedOn w:val="1"/>
    <w:qFormat/>
    <w:uiPriority w:val="0"/>
    <w:pPr>
      <w:ind w:firstLine="200" w:firstLineChars="200"/>
    </w:pPr>
  </w:style>
  <w:style w:type="character" w:customStyle="1" w:styleId="13">
    <w:name w:val="font01"/>
    <w:basedOn w:val="10"/>
    <w:qFormat/>
    <w:uiPriority w:val="0"/>
    <w:rPr>
      <w:rFonts w:ascii="宋体" w:eastAsia="宋体" w:cs="宋体"/>
      <w:color w:val="000000"/>
      <w:sz w:val="22"/>
      <w:szCs w:val="22"/>
      <w:u w:val="none"/>
    </w:rPr>
  </w:style>
  <w:style w:type="character" w:customStyle="1" w:styleId="14">
    <w:name w:val="font21"/>
    <w:basedOn w:val="10"/>
    <w:qFormat/>
    <w:uiPriority w:val="0"/>
    <w:rPr>
      <w:rFonts w:ascii="宋体" w:eastAsia="宋体" w:cs="宋体"/>
      <w:color w:val="000000"/>
      <w:sz w:val="24"/>
      <w:szCs w:val="24"/>
      <w:u w:val="none"/>
    </w:rPr>
  </w:style>
  <w:style w:type="character" w:customStyle="1" w:styleId="15">
    <w:name w:val="font11"/>
    <w:basedOn w:val="10"/>
    <w:qFormat/>
    <w:uiPriority w:val="0"/>
    <w:rPr>
      <w:rFonts w:asci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Microsoft</Company>
  <Pages>17</Pages>
  <Words>5288</Words>
  <Characters>5761</Characters>
  <Lines>1731</Lines>
  <Paragraphs>1166</Paragraphs>
  <TotalTime>1</TotalTime>
  <ScaleCrop>false</ScaleCrop>
  <LinksUpToDate>false</LinksUpToDate>
  <CharactersWithSpaces>5767</CharactersWithSpaces>
  <Application>WPS Office_12.1.0.17857_F1E327BC-269C-435d-A152-05C5408002CA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2023-08-15T09:28:00Z</cp:lastPrinted>
  <dcterms:modified xsi:type="dcterms:W3CDTF">2024-10-14T10:54:13Z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B945F61488CC44EAB1CE0E35AFA662A1_12</vt:lpwstr>
  </property>
</Properties>
</file>