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3C6F1">
      <w:pPr>
        <w:pStyle w:val="10"/>
        <w:jc w:val="center"/>
        <w:rPr>
          <w:sz w:val="56"/>
          <w:szCs w:val="56"/>
          <w:highlight w:val="none"/>
        </w:rPr>
      </w:pPr>
    </w:p>
    <w:p w14:paraId="7C104C11">
      <w:pPr>
        <w:pStyle w:val="10"/>
        <w:jc w:val="center"/>
        <w:rPr>
          <w:sz w:val="56"/>
          <w:szCs w:val="56"/>
          <w:highlight w:val="none"/>
        </w:rPr>
      </w:pPr>
    </w:p>
    <w:p w14:paraId="2EE34717">
      <w:pPr>
        <w:pStyle w:val="10"/>
        <w:jc w:val="center"/>
        <w:rPr>
          <w:sz w:val="84"/>
          <w:szCs w:val="84"/>
          <w:highlight w:val="none"/>
        </w:rPr>
      </w:pPr>
    </w:p>
    <w:p w14:paraId="29F0F54A">
      <w:pPr>
        <w:pStyle w:val="10"/>
        <w:jc w:val="center"/>
        <w:rPr>
          <w:sz w:val="84"/>
          <w:szCs w:val="84"/>
          <w:highlight w:val="none"/>
        </w:rPr>
      </w:pPr>
    </w:p>
    <w:p w14:paraId="26AD2D99">
      <w:pPr>
        <w:pStyle w:val="5"/>
        <w:keepNext w:val="0"/>
        <w:keepLines w:val="0"/>
        <w:widowControl/>
        <w:suppressLineNumbers w:val="0"/>
        <w:spacing w:before="0" w:beforeAutospacing="0" w:after="0" w:afterAutospacing="0"/>
        <w:ind w:left="0" w:right="0" w:firstLine="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w:t>
      </w:r>
    </w:p>
    <w:p w14:paraId="05172F9F">
      <w:pPr>
        <w:pStyle w:val="5"/>
        <w:keepNext w:val="0"/>
        <w:keepLines w:val="0"/>
        <w:widowControl/>
        <w:suppressLineNumbers w:val="0"/>
        <w:spacing w:before="0" w:beforeAutospacing="0" w:after="0" w:afterAutospacing="0"/>
        <w:ind w:left="0" w:right="0" w:firstLine="0"/>
        <w:jc w:val="center"/>
        <w:rPr>
          <w:highlight w:val="none"/>
        </w:rPr>
      </w:pPr>
      <w:r>
        <w:rPr>
          <w:rFonts w:hint="eastAsia" w:ascii="方正小标宋_GBK" w:hAnsi="方正小标宋_GBK" w:eastAsia="方正小标宋_GBK" w:cs="方正小标宋_GBK"/>
          <w:sz w:val="84"/>
          <w:szCs w:val="84"/>
          <w:highlight w:val="none"/>
        </w:rPr>
        <w:t>中国共产党怀化市直属机关工作委员会部门</w:t>
      </w:r>
      <w:r>
        <w:rPr>
          <w:rFonts w:hint="eastAsia" w:ascii="方正小标宋_GBK" w:hAnsi="方正小标宋_GBK" w:eastAsia="方正小标宋_GBK" w:cs="方正小标宋_GBK"/>
          <w:sz w:val="84"/>
          <w:szCs w:val="84"/>
          <w:highlight w:val="none"/>
          <w:lang w:val="en-US" w:eastAsia="zh-CN"/>
        </w:rPr>
        <w:t>决</w:t>
      </w:r>
      <w:r>
        <w:rPr>
          <w:rFonts w:hint="eastAsia" w:ascii="方正小标宋_GBK" w:hAnsi="方正小标宋_GBK" w:eastAsia="方正小标宋_GBK" w:cs="方正小标宋_GBK"/>
          <w:sz w:val="84"/>
          <w:szCs w:val="84"/>
          <w:highlight w:val="none"/>
        </w:rPr>
        <w:t>算</w:t>
      </w:r>
    </w:p>
    <w:p w14:paraId="1076145B">
      <w:pPr>
        <w:pStyle w:val="10"/>
        <w:jc w:val="center"/>
        <w:rPr>
          <w:rFonts w:hint="eastAsia" w:ascii="方正小标宋_GBK" w:hAnsi="方正小标宋_GBK" w:eastAsia="方正小标宋_GBK" w:cs="方正小标宋_GBK"/>
          <w:sz w:val="84"/>
          <w:szCs w:val="84"/>
          <w:highlight w:val="none"/>
        </w:rPr>
      </w:pPr>
    </w:p>
    <w:p w14:paraId="059B102B">
      <w:pPr>
        <w:rPr>
          <w:b/>
          <w:sz w:val="36"/>
          <w:szCs w:val="28"/>
          <w:highlight w:val="none"/>
        </w:rPr>
      </w:pPr>
      <w:r>
        <w:rPr>
          <w:rFonts w:hint="eastAsia" w:ascii="方正小标宋_GBK" w:hAnsi="方正小标宋_GBK" w:eastAsia="方正小标宋_GBK" w:cs="方正小标宋_GBK"/>
          <w:sz w:val="84"/>
          <w:szCs w:val="84"/>
          <w:highlight w:val="none"/>
        </w:rPr>
        <w:br w:type="page"/>
      </w:r>
    </w:p>
    <w:p w14:paraId="14BF378F">
      <w:pPr>
        <w:pStyle w:val="10"/>
        <w:spacing w:line="500" w:lineRule="exact"/>
        <w:jc w:val="center"/>
        <w:rPr>
          <w:rFonts w:hint="eastAsia"/>
          <w:b/>
          <w:sz w:val="36"/>
          <w:szCs w:val="28"/>
          <w:highlight w:val="none"/>
        </w:rPr>
      </w:pPr>
      <w:r>
        <w:rPr>
          <w:rFonts w:hint="eastAsia"/>
          <w:b/>
          <w:sz w:val="36"/>
          <w:szCs w:val="28"/>
          <w:highlight w:val="none"/>
        </w:rPr>
        <w:t>目录</w:t>
      </w:r>
    </w:p>
    <w:p w14:paraId="3278A973">
      <w:pPr>
        <w:pStyle w:val="5"/>
        <w:keepNext w:val="0"/>
        <w:keepLines w:val="0"/>
        <w:widowControl/>
        <w:suppressLineNumbers w:val="0"/>
        <w:spacing w:before="0" w:beforeAutospacing="0" w:after="0" w:afterAutospacing="0"/>
        <w:ind w:left="0" w:right="0" w:firstLine="0"/>
        <w:rPr>
          <w:rFonts w:hint="eastAsia" w:ascii="黑体" w:hAnsi="黑体" w:eastAsia="黑体" w:cs="黑体"/>
          <w:b w:val="0"/>
          <w:bCs/>
          <w:sz w:val="28"/>
          <w:szCs w:val="28"/>
          <w:highlight w:val="none"/>
        </w:rPr>
      </w:pPr>
      <w:r>
        <w:rPr>
          <w:rFonts w:hint="eastAsia" w:ascii="仿宋_GB2312" w:hAnsi="仿宋_GB2312" w:eastAsia="仿宋_GB2312" w:cs="仿宋_GB2312"/>
          <w:sz w:val="28"/>
          <w:szCs w:val="28"/>
          <w:highlight w:val="none"/>
        </w:rPr>
        <w:t>第一部分</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color w:val="000000"/>
          <w:kern w:val="0"/>
          <w:sz w:val="28"/>
          <w:szCs w:val="28"/>
          <w:highlight w:val="none"/>
          <w:lang w:val="en-US" w:eastAsia="zh-CN" w:bidi="ar-SA"/>
        </w:rPr>
        <w:t>中国共产党怀化市直属机关工作委员会概况</w:t>
      </w:r>
    </w:p>
    <w:p w14:paraId="4C50368D">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58B16D93">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22AC30C7">
      <w:pPr>
        <w:pStyle w:val="10"/>
        <w:spacing w:line="5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第二部分</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部门决算表</w:t>
      </w:r>
    </w:p>
    <w:p w14:paraId="4B678400">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3D9D848D">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06C25D93">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322BD9A8">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257A30DA">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69D33227">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496F4DFF">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27405054">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629958B9">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40E6CE4A">
      <w:pPr>
        <w:pStyle w:val="10"/>
        <w:spacing w:line="5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第三部分</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部门决算情况说明</w:t>
      </w:r>
    </w:p>
    <w:p w14:paraId="48314C93">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476BF08C">
      <w:pPr>
        <w:spacing w:line="500" w:lineRule="exact"/>
        <w:ind w:firstLine="700" w:firstLineChars="25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4610227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01F29C2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7670860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7CF9F8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55C4D8A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七、一般公共预算财政拨款三公经费支出决算情况说明</w:t>
      </w:r>
    </w:p>
    <w:p w14:paraId="386CEC3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2A096F19">
      <w:pPr>
        <w:autoSpaceDE w:val="0"/>
        <w:autoSpaceDN w:val="0"/>
        <w:adjustRightInd w:val="0"/>
        <w:spacing w:line="500" w:lineRule="exact"/>
        <w:ind w:firstLine="700" w:firstLineChars="250"/>
        <w:jc w:val="left"/>
        <w:rPr>
          <w:rFonts w:hint="eastAsia" w:ascii="仿宋" w:hAnsi="仿宋" w:eastAsia="仿宋" w:cs="仿宋"/>
          <w:color w:val="000000"/>
          <w:kern w:val="0"/>
          <w:sz w:val="28"/>
          <w:szCs w:val="28"/>
          <w:highlight w:val="none"/>
        </w:rPr>
      </w:pPr>
      <w:r>
        <w:rPr>
          <w:rFonts w:hint="eastAsia" w:ascii="仿宋_GB2312" w:hAnsi="仿宋_GB2312" w:eastAsia="仿宋_GB2312" w:cs="仿宋_GB2312"/>
          <w:color w:val="000000"/>
          <w:kern w:val="0"/>
          <w:sz w:val="28"/>
          <w:szCs w:val="28"/>
          <w:highlight w:val="none"/>
        </w:rPr>
        <w:t>九、</w:t>
      </w:r>
      <w:r>
        <w:rPr>
          <w:rFonts w:hint="eastAsia" w:ascii="仿宋" w:hAnsi="仿宋" w:eastAsia="仿宋" w:cs="仿宋"/>
          <w:color w:val="000000"/>
          <w:kern w:val="0"/>
          <w:sz w:val="28"/>
          <w:szCs w:val="28"/>
          <w:highlight w:val="none"/>
        </w:rPr>
        <w:t>国有资本经营预算财政拨款支出决算情况</w:t>
      </w:r>
    </w:p>
    <w:p w14:paraId="16F9115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十、一般性支出情况说明</w:t>
      </w:r>
    </w:p>
    <w:p w14:paraId="521DAB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十一、关于政府采购支出说明</w:t>
      </w:r>
    </w:p>
    <w:p w14:paraId="3427F67E">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十二、关于国有资产占用情况说明</w:t>
      </w:r>
    </w:p>
    <w:p w14:paraId="533D4232">
      <w:pPr>
        <w:pStyle w:val="10"/>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十三、关于预算绩效情况的说明</w:t>
      </w:r>
    </w:p>
    <w:p w14:paraId="4F219D96">
      <w:pPr>
        <w:pStyle w:val="10"/>
        <w:spacing w:line="5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第四部分</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名词解释</w:t>
      </w:r>
    </w:p>
    <w:p w14:paraId="4E22456C">
      <w:pPr>
        <w:pStyle w:val="10"/>
        <w:spacing w:line="50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第五部分 附件</w:t>
      </w:r>
    </w:p>
    <w:p w14:paraId="1F95FC3E">
      <w:pPr>
        <w:pStyle w:val="10"/>
        <w:spacing w:line="500" w:lineRule="exact"/>
        <w:rPr>
          <w:rFonts w:hint="eastAsia" w:ascii="黑体" w:hAnsi="黑体" w:eastAsia="黑体" w:cs="黑体"/>
          <w:b w:val="0"/>
          <w:bCs/>
          <w:sz w:val="28"/>
          <w:szCs w:val="28"/>
          <w:highlight w:val="none"/>
        </w:rPr>
      </w:pPr>
    </w:p>
    <w:p w14:paraId="00A0C23E">
      <w:pPr>
        <w:jc w:val="both"/>
        <w:rPr>
          <w:sz w:val="72"/>
          <w:szCs w:val="72"/>
          <w:highlight w:val="none"/>
        </w:rPr>
      </w:pPr>
    </w:p>
    <w:p w14:paraId="491290BD">
      <w:pPr>
        <w:jc w:val="center"/>
        <w:rPr>
          <w:sz w:val="72"/>
          <w:szCs w:val="72"/>
          <w:highlight w:val="none"/>
        </w:rPr>
      </w:pPr>
    </w:p>
    <w:p w14:paraId="5ACBD7F8">
      <w:pPr>
        <w:rPr>
          <w:rFonts w:hint="eastAsia" w:ascii="方正小标宋_GBK" w:hAnsi="方正小标宋_GBK" w:eastAsia="方正小标宋_GBK" w:cs="方正小标宋_GBK"/>
          <w:sz w:val="72"/>
          <w:szCs w:val="72"/>
          <w:highlight w:val="none"/>
        </w:rPr>
      </w:pPr>
    </w:p>
    <w:p w14:paraId="6A009DDD">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65141A66">
      <w:pPr>
        <w:pStyle w:val="10"/>
        <w:jc w:val="center"/>
        <w:rPr>
          <w:rFonts w:hint="eastAsia" w:ascii="方正小标宋_GBK" w:hAnsi="方正小标宋_GBK" w:eastAsia="方正小标宋_GBK" w:cs="方正小标宋_GBK"/>
          <w:sz w:val="84"/>
          <w:szCs w:val="84"/>
          <w:highlight w:val="none"/>
        </w:rPr>
      </w:pPr>
    </w:p>
    <w:p w14:paraId="22792B3C">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中国共产党怀化市直属机关工作委员会</w:t>
      </w:r>
      <w:r>
        <w:rPr>
          <w:rFonts w:hint="eastAsia" w:ascii="方正小标宋_GBK" w:hAnsi="方正小标宋_GBK" w:eastAsia="方正小标宋_GBK" w:cs="方正小标宋_GBK"/>
          <w:sz w:val="84"/>
          <w:szCs w:val="84"/>
          <w:highlight w:val="none"/>
          <w:lang w:val="en-US" w:eastAsia="zh-CN"/>
        </w:rPr>
        <w:t>单位</w:t>
      </w:r>
      <w:r>
        <w:rPr>
          <w:rFonts w:hint="eastAsia" w:ascii="方正小标宋_GBK" w:hAnsi="方正小标宋_GBK" w:eastAsia="方正小标宋_GBK" w:cs="方正小标宋_GBK"/>
          <w:sz w:val="84"/>
          <w:szCs w:val="84"/>
          <w:highlight w:val="none"/>
        </w:rPr>
        <w:t>概况</w:t>
      </w:r>
    </w:p>
    <w:p w14:paraId="2A082794">
      <w:pP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br w:type="page"/>
      </w:r>
    </w:p>
    <w:p w14:paraId="5D006920">
      <w:pPr>
        <w:pStyle w:val="11"/>
        <w:numPr>
          <w:ilvl w:val="0"/>
          <w:numId w:val="0"/>
        </w:numPr>
        <w:ind w:leftChars="0"/>
        <w:jc w:val="left"/>
        <w:rPr>
          <w:rFonts w:hint="eastAsia" w:ascii="黑体" w:hAnsi="黑体" w:eastAsia="黑体" w:cs="黑体"/>
          <w:b w:val="0"/>
          <w:bCs w:val="0"/>
          <w:sz w:val="32"/>
          <w:szCs w:val="32"/>
          <w:highlight w:val="none"/>
        </w:rPr>
      </w:pPr>
      <w:r>
        <w:rPr>
          <w:rFonts w:hint="default" w:ascii="黑体" w:hAnsi="黑体" w:eastAsia="黑体" w:cs="黑体"/>
          <w:b w:val="0"/>
          <w:bCs w:val="0"/>
          <w:sz w:val="32"/>
          <w:szCs w:val="32"/>
          <w:highlight w:val="none"/>
        </w:rPr>
        <w:t xml:space="preserve">     一、</w:t>
      </w:r>
      <w:r>
        <w:rPr>
          <w:rFonts w:hint="eastAsia" w:ascii="黑体" w:hAnsi="黑体" w:eastAsia="黑体" w:cs="黑体"/>
          <w:b w:val="0"/>
          <w:bCs w:val="0"/>
          <w:sz w:val="32"/>
          <w:szCs w:val="32"/>
          <w:highlight w:val="none"/>
        </w:rPr>
        <w:t>部门职责</w:t>
      </w:r>
    </w:p>
    <w:p w14:paraId="674E16FC">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一是负责制订市直机关党的建设的规划，领导市直机关党的工作。</w:t>
      </w:r>
    </w:p>
    <w:p w14:paraId="45A43CE0">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二是分类指导市直各机关、企业、事业单位搞好党的思想、组织、作风建设，负责党员、干部的政治理论培训，抓好党员的管理教育工作。</w:t>
      </w:r>
    </w:p>
    <w:p w14:paraId="08787FCA">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三是指导市直机关党组织围绕党的中心任务，配合行政领导做好思想政治工作、社会稳定工作；负责综合指导市直机关和中央、省在城区单位精神文明建设工作，承担市直机关思想品德、普法教育工作。</w:t>
      </w:r>
    </w:p>
    <w:p w14:paraId="560F321B">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四是负责审批所属市直各部门机关党组织设置、班子配备及发展党员、预备党员转正；有计划地培训党务工作干部和入党积极分子。</w:t>
      </w:r>
    </w:p>
    <w:p w14:paraId="7C38CC0A">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五是指导市直机关党组织对党员特别是党员领导干部的监督；了解各部门党员和群众对领导干部的意见，及时向市委反映市直各部门领导班子、领导干部的情况。</w:t>
      </w:r>
    </w:p>
    <w:p w14:paraId="007DA765">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六是领导</w:t>
      </w:r>
      <w:r>
        <w:rPr>
          <w:rFonts w:hint="default" w:ascii="仿宋_GB2312" w:hAnsi="仿宋_GB2312" w:eastAsia="仿宋_GB2312" w:cs="仿宋_GB2312"/>
          <w:sz w:val="32"/>
          <w:szCs w:val="32"/>
          <w:highlight w:val="none"/>
        </w:rPr>
        <w:t>纪检监察工委</w:t>
      </w:r>
      <w:r>
        <w:rPr>
          <w:rFonts w:hint="eastAsia" w:ascii="仿宋_GB2312" w:hAnsi="仿宋_GB2312" w:eastAsia="仿宋_GB2312" w:cs="仿宋_GB2312"/>
          <w:sz w:val="32"/>
          <w:szCs w:val="32"/>
          <w:highlight w:val="none"/>
        </w:rPr>
        <w:t>的工作。指导市直机关各级党组织加强党风廉政建设，</w:t>
      </w:r>
      <w:r>
        <w:rPr>
          <w:rFonts w:hint="default" w:ascii="仿宋_GB2312" w:hAnsi="仿宋_GB2312" w:eastAsia="仿宋_GB2312" w:cs="仿宋_GB2312"/>
          <w:sz w:val="32"/>
          <w:szCs w:val="32"/>
          <w:highlight w:val="none"/>
        </w:rPr>
        <w:t>审理</w:t>
      </w:r>
      <w:r>
        <w:rPr>
          <w:rFonts w:hint="eastAsia" w:ascii="仿宋_GB2312" w:hAnsi="仿宋_GB2312" w:eastAsia="仿宋_GB2312" w:cs="仿宋_GB2312"/>
          <w:sz w:val="32"/>
          <w:szCs w:val="32"/>
          <w:highlight w:val="none"/>
        </w:rPr>
        <w:t>科级以下（含科级）党员干部违反党纪的</w:t>
      </w:r>
      <w:r>
        <w:rPr>
          <w:rFonts w:hint="default" w:ascii="仿宋_GB2312" w:hAnsi="仿宋_GB2312" w:eastAsia="仿宋_GB2312" w:cs="仿宋_GB2312"/>
          <w:sz w:val="32"/>
          <w:szCs w:val="32"/>
          <w:highlight w:val="none"/>
        </w:rPr>
        <w:t>案件</w:t>
      </w:r>
      <w:r>
        <w:rPr>
          <w:rFonts w:hint="eastAsia" w:ascii="仿宋_GB2312" w:hAnsi="仿宋_GB2312" w:eastAsia="仿宋_GB2312" w:cs="仿宋_GB2312"/>
          <w:sz w:val="32"/>
          <w:szCs w:val="32"/>
          <w:highlight w:val="none"/>
        </w:rPr>
        <w:t>。</w:t>
      </w:r>
    </w:p>
    <w:p w14:paraId="6E622A2E">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七是归口管理市直机关工、青、妇等群众组织的工作。</w:t>
      </w:r>
    </w:p>
    <w:p w14:paraId="387DDE0A">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八是协助中央、省有关单位党委（党组）抓好其所属在怀单位党的关系在市直机关工委的党的建设工作的职责。</w:t>
      </w:r>
    </w:p>
    <w:p w14:paraId="39F46B77">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九是指导市直机关党的政治建设、思想建设、组织建设、作风建设、纪律建设，把制度建设贯穿其中，深入推进反腐败斗争。</w:t>
      </w:r>
    </w:p>
    <w:p w14:paraId="34077CC0">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十是指导督促市直机关各部门党组（党委）认真履行党建主体责任，对市直机关各级党组织、党员领导干部落实党建责任制、遵守政治纪律和政治规矩情况进行监督检查，并向市委报告。</w:t>
      </w:r>
    </w:p>
    <w:p w14:paraId="0C8477DA">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十一是配合市委有关部门抓好市直机关各部门领导班子思想政治建设，参与对党员领导干部民主生活会和党组（党委）理论学习中心组学习的督促检查和指导，了解掌握情况，按规定报送情况报告。</w:t>
      </w:r>
    </w:p>
    <w:p w14:paraId="60444904">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十二是领导市直机关各部门机关党的纪律检查工作，检查考核市直机关各部门机关纪委履职情况。</w:t>
      </w:r>
    </w:p>
    <w:p w14:paraId="1FC580F6">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十三是审批市直机关各部门机关党组织和机关纪委领导班子的组成及书记、副书记的任免的职责。</w:t>
      </w:r>
    </w:p>
    <w:p w14:paraId="74CBA96B">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十四是指导下级党的机关工委工作。</w:t>
      </w:r>
    </w:p>
    <w:p w14:paraId="28ABB593">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十五是协助有关部门协调市直机关各部门做好维护稳定工作。</w:t>
      </w:r>
    </w:p>
    <w:p w14:paraId="261BCACE">
      <w:pPr>
        <w:widowControl/>
        <w:spacing w:line="600" w:lineRule="exact"/>
        <w:ind w:firstLine="960" w:firstLineChars="300"/>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0210D673">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（一）内设机构设置。市直机关工委为一级部门预算单位，内设机构包括：市直纪检监察工委、组织部、宣传部、办公室。</w:t>
      </w:r>
    </w:p>
    <w:p w14:paraId="6709E8FC">
      <w:pPr>
        <w:spacing w:line="360" w:lineRule="auto"/>
        <w:ind w:firstLine="800" w:firstLineChars="250"/>
        <w:jc w:val="left"/>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（二）决算单位构成。市直机关工委202</w:t>
      </w:r>
      <w:r>
        <w:rPr>
          <w:rFonts w:hint="default"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rPr>
        <w:t>年部门决算汇总公开单位构成包括：市直机关工委本级。</w:t>
      </w:r>
    </w:p>
    <w:p w14:paraId="015825D5">
      <w:pPr>
        <w:jc w:val="left"/>
        <w:rPr>
          <w:rFonts w:ascii="仿宋_GB2312" w:eastAsia="仿宋_GB2312" w:hAnsiTheme="minorEastAsia"/>
          <w:sz w:val="28"/>
          <w:szCs w:val="32"/>
          <w:highlight w:val="none"/>
        </w:rPr>
      </w:pPr>
    </w:p>
    <w:p w14:paraId="356CEB55">
      <w:pPr>
        <w:rPr>
          <w:rFonts w:ascii="黑体" w:hAnsi="黑体" w:eastAsia="黑体"/>
          <w:sz w:val="28"/>
          <w:szCs w:val="28"/>
          <w:highlight w:val="none"/>
        </w:rPr>
      </w:pPr>
      <w:r>
        <w:rPr>
          <w:rFonts w:ascii="黑体" w:hAnsi="黑体" w:eastAsia="黑体"/>
          <w:sz w:val="28"/>
          <w:szCs w:val="28"/>
          <w:highlight w:val="none"/>
        </w:rPr>
        <w:br w:type="page"/>
      </w:r>
    </w:p>
    <w:p w14:paraId="25F6C641">
      <w:pPr>
        <w:jc w:val="center"/>
        <w:rPr>
          <w:rFonts w:ascii="黑体" w:hAnsi="黑体" w:eastAsia="黑体"/>
          <w:sz w:val="28"/>
          <w:szCs w:val="28"/>
          <w:highlight w:val="none"/>
        </w:rPr>
      </w:pPr>
    </w:p>
    <w:p w14:paraId="14BCC5F8">
      <w:pPr>
        <w:jc w:val="center"/>
        <w:rPr>
          <w:sz w:val="72"/>
          <w:szCs w:val="72"/>
          <w:highlight w:val="none"/>
        </w:rPr>
      </w:pPr>
    </w:p>
    <w:p w14:paraId="3A7E4CE3">
      <w:pPr>
        <w:jc w:val="center"/>
        <w:rPr>
          <w:sz w:val="72"/>
          <w:szCs w:val="72"/>
          <w:highlight w:val="none"/>
        </w:rPr>
      </w:pPr>
    </w:p>
    <w:p w14:paraId="231CB6C6">
      <w:pPr>
        <w:pStyle w:val="10"/>
        <w:jc w:val="center"/>
        <w:rPr>
          <w:rFonts w:hint="eastAsia" w:ascii="方正小标宋_GBK" w:hAnsi="方正小标宋_GBK" w:eastAsia="方正小标宋_GBK" w:cs="方正小标宋_GBK"/>
          <w:sz w:val="84"/>
          <w:szCs w:val="84"/>
          <w:highlight w:val="none"/>
        </w:rPr>
      </w:pPr>
    </w:p>
    <w:p w14:paraId="3A4B543F">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17ADF61B">
      <w:pPr>
        <w:pStyle w:val="10"/>
        <w:jc w:val="center"/>
        <w:rPr>
          <w:rFonts w:hint="eastAsia" w:ascii="方正小标宋_GBK" w:hAnsi="方正小标宋_GBK" w:eastAsia="方正小标宋_GBK" w:cs="方正小标宋_GBK"/>
          <w:sz w:val="84"/>
          <w:szCs w:val="84"/>
          <w:highlight w:val="none"/>
        </w:rPr>
      </w:pPr>
    </w:p>
    <w:p w14:paraId="190623ED">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0605BA7A">
      <w:pPr>
        <w:jc w:val="center"/>
        <w:rPr>
          <w:rFonts w:hint="eastAsia" w:ascii="黑体" w:hAnsi="宋体" w:eastAsia="黑体" w:cs="黑体"/>
          <w:i w:val="0"/>
          <w:iCs w:val="0"/>
          <w:caps w:val="0"/>
          <w:color w:val="000000"/>
          <w:spacing w:val="0"/>
          <w:sz w:val="36"/>
          <w:szCs w:val="36"/>
          <w:highlight w:val="none"/>
          <w:shd w:val="clear" w:fill="FFFFFF"/>
        </w:rPr>
      </w:pPr>
    </w:p>
    <w:p w14:paraId="681F032B">
      <w:pPr>
        <w:jc w:val="center"/>
        <w:rPr>
          <w:sz w:val="72"/>
          <w:szCs w:val="72"/>
          <w:highlight w:val="none"/>
        </w:rPr>
      </w:pPr>
      <w:r>
        <w:rPr>
          <w:rFonts w:hint="eastAsia" w:ascii="黑体" w:hAnsi="宋体" w:eastAsia="黑体" w:cs="黑体"/>
          <w:i w:val="0"/>
          <w:iCs w:val="0"/>
          <w:caps w:val="0"/>
          <w:color w:val="000000"/>
          <w:spacing w:val="0"/>
          <w:sz w:val="36"/>
          <w:szCs w:val="36"/>
          <w:highlight w:val="none"/>
          <w:shd w:val="clear" w:fill="FFFFFF"/>
        </w:rPr>
        <w:t>(见附件)</w:t>
      </w:r>
    </w:p>
    <w:p w14:paraId="2C45C8FD">
      <w:pPr>
        <w:jc w:val="center"/>
        <w:rPr>
          <w:sz w:val="72"/>
          <w:szCs w:val="72"/>
          <w:highlight w:val="none"/>
        </w:rPr>
      </w:pPr>
    </w:p>
    <w:p w14:paraId="471D30BD">
      <w:pPr>
        <w:jc w:val="center"/>
        <w:rPr>
          <w:sz w:val="72"/>
          <w:szCs w:val="72"/>
          <w:highlight w:val="none"/>
        </w:rPr>
      </w:pPr>
    </w:p>
    <w:p w14:paraId="03119C46">
      <w:pPr>
        <w:jc w:val="center"/>
        <w:rPr>
          <w:sz w:val="72"/>
          <w:szCs w:val="72"/>
          <w:highlight w:val="none"/>
        </w:rPr>
      </w:pPr>
    </w:p>
    <w:p w14:paraId="2BCDB1F3">
      <w:pPr>
        <w:jc w:val="center"/>
        <w:rPr>
          <w:sz w:val="72"/>
          <w:szCs w:val="72"/>
          <w:highlight w:val="none"/>
        </w:rPr>
      </w:pPr>
    </w:p>
    <w:p w14:paraId="542C0873">
      <w:pPr>
        <w:jc w:val="center"/>
        <w:rPr>
          <w:sz w:val="72"/>
          <w:szCs w:val="72"/>
          <w:highlight w:val="none"/>
        </w:rPr>
      </w:pPr>
    </w:p>
    <w:p w14:paraId="7B356873">
      <w:pPr>
        <w:jc w:val="left"/>
        <w:rPr>
          <w:rFonts w:asciiTheme="minorEastAsia" w:hAnsiTheme="minorEastAsia"/>
          <w:sz w:val="32"/>
          <w:szCs w:val="32"/>
          <w:highlight w:val="none"/>
        </w:rPr>
        <w:sectPr>
          <w:pgSz w:w="11906" w:h="16838"/>
          <w:pgMar w:top="720" w:right="720" w:bottom="720" w:left="720" w:header="851" w:footer="992" w:gutter="0"/>
          <w:cols w:space="425" w:num="1"/>
          <w:docGrid w:type="lines" w:linePitch="312" w:charSpace="0"/>
        </w:sectPr>
      </w:pPr>
    </w:p>
    <w:p w14:paraId="6AF702EA">
      <w:pPr>
        <w:pStyle w:val="10"/>
        <w:rPr>
          <w:sz w:val="72"/>
          <w:szCs w:val="72"/>
          <w:highlight w:val="none"/>
        </w:rPr>
      </w:pPr>
    </w:p>
    <w:p w14:paraId="49E46AB6">
      <w:pPr>
        <w:pStyle w:val="10"/>
        <w:rPr>
          <w:sz w:val="72"/>
          <w:szCs w:val="72"/>
          <w:highlight w:val="none"/>
        </w:rPr>
      </w:pPr>
    </w:p>
    <w:p w14:paraId="07CA09C6">
      <w:pPr>
        <w:pStyle w:val="10"/>
        <w:rPr>
          <w:sz w:val="72"/>
          <w:szCs w:val="72"/>
          <w:highlight w:val="none"/>
        </w:rPr>
      </w:pPr>
    </w:p>
    <w:p w14:paraId="511A1A97">
      <w:pPr>
        <w:pStyle w:val="10"/>
        <w:rPr>
          <w:sz w:val="72"/>
          <w:szCs w:val="72"/>
          <w:highlight w:val="none"/>
        </w:rPr>
      </w:pPr>
    </w:p>
    <w:p w14:paraId="405DDDF8">
      <w:pPr>
        <w:pStyle w:val="10"/>
        <w:jc w:val="center"/>
        <w:rPr>
          <w:sz w:val="72"/>
          <w:szCs w:val="72"/>
          <w:highlight w:val="none"/>
        </w:rPr>
      </w:pPr>
    </w:p>
    <w:p w14:paraId="2DD9C252">
      <w:pPr>
        <w:pStyle w:val="10"/>
        <w:jc w:val="center"/>
        <w:rPr>
          <w:rFonts w:hint="eastAsia" w:ascii="方正小标宋_GBK" w:hAnsi="方正小标宋_GBK" w:eastAsia="方正小标宋_GBK" w:cs="方正小标宋_GBK"/>
          <w:sz w:val="72"/>
          <w:szCs w:val="72"/>
          <w:highlight w:val="none"/>
        </w:rPr>
      </w:pPr>
    </w:p>
    <w:p w14:paraId="0DB5EB9F">
      <w:pPr>
        <w:pStyle w:val="10"/>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第三部分</w:t>
      </w:r>
    </w:p>
    <w:p w14:paraId="473BDF2D">
      <w:pPr>
        <w:pStyle w:val="10"/>
        <w:jc w:val="center"/>
        <w:rPr>
          <w:rFonts w:hint="eastAsia" w:ascii="方正小标宋_GBK" w:hAnsi="方正小标宋_GBK" w:eastAsia="方正小标宋_GBK" w:cs="方正小标宋_GBK"/>
          <w:sz w:val="70"/>
          <w:szCs w:val="70"/>
          <w:highlight w:val="none"/>
        </w:rPr>
      </w:pPr>
    </w:p>
    <w:p w14:paraId="6949BCDB">
      <w:pPr>
        <w:pStyle w:val="10"/>
        <w:jc w:val="center"/>
        <w:rPr>
          <w:rFonts w:hint="eastAsia" w:ascii="方正小标宋_GBK" w:hAnsi="方正小标宋_GBK" w:eastAsia="方正小标宋_GBK" w:cs="方正小标宋_GBK"/>
          <w:sz w:val="70"/>
          <w:szCs w:val="70"/>
          <w:highlight w:val="none"/>
        </w:rPr>
      </w:pPr>
      <w:r>
        <w:rPr>
          <w:rFonts w:hint="eastAsia" w:ascii="方正小标宋_GBK" w:hAnsi="方正小标宋_GBK" w:eastAsia="方正小标宋_GBK" w:cs="方正小标宋_GBK"/>
          <w:sz w:val="70"/>
          <w:szCs w:val="70"/>
          <w:highlight w:val="none"/>
        </w:rPr>
        <w:t>202</w:t>
      </w:r>
      <w:r>
        <w:rPr>
          <w:rFonts w:hint="eastAsia" w:ascii="方正小标宋_GBK" w:hAnsi="方正小标宋_GBK" w:eastAsia="方正小标宋_GBK" w:cs="方正小标宋_GBK"/>
          <w:sz w:val="70"/>
          <w:szCs w:val="70"/>
          <w:highlight w:val="none"/>
          <w:lang w:val="en-US" w:eastAsia="zh-CN"/>
        </w:rPr>
        <w:t>2</w:t>
      </w:r>
      <w:r>
        <w:rPr>
          <w:rFonts w:hint="eastAsia" w:ascii="方正小标宋_GBK" w:hAnsi="方正小标宋_GBK" w:eastAsia="方正小标宋_GBK" w:cs="方正小标宋_GBK"/>
          <w:sz w:val="70"/>
          <w:szCs w:val="70"/>
          <w:highlight w:val="none"/>
        </w:rPr>
        <w:t>年度部门决算情况说明</w:t>
      </w:r>
    </w:p>
    <w:p w14:paraId="54C0246B">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6E1E35D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7B540E7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w:t>
      </w:r>
      <w:r>
        <w:rPr>
          <w:rFonts w:hint="eastAsia" w:ascii="Times New Roman" w:eastAsia="仿宋_GB2312"/>
          <w:sz w:val="32"/>
          <w:szCs w:val="32"/>
          <w:highlight w:val="none"/>
          <w:lang w:val="en-US" w:eastAsia="zh-CN"/>
        </w:rPr>
        <w:t>均为</w:t>
      </w:r>
      <w:r>
        <w:rPr>
          <w:rFonts w:hint="eastAsia" w:ascii="Times New Roman" w:hAnsi="Times New Roman" w:eastAsia="仿宋_GB2312"/>
          <w:sz w:val="32"/>
          <w:szCs w:val="32"/>
          <w:highlight w:val="none"/>
        </w:rPr>
        <w:t>489.22万元。与上年相比，增加</w:t>
      </w:r>
      <w:r>
        <w:rPr>
          <w:rFonts w:hint="default" w:ascii="Times New Roman" w:hAnsi="Times New Roman" w:eastAsia="仿宋_GB2312"/>
          <w:sz w:val="32"/>
          <w:szCs w:val="32"/>
          <w:highlight w:val="none"/>
        </w:rPr>
        <w:t>32.76</w:t>
      </w:r>
      <w:r>
        <w:rPr>
          <w:rFonts w:hint="eastAsia" w:ascii="Times New Roman" w:hAnsi="Times New Roman" w:eastAsia="仿宋_GB2312"/>
          <w:sz w:val="32"/>
          <w:szCs w:val="32"/>
          <w:highlight w:val="none"/>
        </w:rPr>
        <w:t>万元，增长</w:t>
      </w:r>
      <w:r>
        <w:rPr>
          <w:rFonts w:hint="default" w:ascii="Times New Roman" w:hAnsi="Times New Roman" w:eastAsia="仿宋_GB2312"/>
          <w:sz w:val="32"/>
          <w:szCs w:val="32"/>
          <w:highlight w:val="none"/>
        </w:rPr>
        <w:t>7.18</w:t>
      </w:r>
      <w:r>
        <w:rPr>
          <w:rFonts w:hint="eastAsia" w:ascii="Times New Roman" w:hAnsi="Times New Roman" w:eastAsia="仿宋_GB2312"/>
          <w:sz w:val="32"/>
          <w:szCs w:val="32"/>
          <w:highlight w:val="none"/>
        </w:rPr>
        <w:t>%，主要是因为工资增加，社保和医疗保险缴费基数增加</w:t>
      </w:r>
      <w:r>
        <w:rPr>
          <w:rFonts w:ascii="Times New Roman" w:hAnsi="Times New Roman" w:eastAsia="仿宋_GB2312"/>
          <w:sz w:val="32"/>
          <w:szCs w:val="32"/>
          <w:highlight w:val="none"/>
        </w:rPr>
        <w:t>。</w:t>
      </w:r>
    </w:p>
    <w:p w14:paraId="7004289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48126BA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年度收入合计489.22万元，其中：财政拨款收入48</w:t>
      </w:r>
      <w:r>
        <w:rPr>
          <w:rFonts w:hint="default" w:ascii="Times New Roman" w:hAnsi="Times New Roman" w:eastAsia="仿宋_GB2312"/>
          <w:sz w:val="32"/>
          <w:szCs w:val="32"/>
          <w:highlight w:val="none"/>
        </w:rPr>
        <w:t>4</w:t>
      </w:r>
      <w:r>
        <w:rPr>
          <w:rFonts w:hint="eastAsia" w:ascii="Times New Roman" w:hAnsi="Times New Roman" w:eastAsia="仿宋_GB2312"/>
          <w:sz w:val="32"/>
          <w:szCs w:val="32"/>
          <w:highlight w:val="none"/>
        </w:rPr>
        <w:t>.2</w:t>
      </w:r>
      <w:r>
        <w:rPr>
          <w:rFonts w:hint="default" w:ascii="Times New Roman" w:hAnsi="Times New Roman" w:eastAsia="仿宋_GB2312"/>
          <w:sz w:val="32"/>
          <w:szCs w:val="32"/>
          <w:highlight w:val="none"/>
        </w:rPr>
        <w:t>3</w:t>
      </w:r>
      <w:r>
        <w:rPr>
          <w:rFonts w:hint="eastAsia" w:ascii="Times New Roman" w:hAnsi="Times New Roman" w:eastAsia="仿宋_GB2312"/>
          <w:sz w:val="32"/>
          <w:szCs w:val="32"/>
          <w:highlight w:val="none"/>
        </w:rPr>
        <w:t>万元，占</w:t>
      </w:r>
      <w:r>
        <w:rPr>
          <w:rFonts w:hint="default" w:ascii="Times New Roman" w:hAnsi="Times New Roman" w:eastAsia="仿宋_GB2312"/>
          <w:sz w:val="32"/>
          <w:szCs w:val="32"/>
          <w:highlight w:val="none"/>
        </w:rPr>
        <w:t>98.98</w:t>
      </w:r>
      <w:r>
        <w:rPr>
          <w:rFonts w:hint="eastAsia" w:ascii="Times New Roman" w:hAnsi="Times New Roman" w:eastAsia="仿宋_GB2312"/>
          <w:sz w:val="32"/>
          <w:szCs w:val="32"/>
          <w:highlight w:val="none"/>
        </w:rPr>
        <w:t>%；其他收入</w:t>
      </w:r>
      <w:r>
        <w:rPr>
          <w:rFonts w:hint="default" w:ascii="Times New Roman" w:hAnsi="Times New Roman" w:eastAsia="仿宋_GB2312"/>
          <w:sz w:val="32"/>
          <w:szCs w:val="32"/>
          <w:highlight w:val="none"/>
        </w:rPr>
        <w:t>5</w:t>
      </w:r>
      <w:r>
        <w:rPr>
          <w:rFonts w:hint="eastAsia" w:ascii="Times New Roman" w:hAnsi="Times New Roman" w:eastAsia="仿宋_GB2312"/>
          <w:sz w:val="32"/>
          <w:szCs w:val="32"/>
          <w:highlight w:val="none"/>
        </w:rPr>
        <w:t>万元，占</w:t>
      </w:r>
      <w:r>
        <w:rPr>
          <w:rFonts w:hint="default" w:ascii="Times New Roman" w:hAnsi="Times New Roman" w:eastAsia="仿宋_GB2312"/>
          <w:sz w:val="32"/>
          <w:szCs w:val="32"/>
          <w:highlight w:val="none"/>
        </w:rPr>
        <w:t>1.02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6F4C826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0FAC69F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年度支出合计489.22万元，其中：基本支出449.78万元，占</w:t>
      </w:r>
      <w:r>
        <w:rPr>
          <w:rFonts w:hint="default" w:ascii="Times New Roman" w:hAnsi="Times New Roman" w:eastAsia="仿宋_GB2312"/>
          <w:sz w:val="32"/>
          <w:szCs w:val="32"/>
          <w:highlight w:val="none"/>
        </w:rPr>
        <w:t>91.94</w:t>
      </w:r>
      <w:r>
        <w:rPr>
          <w:rFonts w:hint="eastAsia" w:ascii="Times New Roman" w:hAnsi="Times New Roman" w:eastAsia="仿宋_GB2312"/>
          <w:sz w:val="32"/>
          <w:szCs w:val="32"/>
          <w:highlight w:val="none"/>
        </w:rPr>
        <w:t>%；项目支出39.45万元，占</w:t>
      </w:r>
      <w:r>
        <w:rPr>
          <w:rFonts w:hint="default" w:ascii="Times New Roman" w:hAnsi="Times New Roman" w:eastAsia="仿宋_GB2312"/>
          <w:sz w:val="32"/>
          <w:szCs w:val="32"/>
          <w:highlight w:val="none"/>
        </w:rPr>
        <w:t>8.06</w:t>
      </w:r>
      <w:r>
        <w:rPr>
          <w:rFonts w:hint="eastAsia" w:ascii="Times New Roman" w:hAnsi="Times New Roman" w:eastAsia="仿宋_GB2312"/>
          <w:sz w:val="32"/>
          <w:szCs w:val="32"/>
          <w:highlight w:val="none"/>
        </w:rPr>
        <w:t>%；</w:t>
      </w:r>
    </w:p>
    <w:p w14:paraId="333244A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3CC5B2B0">
      <w:pPr>
        <w:pStyle w:val="10"/>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    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年度财政拨款收、支总计</w:t>
      </w:r>
      <w:r>
        <w:rPr>
          <w:rFonts w:hint="eastAsia" w:ascii="Times New Roman" w:eastAsia="仿宋_GB2312"/>
          <w:sz w:val="32"/>
          <w:szCs w:val="32"/>
          <w:highlight w:val="none"/>
          <w:lang w:val="en-US" w:eastAsia="zh-CN"/>
        </w:rPr>
        <w:t>均为</w:t>
      </w:r>
      <w:r>
        <w:rPr>
          <w:rFonts w:hint="eastAsia" w:ascii="Times New Roman" w:hAnsi="Times New Roman" w:eastAsia="仿宋_GB2312"/>
          <w:sz w:val="32"/>
          <w:szCs w:val="32"/>
          <w:highlight w:val="none"/>
          <w:lang w:val="en-US" w:eastAsia="zh-CN"/>
        </w:rPr>
        <w:t>484.23</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27.77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6.08</w:t>
      </w:r>
      <w:r>
        <w:rPr>
          <w:rFonts w:hint="eastAsia" w:ascii="Times New Roman" w:hAnsi="Times New Roman" w:eastAsia="仿宋_GB2312"/>
          <w:sz w:val="32"/>
          <w:szCs w:val="32"/>
          <w:highlight w:val="none"/>
        </w:rPr>
        <w:t>%，主要是因为工资增加，社保和医疗保险缴费基数增加。</w:t>
      </w:r>
    </w:p>
    <w:p w14:paraId="6820375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3F836AE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（一）财政拨款支出决算总体情况</w:t>
      </w:r>
    </w:p>
    <w:p w14:paraId="01B2E5F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484.23</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98.98</w:t>
      </w:r>
      <w:r>
        <w:rPr>
          <w:rFonts w:hint="eastAsia" w:ascii="Times New Roman" w:hAnsi="Times New Roman" w:eastAsia="仿宋_GB2312"/>
          <w:sz w:val="32"/>
          <w:szCs w:val="32"/>
          <w:highlight w:val="none"/>
        </w:rPr>
        <w:t>%，与上年相比，财政拨款支出增加</w:t>
      </w:r>
      <w:r>
        <w:rPr>
          <w:rFonts w:hint="eastAsia" w:ascii="Times New Roman" w:hAnsi="Times New Roman" w:eastAsia="仿宋_GB2312"/>
          <w:sz w:val="32"/>
          <w:szCs w:val="32"/>
          <w:highlight w:val="none"/>
          <w:lang w:val="en-US" w:eastAsia="zh-CN"/>
        </w:rPr>
        <w:t>27.77</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6.08</w:t>
      </w:r>
      <w:r>
        <w:rPr>
          <w:rFonts w:hint="eastAsia" w:ascii="Times New Roman" w:hAnsi="Times New Roman" w:eastAsia="仿宋_GB2312"/>
          <w:sz w:val="32"/>
          <w:szCs w:val="32"/>
          <w:highlight w:val="none"/>
        </w:rPr>
        <w:t>%，主要是因为工资福利支出增加。</w:t>
      </w:r>
    </w:p>
    <w:p w14:paraId="228D1D8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（二）财政拨款支出决算结构情况</w:t>
      </w:r>
    </w:p>
    <w:p w14:paraId="6FF6574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484.23</w:t>
      </w:r>
      <w:r>
        <w:rPr>
          <w:rFonts w:hint="eastAsia" w:ascii="Times New Roman" w:hAnsi="Times New Roman" w:eastAsia="仿宋_GB2312"/>
          <w:sz w:val="32"/>
          <w:szCs w:val="32"/>
          <w:highlight w:val="none"/>
        </w:rPr>
        <w:t>万元，主要用于以下方面：一般公共服务（类）支出421.22万元，占</w:t>
      </w:r>
      <w:r>
        <w:rPr>
          <w:rFonts w:hint="eastAsia" w:ascii="Times New Roman" w:hAnsi="Times New Roman" w:eastAsia="仿宋_GB2312"/>
          <w:sz w:val="32"/>
          <w:szCs w:val="32"/>
          <w:highlight w:val="none"/>
          <w:lang w:val="en-US" w:eastAsia="zh-CN"/>
        </w:rPr>
        <w:t>86.99</w:t>
      </w:r>
      <w:r>
        <w:rPr>
          <w:rFonts w:hint="eastAsia" w:ascii="Times New Roman" w:hAnsi="Times New Roman" w:eastAsia="仿宋_GB2312"/>
          <w:sz w:val="32"/>
          <w:szCs w:val="32"/>
          <w:highlight w:val="none"/>
        </w:rPr>
        <w:t>%；社会保证和就业支出46.28万元，占</w:t>
      </w:r>
      <w:r>
        <w:rPr>
          <w:rFonts w:hint="eastAsia" w:ascii="Times New Roman" w:hAnsi="Times New Roman" w:eastAsia="仿宋_GB2312"/>
          <w:sz w:val="32"/>
          <w:szCs w:val="32"/>
          <w:highlight w:val="none"/>
          <w:lang w:val="en-US" w:eastAsia="zh-CN"/>
        </w:rPr>
        <w:t>9.56</w:t>
      </w:r>
      <w:r>
        <w:rPr>
          <w:rFonts w:hint="eastAsia" w:ascii="Times New Roman" w:hAnsi="Times New Roman" w:eastAsia="仿宋_GB2312"/>
          <w:sz w:val="32"/>
          <w:szCs w:val="32"/>
          <w:highlight w:val="none"/>
        </w:rPr>
        <w:t>%;卫生健康（类）支出16.73万元，占</w:t>
      </w:r>
      <w:r>
        <w:rPr>
          <w:rFonts w:hint="eastAsia" w:ascii="Times New Roman" w:hAnsi="Times New Roman" w:eastAsia="仿宋_GB2312"/>
          <w:sz w:val="32"/>
          <w:szCs w:val="32"/>
          <w:highlight w:val="none"/>
          <w:lang w:val="en-US" w:eastAsia="zh-CN"/>
        </w:rPr>
        <w:t>3.45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0E710B2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（三）财政拨款支出决算具体情况</w:t>
      </w:r>
    </w:p>
    <w:p w14:paraId="4DB2F90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年度财政拨款支出年初预算数为</w:t>
      </w:r>
      <w:r>
        <w:rPr>
          <w:rFonts w:hint="default" w:ascii="Times New Roman" w:hAnsi="Times New Roman" w:eastAsia="仿宋_GB2312"/>
          <w:sz w:val="32"/>
          <w:szCs w:val="32"/>
          <w:highlight w:val="none"/>
        </w:rPr>
        <w:t>416.78</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484.23</w:t>
      </w:r>
      <w:r>
        <w:rPr>
          <w:rFonts w:hint="eastAsia" w:ascii="Times New Roman" w:hAnsi="Times New Roman" w:eastAsia="仿宋_GB2312"/>
          <w:sz w:val="32"/>
          <w:szCs w:val="32"/>
          <w:highlight w:val="none"/>
        </w:rPr>
        <w:t>万元，完成年初预算的</w:t>
      </w:r>
      <w:r>
        <w:rPr>
          <w:rFonts w:hint="default" w:ascii="Times New Roman" w:hAnsi="Times New Roman" w:eastAsia="仿宋_GB2312"/>
          <w:sz w:val="32"/>
          <w:szCs w:val="32"/>
          <w:highlight w:val="none"/>
        </w:rPr>
        <w:t>1</w:t>
      </w:r>
      <w:r>
        <w:rPr>
          <w:rFonts w:hint="eastAsia" w:ascii="Times New Roman" w:hAnsi="Times New Roman" w:eastAsia="仿宋_GB2312"/>
          <w:sz w:val="32"/>
          <w:szCs w:val="32"/>
          <w:highlight w:val="none"/>
          <w:lang w:val="en-US" w:eastAsia="zh-CN"/>
        </w:rPr>
        <w:t>16.18</w:t>
      </w:r>
      <w:r>
        <w:rPr>
          <w:rFonts w:hint="eastAsia" w:ascii="Times New Roman" w:hAnsi="Times New Roman" w:eastAsia="仿宋_GB2312"/>
          <w:sz w:val="32"/>
          <w:szCs w:val="32"/>
          <w:highlight w:val="none"/>
        </w:rPr>
        <w:t>%，其中：</w:t>
      </w:r>
    </w:p>
    <w:p w14:paraId="5A6EFB0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1、一般公共服务支出（类）党委办公厅（室）及相关机构事务</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行政运行</w:t>
      </w:r>
      <w:r>
        <w:rPr>
          <w:rFonts w:hint="default" w:ascii="Times New Roman" w:hAnsi="Times New Roman" w:eastAsia="仿宋_GB2312"/>
          <w:color w:val="auto"/>
          <w:sz w:val="32"/>
          <w:szCs w:val="32"/>
          <w:highlight w:val="none"/>
        </w:rPr>
        <w:t>（项）</w:t>
      </w:r>
    </w:p>
    <w:p w14:paraId="20B31D8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w:t>
      </w:r>
      <w:r>
        <w:rPr>
          <w:rFonts w:hint="eastAsia" w:ascii="Times New Roman" w:hAnsi="Times New Roman" w:eastAsia="仿宋_GB2312"/>
          <w:color w:val="auto"/>
          <w:sz w:val="32"/>
          <w:szCs w:val="32"/>
          <w:highlight w:val="none"/>
        </w:rPr>
        <w:t>为</w:t>
      </w:r>
      <w:r>
        <w:rPr>
          <w:rFonts w:hint="default" w:ascii="Times New Roman" w:hAnsi="Times New Roman" w:eastAsia="仿宋_GB2312"/>
          <w:color w:val="auto"/>
          <w:sz w:val="32"/>
          <w:szCs w:val="32"/>
          <w:highlight w:val="none"/>
        </w:rPr>
        <w:t>348.15</w:t>
      </w:r>
      <w:r>
        <w:rPr>
          <w:rFonts w:hint="eastAsia" w:ascii="Times New Roman" w:hAnsi="Times New Roman" w:eastAsia="仿宋_GB2312"/>
          <w:color w:val="auto"/>
          <w:sz w:val="32"/>
          <w:szCs w:val="32"/>
          <w:highlight w:val="none"/>
        </w:rPr>
        <w:t>万元，支出决算为364.35万元，完成</w:t>
      </w:r>
      <w:r>
        <w:rPr>
          <w:rFonts w:hint="eastAsia" w:ascii="Times New Roman" w:hAnsi="Times New Roman" w:eastAsia="仿宋_GB2312"/>
          <w:sz w:val="32"/>
          <w:szCs w:val="32"/>
          <w:highlight w:val="none"/>
        </w:rPr>
        <w:t>年初预算的</w:t>
      </w:r>
      <w:r>
        <w:rPr>
          <w:rFonts w:hint="eastAsia" w:ascii="Times New Roman" w:hAnsi="Times New Roman" w:eastAsia="仿宋_GB2312"/>
          <w:sz w:val="32"/>
          <w:szCs w:val="32"/>
          <w:highlight w:val="none"/>
          <w:lang w:val="en-US" w:eastAsia="zh-CN"/>
        </w:rPr>
        <w:t>104.65</w:t>
      </w:r>
      <w:r>
        <w:rPr>
          <w:rFonts w:hint="eastAsia" w:ascii="Times New Roman" w:hAnsi="Times New Roman" w:eastAsia="仿宋_GB2312"/>
          <w:sz w:val="32"/>
          <w:szCs w:val="32"/>
          <w:highlight w:val="none"/>
        </w:rPr>
        <w:t>%，决算数大于年初预算数的主要原因是组织部拨付工作经费。</w:t>
      </w:r>
    </w:p>
    <w:p w14:paraId="4A5B02A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2、一般公共服务支出（类）党委办公厅（室）及相关机构事务（款）其他党委办公厅（室）及相关机构事务支出</w:t>
      </w:r>
      <w:r>
        <w:rPr>
          <w:rFonts w:hint="default" w:ascii="Times New Roman" w:hAnsi="Times New Roman" w:eastAsia="仿宋_GB2312"/>
          <w:color w:val="auto"/>
          <w:sz w:val="32"/>
          <w:szCs w:val="32"/>
          <w:highlight w:val="none"/>
        </w:rPr>
        <w:t>（项）</w:t>
      </w:r>
    </w:p>
    <w:p w14:paraId="54C25DC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万元，支出决算为56.86万元，决算数</w:t>
      </w:r>
      <w:r>
        <w:rPr>
          <w:rFonts w:hint="default" w:ascii="Times New Roman" w:hAnsi="Times New Roman" w:eastAsia="仿宋_GB2312"/>
          <w:color w:val="auto"/>
          <w:sz w:val="32"/>
          <w:szCs w:val="32"/>
          <w:highlight w:val="none"/>
        </w:rPr>
        <w:t>大于</w:t>
      </w:r>
      <w:r>
        <w:rPr>
          <w:rFonts w:hint="eastAsia" w:ascii="Times New Roman" w:hAnsi="Times New Roman" w:eastAsia="仿宋_GB2312"/>
          <w:color w:val="auto"/>
          <w:sz w:val="32"/>
          <w:szCs w:val="32"/>
          <w:highlight w:val="none"/>
        </w:rPr>
        <w:t>年初预算数的主要原因是</w:t>
      </w:r>
      <w:r>
        <w:rPr>
          <w:rFonts w:hint="default" w:ascii="Times New Roman" w:hAnsi="Times New Roman" w:eastAsia="仿宋_GB2312"/>
          <w:color w:val="auto"/>
          <w:sz w:val="32"/>
          <w:szCs w:val="32"/>
          <w:highlight w:val="none"/>
        </w:rPr>
        <w:t>经费调整。</w:t>
      </w:r>
    </w:p>
    <w:p w14:paraId="60FE056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3、社会保障和就业支出</w:t>
      </w:r>
      <w:r>
        <w:rPr>
          <w:rFonts w:hint="eastAsia" w:ascii="Times New Roman" w:hAnsi="Times New Roman" w:eastAsia="仿宋_GB2312"/>
          <w:color w:val="auto"/>
          <w:sz w:val="32"/>
          <w:szCs w:val="32"/>
          <w:highlight w:val="none"/>
        </w:rPr>
        <w:t>（类）行政事业单位养老支出（款）行政单位离退休</w:t>
      </w:r>
      <w:r>
        <w:rPr>
          <w:rFonts w:hint="default" w:ascii="Times New Roman" w:hAnsi="Times New Roman" w:eastAsia="仿宋_GB2312"/>
          <w:color w:val="auto"/>
          <w:sz w:val="32"/>
          <w:szCs w:val="32"/>
          <w:highlight w:val="none"/>
        </w:rPr>
        <w:t>（项）</w:t>
      </w:r>
    </w:p>
    <w:p w14:paraId="12B145C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27.0</w:t>
      </w:r>
      <w:r>
        <w:rPr>
          <w:rFonts w:hint="eastAsia" w:ascii="Times New Roman" w:hAnsi="Times New Roman" w:eastAsia="仿宋_GB2312"/>
          <w:color w:val="auto"/>
          <w:sz w:val="32"/>
          <w:szCs w:val="32"/>
          <w:highlight w:val="none"/>
          <w:lang w:val="en-US" w:eastAsia="zh-CN"/>
        </w:rPr>
        <w:t>2</w:t>
      </w:r>
      <w:r>
        <w:rPr>
          <w:rFonts w:hint="default"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支出决算为</w:t>
      </w:r>
      <w:r>
        <w:rPr>
          <w:rFonts w:hint="default" w:ascii="Times New Roman" w:hAnsi="Times New Roman" w:eastAsia="仿宋_GB2312"/>
          <w:color w:val="auto"/>
          <w:sz w:val="32"/>
          <w:szCs w:val="32"/>
          <w:highlight w:val="none"/>
        </w:rPr>
        <w:t>2.51万元，</w:t>
      </w:r>
      <w:r>
        <w:rPr>
          <w:rFonts w:hint="eastAsia" w:ascii="Times New Roman" w:hAnsi="Times New Roman" w:eastAsia="仿宋_GB2312"/>
          <w:color w:val="auto"/>
          <w:sz w:val="32"/>
          <w:szCs w:val="32"/>
          <w:highlight w:val="none"/>
        </w:rPr>
        <w:t>完成</w:t>
      </w:r>
      <w:r>
        <w:rPr>
          <w:rFonts w:hint="eastAsia" w:ascii="Times New Roman" w:hAnsi="Times New Roman" w:eastAsia="仿宋_GB2312"/>
          <w:sz w:val="32"/>
          <w:szCs w:val="32"/>
          <w:highlight w:val="none"/>
        </w:rPr>
        <w:t>年初预算的</w:t>
      </w:r>
      <w:r>
        <w:rPr>
          <w:rFonts w:hint="eastAsia" w:ascii="Times New Roman" w:hAnsi="Times New Roman" w:eastAsia="仿宋_GB2312"/>
          <w:sz w:val="32"/>
          <w:szCs w:val="32"/>
          <w:highlight w:val="none"/>
          <w:lang w:val="en-US" w:eastAsia="zh-CN"/>
        </w:rPr>
        <w:t>9.29%，</w:t>
      </w:r>
      <w:r>
        <w:rPr>
          <w:rFonts w:hint="eastAsia" w:ascii="Times New Roman" w:hAnsi="Times New Roman" w:eastAsia="仿宋_GB2312"/>
          <w:color w:val="auto"/>
          <w:sz w:val="32"/>
          <w:szCs w:val="32"/>
          <w:highlight w:val="none"/>
        </w:rPr>
        <w:t>决算数</w:t>
      </w:r>
      <w:r>
        <w:rPr>
          <w:rFonts w:hint="default" w:ascii="Times New Roman" w:hAnsi="Times New Roman" w:eastAsia="仿宋_GB2312"/>
          <w:color w:val="auto"/>
          <w:sz w:val="32"/>
          <w:szCs w:val="32"/>
          <w:highlight w:val="none"/>
        </w:rPr>
        <w:t>小于</w:t>
      </w:r>
      <w:r>
        <w:rPr>
          <w:rFonts w:hint="eastAsia" w:ascii="Times New Roman" w:hAnsi="Times New Roman" w:eastAsia="仿宋_GB2312"/>
          <w:color w:val="auto"/>
          <w:sz w:val="32"/>
          <w:szCs w:val="32"/>
          <w:highlight w:val="none"/>
        </w:rPr>
        <w:t>年初预算数的主要原因是</w:t>
      </w:r>
      <w:r>
        <w:rPr>
          <w:rFonts w:hint="default" w:ascii="Times New Roman" w:hAnsi="Times New Roman" w:eastAsia="仿宋_GB2312"/>
          <w:color w:val="auto"/>
          <w:sz w:val="32"/>
          <w:szCs w:val="32"/>
          <w:highlight w:val="none"/>
        </w:rPr>
        <w:t>经费调整。</w:t>
      </w:r>
    </w:p>
    <w:p w14:paraId="0F669F5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4、社会保障和就业支出</w:t>
      </w:r>
      <w:r>
        <w:rPr>
          <w:rFonts w:hint="eastAsia" w:ascii="Times New Roman" w:hAnsi="Times New Roman" w:eastAsia="仿宋_GB2312"/>
          <w:color w:val="auto"/>
          <w:sz w:val="32"/>
          <w:szCs w:val="32"/>
          <w:highlight w:val="none"/>
        </w:rPr>
        <w:t>（类）行政事业单位养老支出（款）</w:t>
      </w:r>
      <w:r>
        <w:rPr>
          <w:rFonts w:hint="default" w:ascii="Times New Roman" w:hAnsi="Times New Roman" w:eastAsia="仿宋_GB2312"/>
          <w:color w:val="auto"/>
          <w:sz w:val="32"/>
          <w:szCs w:val="32"/>
          <w:highlight w:val="none"/>
        </w:rPr>
        <w:t>机关事业单位基本养老保险缴费支出（项）</w:t>
      </w:r>
    </w:p>
    <w:p w14:paraId="5DF9B45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27.17万元，</w:t>
      </w:r>
      <w:r>
        <w:rPr>
          <w:rFonts w:hint="eastAsia" w:ascii="Times New Roman" w:hAnsi="Times New Roman" w:eastAsia="仿宋_GB2312"/>
          <w:color w:val="auto"/>
          <w:sz w:val="32"/>
          <w:szCs w:val="32"/>
          <w:highlight w:val="none"/>
        </w:rPr>
        <w:t>支出决算为</w:t>
      </w:r>
      <w:r>
        <w:rPr>
          <w:rFonts w:hint="default" w:ascii="Times New Roman" w:hAnsi="Times New Roman" w:eastAsia="仿宋_GB2312"/>
          <w:color w:val="auto"/>
          <w:sz w:val="32"/>
          <w:szCs w:val="32"/>
          <w:highlight w:val="none"/>
        </w:rPr>
        <w:t>27.27万元，</w:t>
      </w:r>
      <w:r>
        <w:rPr>
          <w:rFonts w:hint="eastAsia" w:ascii="Times New Roman" w:hAnsi="Times New Roman" w:eastAsia="仿宋_GB2312"/>
          <w:color w:val="auto"/>
          <w:sz w:val="32"/>
          <w:szCs w:val="32"/>
          <w:highlight w:val="none"/>
        </w:rPr>
        <w:t>完成</w:t>
      </w:r>
      <w:r>
        <w:rPr>
          <w:rFonts w:hint="eastAsia" w:ascii="Times New Roman" w:hAnsi="Times New Roman" w:eastAsia="仿宋_GB2312"/>
          <w:sz w:val="32"/>
          <w:szCs w:val="32"/>
          <w:highlight w:val="none"/>
        </w:rPr>
        <w:t>年初预算的</w:t>
      </w:r>
      <w:r>
        <w:rPr>
          <w:rFonts w:hint="eastAsia" w:ascii="Times New Roman" w:hAnsi="Times New Roman" w:eastAsia="仿宋_GB2312"/>
          <w:sz w:val="32"/>
          <w:szCs w:val="32"/>
          <w:highlight w:val="none"/>
          <w:lang w:val="en-US" w:eastAsia="zh-CN"/>
        </w:rPr>
        <w:t>100.37%，</w:t>
      </w:r>
      <w:r>
        <w:rPr>
          <w:rFonts w:hint="eastAsia" w:ascii="Times New Roman" w:hAnsi="Times New Roman" w:eastAsia="仿宋_GB2312"/>
          <w:color w:val="auto"/>
          <w:sz w:val="32"/>
          <w:szCs w:val="32"/>
          <w:highlight w:val="none"/>
        </w:rPr>
        <w:t>决算数</w:t>
      </w:r>
      <w:r>
        <w:rPr>
          <w:rFonts w:hint="default" w:ascii="Times New Roman" w:hAnsi="Times New Roman" w:eastAsia="仿宋_GB2312"/>
          <w:color w:val="auto"/>
          <w:sz w:val="32"/>
          <w:szCs w:val="32"/>
          <w:highlight w:val="none"/>
        </w:rPr>
        <w:t>大于</w:t>
      </w:r>
      <w:r>
        <w:rPr>
          <w:rFonts w:hint="eastAsia" w:ascii="Times New Roman" w:hAnsi="Times New Roman" w:eastAsia="仿宋_GB2312"/>
          <w:color w:val="auto"/>
          <w:sz w:val="32"/>
          <w:szCs w:val="32"/>
          <w:highlight w:val="none"/>
        </w:rPr>
        <w:t>年初预算数的主要原因是</w:t>
      </w:r>
      <w:r>
        <w:rPr>
          <w:rFonts w:hint="default" w:ascii="Times New Roman" w:hAnsi="Times New Roman" w:eastAsia="仿宋_GB2312"/>
          <w:color w:val="auto"/>
          <w:sz w:val="32"/>
          <w:szCs w:val="32"/>
          <w:highlight w:val="none"/>
        </w:rPr>
        <w:t>基数增加。</w:t>
      </w:r>
    </w:p>
    <w:p w14:paraId="21C484C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5、社会保障和就业支出</w:t>
      </w:r>
      <w:r>
        <w:rPr>
          <w:rFonts w:hint="eastAsia" w:ascii="Times New Roman" w:hAnsi="Times New Roman" w:eastAsia="仿宋_GB2312"/>
          <w:color w:val="auto"/>
          <w:sz w:val="32"/>
          <w:szCs w:val="32"/>
          <w:highlight w:val="none"/>
        </w:rPr>
        <w:t>（类）行政事业单位养老支出（款）</w:t>
      </w:r>
      <w:r>
        <w:rPr>
          <w:rFonts w:hint="default" w:ascii="Times New Roman" w:hAnsi="Times New Roman" w:eastAsia="仿宋_GB2312"/>
          <w:color w:val="auto"/>
          <w:sz w:val="32"/>
          <w:szCs w:val="32"/>
          <w:highlight w:val="none"/>
        </w:rPr>
        <w:t>其他行政事业单位养老支出（项）</w:t>
      </w:r>
    </w:p>
    <w:p w14:paraId="71A2601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0万元，</w:t>
      </w:r>
      <w:r>
        <w:rPr>
          <w:rFonts w:hint="eastAsia" w:ascii="Times New Roman" w:hAnsi="Times New Roman" w:eastAsia="仿宋_GB2312"/>
          <w:color w:val="auto"/>
          <w:sz w:val="32"/>
          <w:szCs w:val="32"/>
          <w:highlight w:val="none"/>
        </w:rPr>
        <w:t>支出决算为</w:t>
      </w:r>
      <w:r>
        <w:rPr>
          <w:rFonts w:hint="default" w:ascii="Times New Roman" w:hAnsi="Times New Roman" w:eastAsia="仿宋_GB2312"/>
          <w:color w:val="auto"/>
          <w:sz w:val="32"/>
          <w:szCs w:val="32"/>
          <w:highlight w:val="none"/>
        </w:rPr>
        <w:t>16.5万元，</w:t>
      </w:r>
      <w:r>
        <w:rPr>
          <w:rFonts w:hint="eastAsia" w:ascii="Times New Roman" w:hAnsi="Times New Roman" w:eastAsia="仿宋_GB2312"/>
          <w:color w:val="auto"/>
          <w:sz w:val="32"/>
          <w:szCs w:val="32"/>
          <w:highlight w:val="none"/>
        </w:rPr>
        <w:t>决算数</w:t>
      </w:r>
      <w:r>
        <w:rPr>
          <w:rFonts w:hint="default" w:ascii="Times New Roman" w:hAnsi="Times New Roman" w:eastAsia="仿宋_GB2312"/>
          <w:color w:val="auto"/>
          <w:sz w:val="32"/>
          <w:szCs w:val="32"/>
          <w:highlight w:val="none"/>
        </w:rPr>
        <w:t>大于</w:t>
      </w:r>
      <w:r>
        <w:rPr>
          <w:rFonts w:hint="eastAsia" w:ascii="Times New Roman" w:hAnsi="Times New Roman" w:eastAsia="仿宋_GB2312"/>
          <w:color w:val="auto"/>
          <w:sz w:val="32"/>
          <w:szCs w:val="32"/>
          <w:highlight w:val="none"/>
        </w:rPr>
        <w:t>年初预算数的主要原因是</w:t>
      </w:r>
      <w:r>
        <w:rPr>
          <w:rFonts w:hint="default" w:ascii="Times New Roman" w:hAnsi="Times New Roman" w:eastAsia="仿宋_GB2312"/>
          <w:color w:val="auto"/>
          <w:sz w:val="32"/>
          <w:szCs w:val="32"/>
          <w:highlight w:val="none"/>
        </w:rPr>
        <w:t>经费调整。</w:t>
      </w:r>
    </w:p>
    <w:p w14:paraId="749CD88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6、卫生健康支出</w:t>
      </w:r>
      <w:r>
        <w:rPr>
          <w:rFonts w:hint="eastAsia" w:ascii="Times New Roman" w:hAnsi="Times New Roman" w:eastAsia="仿宋_GB2312"/>
          <w:color w:val="auto"/>
          <w:sz w:val="32"/>
          <w:szCs w:val="32"/>
          <w:highlight w:val="none"/>
        </w:rPr>
        <w:t>（类）公共卫生（款）突发公共卫生事件应急处理</w:t>
      </w:r>
      <w:r>
        <w:rPr>
          <w:rFonts w:hint="default" w:ascii="Times New Roman" w:hAnsi="Times New Roman" w:eastAsia="仿宋_GB2312"/>
          <w:color w:val="auto"/>
          <w:sz w:val="32"/>
          <w:szCs w:val="32"/>
          <w:highlight w:val="none"/>
        </w:rPr>
        <w:t>（项）</w:t>
      </w:r>
    </w:p>
    <w:p w14:paraId="061BA6A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0万元，</w:t>
      </w:r>
      <w:r>
        <w:rPr>
          <w:rFonts w:hint="eastAsia" w:ascii="Times New Roman" w:hAnsi="Times New Roman" w:eastAsia="仿宋_GB2312"/>
          <w:color w:val="auto"/>
          <w:sz w:val="32"/>
          <w:szCs w:val="32"/>
          <w:highlight w:val="none"/>
        </w:rPr>
        <w:t>支出决算为</w:t>
      </w:r>
      <w:r>
        <w:rPr>
          <w:rFonts w:hint="default" w:ascii="Times New Roman" w:hAnsi="Times New Roman" w:eastAsia="仿宋_GB2312"/>
          <w:color w:val="auto"/>
          <w:sz w:val="32"/>
          <w:szCs w:val="32"/>
          <w:highlight w:val="none"/>
        </w:rPr>
        <w:t>1.8万元，</w:t>
      </w:r>
      <w:r>
        <w:rPr>
          <w:rFonts w:hint="eastAsia" w:ascii="Times New Roman" w:hAnsi="Times New Roman" w:eastAsia="仿宋_GB2312"/>
          <w:color w:val="auto"/>
          <w:sz w:val="32"/>
          <w:szCs w:val="32"/>
          <w:highlight w:val="none"/>
        </w:rPr>
        <w:t>决算数</w:t>
      </w:r>
      <w:r>
        <w:rPr>
          <w:rFonts w:hint="default" w:ascii="Times New Roman" w:hAnsi="Times New Roman" w:eastAsia="仿宋_GB2312"/>
          <w:color w:val="auto"/>
          <w:sz w:val="32"/>
          <w:szCs w:val="32"/>
          <w:highlight w:val="none"/>
        </w:rPr>
        <w:t>大于</w:t>
      </w:r>
      <w:r>
        <w:rPr>
          <w:rFonts w:hint="eastAsia" w:ascii="Times New Roman" w:hAnsi="Times New Roman" w:eastAsia="仿宋_GB2312"/>
          <w:color w:val="auto"/>
          <w:sz w:val="32"/>
          <w:szCs w:val="32"/>
          <w:highlight w:val="none"/>
        </w:rPr>
        <w:t>年初预算数的主要原因是</w:t>
      </w:r>
      <w:r>
        <w:rPr>
          <w:rFonts w:hint="default" w:ascii="Times New Roman" w:hAnsi="Times New Roman" w:eastAsia="仿宋_GB2312"/>
          <w:color w:val="auto"/>
          <w:sz w:val="32"/>
          <w:szCs w:val="32"/>
          <w:highlight w:val="none"/>
        </w:rPr>
        <w:t>因疫情防控工作追加。</w:t>
      </w:r>
    </w:p>
    <w:p w14:paraId="2EC6471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7、卫生健康支出</w:t>
      </w:r>
      <w:r>
        <w:rPr>
          <w:rFonts w:hint="eastAsia" w:ascii="Times New Roman" w:hAnsi="Times New Roman" w:eastAsia="仿宋_GB2312"/>
          <w:color w:val="auto"/>
          <w:sz w:val="32"/>
          <w:szCs w:val="32"/>
          <w:highlight w:val="none"/>
        </w:rPr>
        <w:t>（类）</w:t>
      </w:r>
      <w:r>
        <w:rPr>
          <w:rFonts w:hint="default" w:ascii="Times New Roman" w:hAnsi="Times New Roman" w:eastAsia="仿宋_GB2312"/>
          <w:color w:val="auto"/>
          <w:sz w:val="32"/>
          <w:szCs w:val="32"/>
          <w:highlight w:val="none"/>
        </w:rPr>
        <w:t>行政事业单位医疗</w:t>
      </w:r>
      <w:r>
        <w:rPr>
          <w:rFonts w:hint="eastAsia" w:ascii="Times New Roman" w:hAnsi="Times New Roman" w:eastAsia="仿宋_GB2312"/>
          <w:color w:val="auto"/>
          <w:sz w:val="32"/>
          <w:szCs w:val="32"/>
          <w:highlight w:val="none"/>
        </w:rPr>
        <w:t>（款）行政单位医疗</w:t>
      </w:r>
      <w:r>
        <w:rPr>
          <w:rFonts w:hint="default" w:ascii="Times New Roman" w:hAnsi="Times New Roman" w:eastAsia="仿宋_GB2312"/>
          <w:color w:val="auto"/>
          <w:sz w:val="32"/>
          <w:szCs w:val="32"/>
          <w:highlight w:val="none"/>
        </w:rPr>
        <w:t>（项）</w:t>
      </w:r>
    </w:p>
    <w:p w14:paraId="031A8FA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14.44万元，</w:t>
      </w:r>
      <w:r>
        <w:rPr>
          <w:rFonts w:hint="eastAsia" w:ascii="Times New Roman" w:hAnsi="Times New Roman" w:eastAsia="仿宋_GB2312"/>
          <w:color w:val="auto"/>
          <w:sz w:val="32"/>
          <w:szCs w:val="32"/>
          <w:highlight w:val="none"/>
        </w:rPr>
        <w:t>支出决算为</w:t>
      </w:r>
      <w:r>
        <w:rPr>
          <w:rFonts w:hint="default" w:ascii="Times New Roman" w:hAnsi="Times New Roman" w:eastAsia="仿宋_GB2312"/>
          <w:color w:val="auto"/>
          <w:sz w:val="32"/>
          <w:szCs w:val="32"/>
          <w:highlight w:val="none"/>
        </w:rPr>
        <w:t>13.73万元，</w:t>
      </w:r>
      <w:r>
        <w:rPr>
          <w:rFonts w:hint="eastAsia" w:ascii="Times New Roman" w:hAnsi="Times New Roman" w:eastAsia="仿宋_GB2312"/>
          <w:color w:val="auto"/>
          <w:sz w:val="32"/>
          <w:szCs w:val="32"/>
          <w:highlight w:val="none"/>
        </w:rPr>
        <w:t>完成</w:t>
      </w:r>
      <w:r>
        <w:rPr>
          <w:rFonts w:hint="eastAsia" w:ascii="Times New Roman" w:hAnsi="Times New Roman" w:eastAsia="仿宋_GB2312"/>
          <w:sz w:val="32"/>
          <w:szCs w:val="32"/>
          <w:highlight w:val="none"/>
        </w:rPr>
        <w:t>年初预算的</w:t>
      </w:r>
      <w:r>
        <w:rPr>
          <w:rFonts w:hint="eastAsia" w:ascii="Times New Roman" w:hAnsi="Times New Roman" w:eastAsia="仿宋_GB2312"/>
          <w:sz w:val="32"/>
          <w:szCs w:val="32"/>
          <w:highlight w:val="none"/>
          <w:lang w:val="en-US" w:eastAsia="zh-CN"/>
        </w:rPr>
        <w:t>95.08%，</w:t>
      </w:r>
      <w:r>
        <w:rPr>
          <w:rFonts w:hint="eastAsia" w:ascii="Times New Roman" w:hAnsi="Times New Roman" w:eastAsia="仿宋_GB2312"/>
          <w:color w:val="auto"/>
          <w:sz w:val="32"/>
          <w:szCs w:val="32"/>
          <w:highlight w:val="none"/>
        </w:rPr>
        <w:t>决算数</w:t>
      </w:r>
      <w:r>
        <w:rPr>
          <w:rFonts w:hint="default" w:ascii="Times New Roman" w:hAnsi="Times New Roman" w:eastAsia="仿宋_GB2312"/>
          <w:color w:val="auto"/>
          <w:sz w:val="32"/>
          <w:szCs w:val="32"/>
          <w:highlight w:val="none"/>
        </w:rPr>
        <w:t>小于</w:t>
      </w:r>
      <w:r>
        <w:rPr>
          <w:rFonts w:hint="eastAsia" w:ascii="Times New Roman" w:hAnsi="Times New Roman" w:eastAsia="仿宋_GB2312"/>
          <w:color w:val="auto"/>
          <w:sz w:val="32"/>
          <w:szCs w:val="32"/>
          <w:highlight w:val="none"/>
        </w:rPr>
        <w:t>年初预算数的主要原因是</w:t>
      </w:r>
      <w:r>
        <w:rPr>
          <w:rFonts w:hint="default" w:ascii="Times New Roman" w:hAnsi="Times New Roman" w:eastAsia="仿宋_GB2312"/>
          <w:color w:val="auto"/>
          <w:sz w:val="32"/>
          <w:szCs w:val="32"/>
          <w:highlight w:val="none"/>
        </w:rPr>
        <w:t>经费调整。</w:t>
      </w:r>
    </w:p>
    <w:p w14:paraId="4A93FD9D">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8、卫生健康支出</w:t>
      </w:r>
      <w:r>
        <w:rPr>
          <w:rFonts w:hint="eastAsia" w:ascii="Times New Roman" w:hAnsi="Times New Roman" w:eastAsia="仿宋_GB2312"/>
          <w:color w:val="auto"/>
          <w:sz w:val="32"/>
          <w:szCs w:val="32"/>
          <w:highlight w:val="none"/>
        </w:rPr>
        <w:t>（类）</w:t>
      </w:r>
      <w:r>
        <w:rPr>
          <w:rFonts w:hint="default" w:ascii="Times New Roman" w:hAnsi="Times New Roman" w:eastAsia="仿宋_GB2312"/>
          <w:color w:val="auto"/>
          <w:sz w:val="32"/>
          <w:szCs w:val="32"/>
          <w:highlight w:val="none"/>
        </w:rPr>
        <w:t>行政事业单位医疗</w:t>
      </w:r>
      <w:r>
        <w:rPr>
          <w:rFonts w:hint="eastAsia" w:ascii="Times New Roman" w:hAnsi="Times New Roman" w:eastAsia="仿宋_GB2312"/>
          <w:color w:val="auto"/>
          <w:sz w:val="32"/>
          <w:szCs w:val="32"/>
          <w:highlight w:val="none"/>
        </w:rPr>
        <w:t>（款）</w:t>
      </w:r>
      <w:r>
        <w:rPr>
          <w:rFonts w:hint="default" w:ascii="Times New Roman" w:hAnsi="Times New Roman" w:eastAsia="仿宋_GB2312"/>
          <w:color w:val="auto"/>
          <w:sz w:val="32"/>
          <w:szCs w:val="32"/>
          <w:highlight w:val="none"/>
        </w:rPr>
        <w:t>其他行政事业单位医</w:t>
      </w:r>
    </w:p>
    <w:p w14:paraId="648FFC45">
      <w:pPr>
        <w:pStyle w:val="10"/>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疗支出（项）</w:t>
      </w:r>
    </w:p>
    <w:p w14:paraId="33312AC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default" w:ascii="Times New Roman" w:hAnsi="Times New Roman" w:eastAsia="仿宋_GB2312"/>
          <w:color w:val="auto"/>
          <w:sz w:val="32"/>
          <w:szCs w:val="32"/>
          <w:highlight w:val="none"/>
        </w:rPr>
        <w:t>0万元，</w:t>
      </w:r>
      <w:r>
        <w:rPr>
          <w:rFonts w:hint="eastAsia" w:ascii="Times New Roman" w:hAnsi="Times New Roman" w:eastAsia="仿宋_GB2312"/>
          <w:color w:val="auto"/>
          <w:sz w:val="32"/>
          <w:szCs w:val="32"/>
          <w:highlight w:val="none"/>
        </w:rPr>
        <w:t>支出决算为</w:t>
      </w:r>
      <w:r>
        <w:rPr>
          <w:rFonts w:hint="default" w:ascii="Times New Roman" w:hAnsi="Times New Roman" w:eastAsia="仿宋_GB2312"/>
          <w:color w:val="auto"/>
          <w:sz w:val="32"/>
          <w:szCs w:val="32"/>
          <w:highlight w:val="none"/>
        </w:rPr>
        <w:t>1.2万元，</w:t>
      </w:r>
      <w:r>
        <w:rPr>
          <w:rFonts w:hint="eastAsia" w:ascii="Times New Roman" w:hAnsi="Times New Roman" w:eastAsia="仿宋_GB2312"/>
          <w:color w:val="auto"/>
          <w:sz w:val="32"/>
          <w:szCs w:val="32"/>
          <w:highlight w:val="none"/>
        </w:rPr>
        <w:t>决算数</w:t>
      </w:r>
      <w:r>
        <w:rPr>
          <w:rFonts w:hint="default" w:ascii="Times New Roman" w:hAnsi="Times New Roman" w:eastAsia="仿宋_GB2312"/>
          <w:color w:val="auto"/>
          <w:sz w:val="32"/>
          <w:szCs w:val="32"/>
          <w:highlight w:val="none"/>
        </w:rPr>
        <w:t>大于</w:t>
      </w:r>
      <w:r>
        <w:rPr>
          <w:rFonts w:hint="eastAsia" w:ascii="Times New Roman" w:hAnsi="Times New Roman" w:eastAsia="仿宋_GB2312"/>
          <w:color w:val="auto"/>
          <w:sz w:val="32"/>
          <w:szCs w:val="32"/>
          <w:highlight w:val="none"/>
        </w:rPr>
        <w:t>年初预算数的主要原因是</w:t>
      </w:r>
      <w:r>
        <w:rPr>
          <w:rFonts w:hint="default" w:ascii="Times New Roman" w:hAnsi="Times New Roman" w:eastAsia="仿宋_GB2312"/>
          <w:color w:val="auto"/>
          <w:sz w:val="32"/>
          <w:szCs w:val="32"/>
          <w:highlight w:val="none"/>
        </w:rPr>
        <w:t>经费调整。</w:t>
      </w:r>
    </w:p>
    <w:p w14:paraId="132D56B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6E13CA2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年度财政拨款基本支出444.78万元，其中：</w:t>
      </w:r>
    </w:p>
    <w:p w14:paraId="3749265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rPr>
        <w:t>389.96万元，占基本支出的</w:t>
      </w:r>
      <w:r>
        <w:rPr>
          <w:rFonts w:hint="default" w:ascii="Times New Roman" w:hAnsi="Times New Roman" w:eastAsia="仿宋_GB2312"/>
          <w:sz w:val="32"/>
          <w:szCs w:val="32"/>
          <w:highlight w:val="none"/>
        </w:rPr>
        <w:t>87.67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主要包括基本工资、津贴补贴、奖金、伙食补助费</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机关事业单位基本养老保险缴费</w:t>
      </w:r>
      <w:r>
        <w:rPr>
          <w:rFonts w:hint="default" w:ascii="Times New Roman" w:hAnsi="Times New Roman" w:eastAsia="仿宋_GB2312"/>
          <w:sz w:val="32"/>
          <w:szCs w:val="32"/>
          <w:highlight w:val="none"/>
        </w:rPr>
        <w:t>、职工基本医疗保险缴费、公务员医疗补助缴费、其他社会保障缴费、对个人和家庭的补助、其他对个人和家庭的补助</w:t>
      </w:r>
      <w:r>
        <w:rPr>
          <w:rFonts w:hint="eastAsia" w:ascii="Times New Roman" w:hAnsi="Times New Roman" w:eastAsia="仿宋_GB2312"/>
          <w:sz w:val="32"/>
          <w:szCs w:val="32"/>
          <w:highlight w:val="none"/>
          <w:lang w:eastAsia="zh-CN"/>
        </w:rPr>
        <w:t>。</w:t>
      </w:r>
    </w:p>
    <w:p w14:paraId="6475454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rPr>
        <w:t>54.82万元，占基本支出的</w:t>
      </w:r>
      <w:r>
        <w:rPr>
          <w:rFonts w:hint="default" w:ascii="Times New Roman" w:hAnsi="Times New Roman" w:eastAsia="仿宋_GB2312"/>
          <w:sz w:val="32"/>
          <w:szCs w:val="32"/>
          <w:highlight w:val="none"/>
        </w:rPr>
        <w:t>12.33</w:t>
      </w:r>
      <w:r>
        <w:rPr>
          <w:rFonts w:hint="eastAsia" w:ascii="Times New Roman" w:hAnsi="Times New Roman" w:eastAsia="仿宋_GB2312"/>
          <w:sz w:val="32"/>
          <w:szCs w:val="32"/>
          <w:highlight w:val="none"/>
        </w:rPr>
        <w:t>%，主要包括办公费、</w:t>
      </w:r>
      <w:r>
        <w:rPr>
          <w:rFonts w:hint="default" w:ascii="Times New Roman" w:hAnsi="Times New Roman" w:eastAsia="仿宋_GB2312"/>
          <w:sz w:val="32"/>
          <w:szCs w:val="32"/>
          <w:highlight w:val="none"/>
        </w:rPr>
        <w:t>邮电</w:t>
      </w:r>
      <w:r>
        <w:rPr>
          <w:rFonts w:hint="eastAsia" w:ascii="Times New Roman" w:hAnsi="Times New Roman" w:eastAsia="仿宋_GB2312"/>
          <w:sz w:val="32"/>
          <w:szCs w:val="32"/>
          <w:highlight w:val="none"/>
        </w:rPr>
        <w:t>费、</w:t>
      </w:r>
      <w:r>
        <w:rPr>
          <w:rFonts w:hint="default" w:ascii="Times New Roman" w:hAnsi="Times New Roman" w:eastAsia="仿宋_GB2312"/>
          <w:sz w:val="32"/>
          <w:szCs w:val="32"/>
          <w:highlight w:val="none"/>
        </w:rPr>
        <w:t>差旅</w:t>
      </w:r>
      <w:r>
        <w:rPr>
          <w:rFonts w:hint="eastAsia" w:ascii="Times New Roman" w:hAnsi="Times New Roman" w:eastAsia="仿宋_GB2312"/>
          <w:sz w:val="32"/>
          <w:szCs w:val="32"/>
          <w:highlight w:val="none"/>
        </w:rPr>
        <w:t>费、</w:t>
      </w:r>
      <w:r>
        <w:rPr>
          <w:rFonts w:hint="default" w:ascii="Times New Roman" w:hAnsi="Times New Roman" w:eastAsia="仿宋_GB2312"/>
          <w:sz w:val="32"/>
          <w:szCs w:val="32"/>
          <w:highlight w:val="none"/>
        </w:rPr>
        <w:t>工会经</w:t>
      </w:r>
      <w:r>
        <w:rPr>
          <w:rFonts w:hint="eastAsia" w:ascii="Times New Roman" w:hAnsi="Times New Roman" w:eastAsia="仿宋_GB2312"/>
          <w:sz w:val="32"/>
          <w:szCs w:val="32"/>
          <w:highlight w:val="none"/>
        </w:rPr>
        <w:t>费</w:t>
      </w:r>
      <w:r>
        <w:rPr>
          <w:rFonts w:ascii="Times New Roman" w:hAnsi="Times New Roman" w:eastAsia="仿宋_GB2312"/>
          <w:sz w:val="32"/>
          <w:szCs w:val="32"/>
          <w:highlight w:val="none"/>
        </w:rPr>
        <w:t>、福利费、公务用车运行维护费、</w:t>
      </w:r>
      <w:r>
        <w:rPr>
          <w:rFonts w:hint="eastAsia" w:ascii="Times New Roman" w:hAnsi="Times New Roman" w:eastAsia="仿宋_GB2312"/>
          <w:sz w:val="32"/>
          <w:szCs w:val="32"/>
          <w:highlight w:val="none"/>
        </w:rPr>
        <w:t>其他交通费用</w:t>
      </w:r>
      <w:r>
        <w:rPr>
          <w:rFonts w:hint="default" w:ascii="Times New Roman" w:hAnsi="Times New Roman" w:eastAsia="仿宋_GB2312"/>
          <w:sz w:val="32"/>
          <w:szCs w:val="32"/>
          <w:highlight w:val="none"/>
        </w:rPr>
        <w:t>、其他商品和服务支出</w:t>
      </w:r>
      <w:r>
        <w:rPr>
          <w:rFonts w:hint="eastAsia" w:ascii="Times New Roman" w:hAnsi="Times New Roman" w:eastAsia="仿宋_GB2312"/>
          <w:sz w:val="32"/>
          <w:szCs w:val="32"/>
          <w:highlight w:val="none"/>
        </w:rPr>
        <w:t>。</w:t>
      </w:r>
    </w:p>
    <w:p w14:paraId="5E62EBE0">
      <w:pPr>
        <w:pStyle w:val="10"/>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财政拨款三公经费支出决算情况说明</w:t>
      </w:r>
    </w:p>
    <w:p w14:paraId="53F5F36F">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30CC40D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2.08</w:t>
      </w:r>
      <w:r>
        <w:rPr>
          <w:rFonts w:hint="eastAsia" w:ascii="Times New Roman" w:hAnsi="Times New Roman" w:eastAsia="仿宋_GB2312"/>
          <w:sz w:val="32"/>
          <w:szCs w:val="32"/>
          <w:highlight w:val="none"/>
        </w:rPr>
        <w:t>万元，支出决算为2.08万元，完成预算的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预算数的主要原因是</w:t>
      </w:r>
      <w:r>
        <w:rPr>
          <w:rFonts w:hint="eastAsia" w:ascii="仿宋" w:hAnsi="仿宋" w:eastAsia="仿宋"/>
          <w:sz w:val="32"/>
          <w:szCs w:val="32"/>
          <w:highlight w:val="none"/>
        </w:rPr>
        <w:t>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厉行节约；比上年减少0.16万元，降低7.14%，</w:t>
      </w:r>
      <w:r>
        <w:rPr>
          <w:rFonts w:hint="eastAsia" w:ascii="Times New Roman" w:hAnsi="Times New Roman" w:eastAsia="仿宋_GB2312"/>
          <w:sz w:val="32"/>
          <w:szCs w:val="32"/>
          <w:highlight w:val="none"/>
        </w:rPr>
        <w:t>减少的主要原因是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。其中：</w:t>
      </w:r>
    </w:p>
    <w:p w14:paraId="78B3DD2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66962DF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0.25</w:t>
      </w:r>
      <w:r>
        <w:rPr>
          <w:rFonts w:hint="eastAsia" w:ascii="Times New Roman" w:hAnsi="Times New Roman" w:eastAsia="仿宋_GB2312"/>
          <w:sz w:val="32"/>
          <w:szCs w:val="32"/>
          <w:highlight w:val="none"/>
        </w:rPr>
        <w:t>万元，支出决算为0.25万元，完成预算的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预算数的主要原因是</w:t>
      </w:r>
      <w:r>
        <w:rPr>
          <w:rFonts w:hint="eastAsia" w:ascii="仿宋" w:hAnsi="仿宋" w:eastAsia="仿宋"/>
          <w:sz w:val="32"/>
          <w:szCs w:val="32"/>
          <w:highlight w:val="none"/>
        </w:rPr>
        <w:t>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与上年相比减少</w:t>
      </w:r>
      <w:r>
        <w:rPr>
          <w:rFonts w:hint="default" w:ascii="Times New Roman" w:hAnsi="Times New Roman" w:eastAsia="仿宋_GB2312"/>
          <w:sz w:val="32"/>
          <w:szCs w:val="32"/>
          <w:highlight w:val="none"/>
        </w:rPr>
        <w:t>0.11</w:t>
      </w:r>
      <w:r>
        <w:rPr>
          <w:rFonts w:hint="eastAsia" w:ascii="Times New Roman" w:hAnsi="Times New Roman" w:eastAsia="仿宋_GB2312"/>
          <w:sz w:val="32"/>
          <w:szCs w:val="32"/>
          <w:highlight w:val="none"/>
        </w:rPr>
        <w:t>万元，减少</w:t>
      </w:r>
      <w:r>
        <w:rPr>
          <w:rFonts w:hint="default" w:ascii="Times New Roman" w:hAnsi="Times New Roman" w:eastAsia="仿宋_GB2312"/>
          <w:sz w:val="32"/>
          <w:szCs w:val="32"/>
          <w:highlight w:val="none"/>
        </w:rPr>
        <w:t>30.5</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%,减少的主要原因是</w:t>
      </w:r>
      <w:r>
        <w:rPr>
          <w:rFonts w:hint="default" w:ascii="Times New Roman" w:hAnsi="Times New Roman" w:eastAsia="仿宋_GB2312"/>
          <w:sz w:val="32"/>
          <w:szCs w:val="32"/>
          <w:highlight w:val="none"/>
        </w:rPr>
        <w:t>厉行节约</w:t>
      </w:r>
      <w:r>
        <w:rPr>
          <w:rFonts w:hint="eastAsia" w:ascii="Times New Roman" w:hAnsi="Times New Roman" w:eastAsia="仿宋_GB2312"/>
          <w:sz w:val="32"/>
          <w:szCs w:val="32"/>
          <w:highlight w:val="none"/>
        </w:rPr>
        <w:t>。</w:t>
      </w:r>
    </w:p>
    <w:p w14:paraId="5E056EA0">
      <w:pPr>
        <w:pStyle w:val="10"/>
        <w:spacing w:line="600" w:lineRule="exact"/>
        <w:ind w:firstLine="640" w:firstLineChars="200"/>
        <w:rPr>
          <w:rFonts w:ascii="Times New Roman" w:hAnsi="Times New Roman" w:eastAsia="仿宋_GB2312"/>
          <w:sz w:val="32"/>
          <w:szCs w:val="32"/>
          <w:highlight w:val="none"/>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415C4F0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1.84</w:t>
      </w:r>
      <w:r>
        <w:rPr>
          <w:rFonts w:hint="eastAsia" w:ascii="Times New Roman" w:hAnsi="Times New Roman" w:eastAsia="仿宋_GB2312"/>
          <w:sz w:val="32"/>
          <w:szCs w:val="32"/>
          <w:highlight w:val="none"/>
        </w:rPr>
        <w:t>万元，支出决算为1.84万元，完成预算的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预算数的主要原因是</w:t>
      </w:r>
      <w:r>
        <w:rPr>
          <w:rFonts w:hint="eastAsia" w:ascii="仿宋" w:hAnsi="仿宋" w:eastAsia="仿宋"/>
          <w:sz w:val="32"/>
          <w:szCs w:val="32"/>
          <w:highlight w:val="none"/>
        </w:rPr>
        <w:t>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与上年相比减少</w:t>
      </w:r>
      <w:r>
        <w:rPr>
          <w:rFonts w:hint="default" w:ascii="Times New Roman" w:hAnsi="Times New Roman" w:eastAsia="仿宋_GB2312"/>
          <w:sz w:val="32"/>
          <w:szCs w:val="32"/>
          <w:highlight w:val="none"/>
        </w:rPr>
        <w:t>0.04</w:t>
      </w:r>
      <w:r>
        <w:rPr>
          <w:rFonts w:hint="eastAsia" w:ascii="Times New Roman" w:hAnsi="Times New Roman" w:eastAsia="仿宋_GB2312"/>
          <w:sz w:val="32"/>
          <w:szCs w:val="32"/>
          <w:highlight w:val="none"/>
        </w:rPr>
        <w:t>万元，减少</w:t>
      </w:r>
      <w:r>
        <w:rPr>
          <w:rFonts w:hint="default" w:ascii="Times New Roman" w:hAnsi="Times New Roman" w:eastAsia="仿宋_GB2312"/>
          <w:sz w:val="32"/>
          <w:szCs w:val="32"/>
          <w:highlight w:val="none"/>
        </w:rPr>
        <w:t>2.13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减少的主要原因是</w:t>
      </w:r>
      <w:r>
        <w:rPr>
          <w:rFonts w:hint="default" w:ascii="Times New Roman" w:hAnsi="Times New Roman" w:eastAsia="仿宋_GB2312"/>
          <w:sz w:val="32"/>
          <w:szCs w:val="32"/>
          <w:highlight w:val="none"/>
        </w:rPr>
        <w:t>厉行节约</w:t>
      </w:r>
      <w:r>
        <w:rPr>
          <w:rFonts w:hint="eastAsia" w:ascii="Times New Roman" w:hAnsi="Times New Roman" w:eastAsia="仿宋_GB2312"/>
          <w:sz w:val="32"/>
          <w:szCs w:val="32"/>
          <w:highlight w:val="none"/>
        </w:rPr>
        <w:t>。</w:t>
      </w:r>
    </w:p>
    <w:p w14:paraId="64DF7DC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084047E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年度“三公”经费财政拨款支出决算中，公务接待费支出决算</w:t>
      </w:r>
      <w:r>
        <w:rPr>
          <w:rFonts w:hint="default" w:ascii="Times New Roman" w:hAnsi="Times New Roman" w:eastAsia="仿宋_GB2312"/>
          <w:sz w:val="32"/>
          <w:szCs w:val="32"/>
          <w:highlight w:val="none"/>
        </w:rPr>
        <w:t>0.25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rPr>
        <w:t>%</w:t>
      </w:r>
      <w:r>
        <w:rPr>
          <w:rFonts w:hint="default" w:ascii="Times New Roman" w:hAnsi="Times New Roman" w:eastAsia="仿宋_GB2312"/>
          <w:sz w:val="32"/>
          <w:szCs w:val="32"/>
          <w:highlight w:val="none"/>
        </w:rPr>
        <w:t>，</w:t>
      </w:r>
      <w:r>
        <w:rPr>
          <w:rFonts w:hint="eastAsia" w:ascii="Times New Roman" w:hAnsi="Times New Roman" w:eastAsia="仿宋_GB2312"/>
          <w:sz w:val="32"/>
          <w:szCs w:val="32"/>
          <w:highlight w:val="none"/>
        </w:rPr>
        <w:t>因公出国（境）费支出决算</w:t>
      </w:r>
      <w:r>
        <w:rPr>
          <w:rFonts w:hint="default" w:ascii="Times New Roman" w:hAnsi="Times New Roman" w:eastAsia="仿宋_GB2312"/>
          <w:sz w:val="32"/>
          <w:szCs w:val="32"/>
          <w:highlight w:val="none"/>
        </w:rPr>
        <w:t>0</w:t>
      </w:r>
      <w:r>
        <w:rPr>
          <w:rFonts w:hint="eastAsia" w:ascii="Times New Roman" w:hAnsi="Times New Roman" w:eastAsia="仿宋_GB2312"/>
          <w:sz w:val="32"/>
          <w:szCs w:val="32"/>
          <w:highlight w:val="none"/>
        </w:rPr>
        <w:t>万元，公务用车购置费及运行维护费支出决算</w:t>
      </w:r>
      <w:r>
        <w:rPr>
          <w:rFonts w:hint="default" w:ascii="Times New Roman" w:hAnsi="Times New Roman" w:eastAsia="仿宋_GB2312"/>
          <w:sz w:val="32"/>
          <w:szCs w:val="32"/>
          <w:highlight w:val="none"/>
        </w:rPr>
        <w:t>1.84</w:t>
      </w:r>
      <w:r>
        <w:rPr>
          <w:rFonts w:hint="eastAsia" w:ascii="Times New Roman" w:hAnsi="Times New Roman" w:eastAsia="仿宋_GB2312"/>
          <w:sz w:val="32"/>
          <w:szCs w:val="32"/>
          <w:highlight w:val="none"/>
        </w:rPr>
        <w:t>万元，占</w:t>
      </w:r>
      <w:r>
        <w:rPr>
          <w:rFonts w:hint="default" w:ascii="Times New Roman" w:hAnsi="Times New Roman" w:eastAsia="仿宋_GB2312"/>
          <w:sz w:val="32"/>
          <w:szCs w:val="32"/>
          <w:highlight w:val="none"/>
        </w:rPr>
        <w:t>88</w:t>
      </w:r>
      <w:r>
        <w:rPr>
          <w:rFonts w:hint="eastAsia" w:ascii="Times New Roman" w:hAnsi="Times New Roman" w:eastAsia="仿宋_GB2312"/>
          <w:sz w:val="32"/>
          <w:szCs w:val="32"/>
          <w:highlight w:val="none"/>
        </w:rPr>
        <w:t>%。其中：</w:t>
      </w:r>
    </w:p>
    <w:p w14:paraId="53858D0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default" w:ascii="Times New Roman" w:hAnsi="Times New Roman" w:eastAsia="仿宋_GB2312"/>
          <w:sz w:val="32"/>
          <w:szCs w:val="32"/>
          <w:highlight w:val="none"/>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r>
        <w:rPr>
          <w:rFonts w:hint="eastAsia" w:ascii="Times New Roman" w:eastAsia="仿宋_GB2312"/>
          <w:sz w:val="32"/>
          <w:szCs w:val="32"/>
          <w:highlight w:val="none"/>
          <w:lang w:eastAsia="zh-CN"/>
        </w:rPr>
        <w:t>，主要是2022年我单位没有因公出国（境）费支出。</w:t>
      </w:r>
      <w:r>
        <w:rPr>
          <w:rFonts w:hint="eastAsia" w:ascii="Times New Roman" w:eastAsia="仿宋_GB2312"/>
          <w:sz w:val="32"/>
          <w:szCs w:val="32"/>
          <w:highlight w:val="none"/>
          <w:lang w:val="en-US" w:eastAsia="zh-CN"/>
        </w:rPr>
        <w:tab/>
      </w:r>
      <w:r>
        <w:rPr>
          <w:rFonts w:hint="eastAsia" w:ascii="Times New Roman" w:eastAsia="仿宋_GB2312"/>
          <w:sz w:val="32"/>
          <w:szCs w:val="32"/>
          <w:highlight w:val="none"/>
          <w:lang w:val="en-US" w:eastAsia="zh-CN"/>
        </w:rPr>
        <w:tab/>
      </w:r>
      <w:r>
        <w:rPr>
          <w:rFonts w:hint="eastAsia" w:ascii="Times New Roman" w:hAnsi="Times New Roman" w:eastAsia="仿宋_GB2312"/>
          <w:sz w:val="32"/>
          <w:szCs w:val="32"/>
          <w:highlight w:val="none"/>
        </w:rPr>
        <w:t>2、公务接待费支出决算为</w:t>
      </w:r>
      <w:r>
        <w:rPr>
          <w:rFonts w:hint="default" w:ascii="Times New Roman" w:hAnsi="Times New Roman" w:eastAsia="仿宋_GB2312"/>
          <w:sz w:val="32"/>
          <w:szCs w:val="32"/>
          <w:highlight w:val="none"/>
        </w:rPr>
        <w:t>0.25</w:t>
      </w:r>
      <w:r>
        <w:rPr>
          <w:rFonts w:hint="eastAsia" w:ascii="Times New Roman" w:hAnsi="Times New Roman" w:eastAsia="仿宋_GB2312"/>
          <w:sz w:val="32"/>
          <w:szCs w:val="32"/>
          <w:highlight w:val="none"/>
        </w:rPr>
        <w:t>万元，全年共接待来访</w:t>
      </w:r>
      <w:r>
        <w:rPr>
          <w:rFonts w:hint="default" w:ascii="Times New Roman" w:hAnsi="Times New Roman" w:eastAsia="仿宋_GB2312"/>
          <w:sz w:val="32"/>
          <w:szCs w:val="32"/>
          <w:highlight w:val="none"/>
        </w:rPr>
        <w:t>4次</w:t>
      </w:r>
      <w:r>
        <w:rPr>
          <w:rFonts w:hint="eastAsia" w:ascii="Times New Roman" w:hAnsi="Times New Roman" w:eastAsia="仿宋_GB2312"/>
          <w:sz w:val="32"/>
          <w:szCs w:val="32"/>
          <w:highlight w:val="none"/>
        </w:rPr>
        <w:t>、来宾</w:t>
      </w:r>
      <w:r>
        <w:rPr>
          <w:rFonts w:hint="default" w:ascii="Times New Roman" w:hAnsi="Times New Roman" w:eastAsia="仿宋_GB2312"/>
          <w:sz w:val="32"/>
          <w:szCs w:val="32"/>
          <w:highlight w:val="none"/>
        </w:rPr>
        <w:t>22</w:t>
      </w:r>
      <w:r>
        <w:rPr>
          <w:rFonts w:hint="eastAsia" w:ascii="Times New Roman" w:hAnsi="Times New Roman" w:eastAsia="仿宋_GB2312"/>
          <w:sz w:val="32"/>
          <w:szCs w:val="32"/>
          <w:highlight w:val="none"/>
        </w:rPr>
        <w:t>人次，主要是</w:t>
      </w:r>
      <w:r>
        <w:rPr>
          <w:rFonts w:hint="default" w:ascii="Times New Roman" w:hAnsi="Times New Roman" w:eastAsia="仿宋_GB2312"/>
          <w:sz w:val="32"/>
          <w:szCs w:val="32"/>
          <w:highlight w:val="none"/>
        </w:rPr>
        <w:t>县市区来</w:t>
      </w:r>
      <w:r>
        <w:rPr>
          <w:rFonts w:ascii="Times New Roman" w:hAnsi="Times New Roman" w:eastAsia="仿宋_GB2312"/>
          <w:sz w:val="32"/>
          <w:szCs w:val="32"/>
          <w:highlight w:val="none"/>
        </w:rPr>
        <w:t>汇报清廉机关创建工作等</w:t>
      </w:r>
      <w:r>
        <w:rPr>
          <w:rFonts w:hint="eastAsia" w:ascii="Times New Roman" w:hAnsi="Times New Roman" w:eastAsia="仿宋_GB2312"/>
          <w:sz w:val="32"/>
          <w:szCs w:val="32"/>
          <w:highlight w:val="none"/>
        </w:rPr>
        <w:t>发生的接待支出。</w:t>
      </w:r>
    </w:p>
    <w:p w14:paraId="65BA5A61">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default" w:ascii="Times New Roman" w:hAnsi="Times New Roman" w:eastAsia="仿宋_GB2312"/>
          <w:sz w:val="32"/>
          <w:szCs w:val="32"/>
          <w:highlight w:val="none"/>
        </w:rPr>
        <w:t>1.84</w:t>
      </w:r>
      <w:r>
        <w:rPr>
          <w:rFonts w:hint="eastAsia" w:ascii="Times New Roman" w:hAnsi="Times New Roman" w:eastAsia="仿宋_GB2312"/>
          <w:sz w:val="32"/>
          <w:szCs w:val="32"/>
          <w:highlight w:val="none"/>
        </w:rPr>
        <w:t>万元，其中：公务用车购置费</w:t>
      </w:r>
      <w:r>
        <w:rPr>
          <w:rFonts w:hint="default" w:ascii="Times New Roman" w:hAnsi="Times New Roman" w:eastAsia="仿宋_GB2312"/>
          <w:sz w:val="32"/>
          <w:szCs w:val="32"/>
          <w:highlight w:val="none"/>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bidi="ar-SA"/>
        </w:rPr>
        <w:t>更新公务用车0辆</w:t>
      </w:r>
      <w:bookmarkStart w:id="13" w:name="_GoBack"/>
      <w:bookmarkEnd w:id="13"/>
      <w:r>
        <w:rPr>
          <w:rFonts w:hint="eastAsia" w:ascii="Times New Roman" w:hAnsi="Times New Roman" w:eastAsia="仿宋_GB2312"/>
          <w:sz w:val="32"/>
          <w:szCs w:val="32"/>
          <w:highlight w:val="none"/>
        </w:rPr>
        <w:t>，公务用车运行维护费</w:t>
      </w:r>
      <w:r>
        <w:rPr>
          <w:rFonts w:hint="default" w:ascii="Times New Roman" w:hAnsi="Times New Roman" w:eastAsia="仿宋_GB2312"/>
          <w:sz w:val="32"/>
          <w:szCs w:val="32"/>
          <w:highlight w:val="none"/>
        </w:rPr>
        <w:t>1.84</w:t>
      </w:r>
      <w:r>
        <w:rPr>
          <w:rFonts w:hint="eastAsia" w:ascii="Times New Roman" w:hAnsi="Times New Roman" w:eastAsia="仿宋_GB2312"/>
          <w:sz w:val="32"/>
          <w:szCs w:val="32"/>
          <w:highlight w:val="none"/>
        </w:rPr>
        <w:t>万元，主要是</w:t>
      </w:r>
      <w:r>
        <w:rPr>
          <w:rFonts w:ascii="Times New Roman" w:hAnsi="Times New Roman" w:eastAsia="仿宋_GB2312"/>
          <w:sz w:val="32"/>
          <w:szCs w:val="32"/>
          <w:highlight w:val="none"/>
        </w:rPr>
        <w:t>过路过桥、车辆保险维修等</w:t>
      </w:r>
      <w:r>
        <w:rPr>
          <w:rFonts w:hint="eastAsia" w:ascii="Times New Roman" w:hAnsi="Times New Roman" w:eastAsia="仿宋_GB2312"/>
          <w:sz w:val="32"/>
          <w:szCs w:val="32"/>
          <w:highlight w:val="none"/>
        </w:rPr>
        <w:t>支出，截止202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年12月31日，我单位开支财政拨款的公务用车保有量为</w:t>
      </w:r>
      <w:r>
        <w:rPr>
          <w:rFonts w:hint="default" w:ascii="Times New Roman" w:hAnsi="Times New Roman" w:eastAsia="仿宋_GB2312"/>
          <w:sz w:val="32"/>
          <w:szCs w:val="32"/>
          <w:highlight w:val="none"/>
        </w:rPr>
        <w:t>2</w:t>
      </w:r>
      <w:r>
        <w:rPr>
          <w:rFonts w:hint="eastAsia" w:ascii="Times New Roman" w:hAnsi="Times New Roman" w:eastAsia="仿宋_GB2312"/>
          <w:sz w:val="32"/>
          <w:szCs w:val="32"/>
          <w:highlight w:val="none"/>
        </w:rPr>
        <w:t>辆。</w:t>
      </w:r>
    </w:p>
    <w:p w14:paraId="7E64D25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highlight w:val="none"/>
        </w:rPr>
      </w:pPr>
      <w:r>
        <w:rPr>
          <w:rFonts w:hint="eastAsia" w:ascii="Times New Roman" w:hAnsi="Times New Roman" w:eastAsia="仿宋_GB2312"/>
          <w:b/>
          <w:sz w:val="32"/>
          <w:szCs w:val="32"/>
          <w:highlight w:val="none"/>
        </w:rPr>
        <w:t>八、政府性基金预算收入支出决算情况</w:t>
      </w:r>
    </w:p>
    <w:p w14:paraId="183FC44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w:t>
      </w:r>
      <w:r>
        <w:rPr>
          <w:rFonts w:hint="eastAsia" w:ascii="Times New Roman" w:hAnsi="Times New Roman" w:eastAsia="仿宋_GB2312"/>
          <w:sz w:val="32"/>
          <w:szCs w:val="32"/>
          <w:highlight w:val="none"/>
          <w:lang w:val="en-US" w:eastAsia="zh-CN"/>
        </w:rPr>
        <w:t>本单位无</w:t>
      </w:r>
      <w:r>
        <w:rPr>
          <w:rFonts w:hint="eastAsia" w:ascii="Times New Roman" w:hAnsi="Times New Roman" w:eastAsia="仿宋_GB2312"/>
          <w:sz w:val="32"/>
          <w:szCs w:val="32"/>
          <w:highlight w:val="none"/>
        </w:rPr>
        <w:t>政府性基金预算财政拨款</w:t>
      </w:r>
      <w:r>
        <w:rPr>
          <w:rFonts w:hint="eastAsia" w:ascii="Times New Roman" w:hAnsi="Times New Roman" w:eastAsia="仿宋_GB2312"/>
          <w:sz w:val="32"/>
          <w:szCs w:val="32"/>
          <w:highlight w:val="none"/>
          <w:lang w:val="en-US" w:eastAsia="zh-CN"/>
        </w:rPr>
        <w:t>收支。</w:t>
      </w:r>
    </w:p>
    <w:p w14:paraId="6D491F38">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sz w:val="32"/>
          <w:szCs w:val="32"/>
          <w:highlight w:val="none"/>
          <w:lang w:val="en-US" w:eastAsia="zh-CN"/>
        </w:rPr>
      </w:pPr>
      <w:r>
        <w:rPr>
          <w:rFonts w:hint="eastAsia" w:ascii="Times New Roman" w:hAnsi="Times New Roman" w:eastAsia="仿宋_GB2312"/>
          <w:b/>
          <w:sz w:val="32"/>
          <w:szCs w:val="32"/>
          <w:highlight w:val="none"/>
          <w:lang w:val="en-US" w:eastAsia="zh-CN"/>
        </w:rPr>
        <w:t>九、国有资本经营预算财政拨款支出决算情况</w:t>
      </w:r>
    </w:p>
    <w:p w14:paraId="7D4E9E6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sz w:val="32"/>
          <w:szCs w:val="32"/>
          <w:highlight w:val="none"/>
          <w:lang w:val="en-US" w:eastAsia="zh-CN"/>
        </w:rPr>
      </w:pPr>
      <w:r>
        <w:rPr>
          <w:rFonts w:hint="eastAsia" w:ascii="Times New Roman" w:hAnsi="Times New Roman" w:eastAsia="仿宋_GB2312"/>
          <w:b w:val="0"/>
          <w:bCs w:val="0"/>
          <w:sz w:val="32"/>
          <w:szCs w:val="32"/>
          <w:highlight w:val="none"/>
        </w:rPr>
        <w:t>202</w:t>
      </w:r>
      <w:r>
        <w:rPr>
          <w:rFonts w:hint="eastAsia" w:ascii="Times New Roman" w:hAnsi="Times New Roman" w:eastAsia="仿宋_GB2312"/>
          <w:b w:val="0"/>
          <w:bCs w:val="0"/>
          <w:sz w:val="32"/>
          <w:szCs w:val="32"/>
          <w:highlight w:val="none"/>
          <w:lang w:val="en-US" w:eastAsia="zh-CN"/>
        </w:rPr>
        <w:t>2</w:t>
      </w:r>
      <w:r>
        <w:rPr>
          <w:rFonts w:hint="eastAsia" w:ascii="Times New Roman" w:hAnsi="Times New Roman" w:eastAsia="仿宋_GB2312"/>
          <w:b w:val="0"/>
          <w:bCs w:val="0"/>
          <w:sz w:val="32"/>
          <w:szCs w:val="32"/>
          <w:highlight w:val="none"/>
        </w:rPr>
        <w:t>年度</w:t>
      </w:r>
      <w:r>
        <w:rPr>
          <w:rFonts w:hint="eastAsia" w:ascii="Times New Roman" w:hAnsi="Times New Roman" w:eastAsia="仿宋_GB2312"/>
          <w:b w:val="0"/>
          <w:bCs w:val="0"/>
          <w:sz w:val="32"/>
          <w:szCs w:val="32"/>
          <w:highlight w:val="none"/>
          <w:lang w:val="en-US" w:eastAsia="zh-CN"/>
        </w:rPr>
        <w:t>本单位无国有资本经营预算财政拨款支出。</w:t>
      </w:r>
    </w:p>
    <w:p w14:paraId="5335C77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lang w:val="en-US" w:eastAsia="zh-CN"/>
        </w:rPr>
        <w:t>十</w:t>
      </w:r>
      <w:r>
        <w:rPr>
          <w:rFonts w:hint="eastAsia" w:ascii="Times New Roman" w:hAnsi="Times New Roman" w:eastAsia="仿宋_GB2312"/>
          <w:b/>
          <w:sz w:val="32"/>
          <w:szCs w:val="32"/>
          <w:highlight w:val="none"/>
        </w:rPr>
        <w:t>、关于机关运行经费支出说明</w:t>
      </w:r>
    </w:p>
    <w:p w14:paraId="0A7FDB0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年度机关运行经费支出</w:t>
      </w:r>
      <w:r>
        <w:rPr>
          <w:rFonts w:hint="default" w:ascii="Times New Roman" w:hAnsi="Times New Roman" w:eastAsia="仿宋_GB2312"/>
          <w:sz w:val="32"/>
          <w:szCs w:val="32"/>
          <w:highlight w:val="none"/>
        </w:rPr>
        <w:t>54.82</w:t>
      </w:r>
      <w:r>
        <w:rPr>
          <w:rFonts w:hint="eastAsia" w:ascii="Times New Roman" w:hAnsi="Times New Roman" w:eastAsia="仿宋_GB2312"/>
          <w:sz w:val="32"/>
          <w:szCs w:val="32"/>
          <w:highlight w:val="none"/>
        </w:rPr>
        <w:t>万元，比上年决</w:t>
      </w:r>
      <w:r>
        <w:rPr>
          <w:rFonts w:hint="eastAsia" w:ascii="Times New Roman" w:hAnsi="Times New Roman" w:eastAsia="仿宋_GB2312"/>
          <w:color w:val="000000" w:themeColor="text1"/>
          <w:sz w:val="32"/>
          <w:szCs w:val="32"/>
          <w:highlight w:val="none"/>
          <w14:textFill>
            <w14:solidFill>
              <w14:schemeClr w14:val="tx1"/>
            </w14:solidFill>
          </w14:textFill>
        </w:rPr>
        <w:t>算数减少</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72.16</w:t>
      </w:r>
      <w:r>
        <w:rPr>
          <w:rFonts w:hint="eastAsia" w:ascii="Times New Roman" w:hAnsi="Times New Roman" w:eastAsia="仿宋_GB2312"/>
          <w:sz w:val="32"/>
          <w:szCs w:val="32"/>
          <w:highlight w:val="none"/>
        </w:rPr>
        <w:t>万元，降低</w:t>
      </w:r>
      <w:r>
        <w:rPr>
          <w:rFonts w:hint="eastAsia" w:ascii="Times New Roman" w:hAnsi="Times New Roman" w:eastAsia="仿宋_GB2312"/>
          <w:sz w:val="32"/>
          <w:szCs w:val="32"/>
          <w:highlight w:val="none"/>
          <w:lang w:val="en-US" w:eastAsia="zh-CN"/>
        </w:rPr>
        <w:t>56.83</w:t>
      </w:r>
      <w:r>
        <w:rPr>
          <w:rFonts w:hint="eastAsia" w:ascii="Times New Roman" w:hAnsi="Times New Roman" w:eastAsia="仿宋_GB2312"/>
          <w:sz w:val="32"/>
          <w:szCs w:val="32"/>
          <w:highlight w:val="none"/>
        </w:rPr>
        <w:t>%。主要原因是：</w:t>
      </w:r>
      <w:r>
        <w:rPr>
          <w:rFonts w:hint="default" w:ascii="Times New Roman" w:hAnsi="Times New Roman" w:eastAsia="仿宋_GB2312"/>
          <w:sz w:val="32"/>
          <w:szCs w:val="32"/>
          <w:highlight w:val="none"/>
        </w:rPr>
        <w:t>厉行节约</w:t>
      </w:r>
      <w:r>
        <w:rPr>
          <w:rFonts w:hint="eastAsia" w:ascii="Times New Roman" w:hAnsi="Times New Roman" w:eastAsia="仿宋_GB2312"/>
          <w:sz w:val="32"/>
          <w:szCs w:val="32"/>
          <w:highlight w:val="none"/>
        </w:rPr>
        <w:t>。</w:t>
      </w:r>
    </w:p>
    <w:p w14:paraId="3C3B061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hAnsi="黑体" w:cs="黑体"/>
          <w:b w:val="0"/>
          <w:bCs/>
          <w:sz w:val="32"/>
          <w:szCs w:val="32"/>
          <w:highlight w:val="none"/>
          <w:lang w:val="en-US" w:eastAsia="zh-CN"/>
        </w:rPr>
        <w:t>十一</w:t>
      </w:r>
      <w:r>
        <w:rPr>
          <w:rFonts w:hint="eastAsia" w:ascii="黑体" w:hAnsi="黑体" w:eastAsia="黑体" w:cs="黑体"/>
          <w:b w:val="0"/>
          <w:bCs/>
          <w:sz w:val="32"/>
          <w:szCs w:val="32"/>
          <w:highlight w:val="none"/>
        </w:rPr>
        <w:t>、一般性支出情况说明</w:t>
      </w:r>
    </w:p>
    <w:p w14:paraId="4448A604">
      <w:pPr>
        <w:numPr>
          <w:ilvl w:val="0"/>
          <w:numId w:val="0"/>
        </w:num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2023年本单位无会议费支出；无培训费支出；未举办节庆、晚会、论坛、赛事等活动。</w:t>
      </w:r>
    </w:p>
    <w:p w14:paraId="22F1A52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22B2408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年度政府采购支出总额</w:t>
      </w:r>
      <w:r>
        <w:rPr>
          <w:rFonts w:hint="default" w:ascii="Times New Roman" w:hAnsi="Times New Roman" w:eastAsia="仿宋_GB2312"/>
          <w:sz w:val="32"/>
          <w:szCs w:val="32"/>
          <w:highlight w:val="none"/>
        </w:rPr>
        <w:t>0.465</w:t>
      </w:r>
      <w:r>
        <w:rPr>
          <w:rFonts w:hint="eastAsia" w:ascii="Times New Roman" w:hAnsi="Times New Roman" w:eastAsia="仿宋_GB2312"/>
          <w:sz w:val="32"/>
          <w:szCs w:val="32"/>
          <w:highlight w:val="none"/>
        </w:rPr>
        <w:t>万元，其中：政府采购货物支出</w:t>
      </w:r>
      <w:r>
        <w:rPr>
          <w:rFonts w:hint="default" w:ascii="Times New Roman" w:hAnsi="Times New Roman" w:eastAsia="仿宋_GB2312"/>
          <w:sz w:val="32"/>
          <w:szCs w:val="32"/>
          <w:highlight w:val="none"/>
        </w:rPr>
        <w:t>0.465</w:t>
      </w:r>
      <w:r>
        <w:rPr>
          <w:rFonts w:hint="eastAsia" w:ascii="Times New Roman" w:hAnsi="Times New Roman" w:eastAsia="仿宋_GB2312"/>
          <w:sz w:val="32"/>
          <w:szCs w:val="32"/>
          <w:highlight w:val="none"/>
        </w:rPr>
        <w:t>万元、政府采购工程支出</w:t>
      </w:r>
      <w:r>
        <w:rPr>
          <w:rFonts w:hint="default" w:ascii="Times New Roman" w:hAnsi="Times New Roman" w:eastAsia="仿宋_GB2312"/>
          <w:sz w:val="32"/>
          <w:szCs w:val="32"/>
          <w:highlight w:val="none"/>
        </w:rPr>
        <w:t>0</w:t>
      </w:r>
      <w:r>
        <w:rPr>
          <w:rFonts w:hint="eastAsia" w:ascii="Times New Roman" w:hAnsi="Times New Roman" w:eastAsia="仿宋_GB2312"/>
          <w:sz w:val="32"/>
          <w:szCs w:val="32"/>
          <w:highlight w:val="none"/>
        </w:rPr>
        <w:t>万元、政府采购服务支出</w:t>
      </w:r>
      <w:r>
        <w:rPr>
          <w:rFonts w:hint="default" w:ascii="Times New Roman" w:hAnsi="Times New Roman" w:eastAsia="仿宋_GB2312"/>
          <w:sz w:val="32"/>
          <w:szCs w:val="32"/>
          <w:highlight w:val="none"/>
        </w:rPr>
        <w:t>0</w:t>
      </w:r>
      <w:r>
        <w:rPr>
          <w:rFonts w:hint="eastAsia" w:ascii="Times New Roman" w:hAnsi="Times New Roman" w:eastAsia="仿宋_GB2312"/>
          <w:sz w:val="32"/>
          <w:szCs w:val="32"/>
          <w:highlight w:val="none"/>
        </w:rPr>
        <w:t>万元。授予中小企业合同金额</w:t>
      </w:r>
      <w:r>
        <w:rPr>
          <w:rFonts w:hint="default" w:ascii="Times New Roman" w:hAnsi="Times New Roman" w:eastAsia="仿宋_GB2312"/>
          <w:sz w:val="32"/>
          <w:szCs w:val="32"/>
          <w:highlight w:val="none"/>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无法计算授予中小企业合同金额占政府采购支出总额的百分比</w:t>
      </w:r>
      <w:r>
        <w:rPr>
          <w:rFonts w:hint="eastAsia" w:ascii="Times New Roman" w:hAnsi="Times New Roman" w:eastAsia="仿宋_GB2312"/>
          <w:sz w:val="32"/>
          <w:szCs w:val="32"/>
          <w:highlight w:val="none"/>
        </w:rPr>
        <w:t>。</w:t>
      </w:r>
      <w:bookmarkStart w:id="0" w:name="DIS_MARK_GP_BGT_CGHW_AMT"/>
      <w:r>
        <w:rPr>
          <w:rFonts w:hint="eastAsia" w:ascii="仿宋_GB2312" w:hAnsi="仿宋_GB2312" w:eastAsia="仿宋_GB2312" w:cs="仿宋_GB2312"/>
          <w:color w:val="000000"/>
          <w:sz w:val="32"/>
          <w:szCs w:val="32"/>
          <w:highlight w:val="none"/>
        </w:rPr>
        <w:t>其中：授予小微企业合同金额</w:t>
      </w:r>
      <w:r>
        <w:rPr>
          <w:rFonts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rPr>
        <w:t>万元，</w:t>
      </w:r>
      <w:r>
        <w:rPr>
          <w:rFonts w:hint="eastAsia" w:ascii="Times New Roman" w:hAnsi="Times New Roman" w:eastAsia="仿宋_GB2312"/>
          <w:sz w:val="32"/>
          <w:szCs w:val="32"/>
          <w:highlight w:val="none"/>
          <w:lang w:val="en-US" w:eastAsia="zh-CN"/>
        </w:rPr>
        <w:t>无法计算授予</w:t>
      </w:r>
      <w:r>
        <w:rPr>
          <w:rFonts w:hint="eastAsia" w:ascii="仿宋_GB2312" w:hAnsi="仿宋_GB2312" w:eastAsia="仿宋_GB2312" w:cs="仿宋_GB2312"/>
          <w:color w:val="000000"/>
          <w:sz w:val="32"/>
          <w:szCs w:val="32"/>
          <w:highlight w:val="none"/>
        </w:rPr>
        <w:t>小微企业</w:t>
      </w:r>
      <w:r>
        <w:rPr>
          <w:rFonts w:hint="eastAsia" w:ascii="Times New Roman" w:hAnsi="Times New Roman" w:eastAsia="仿宋_GB2312"/>
          <w:sz w:val="32"/>
          <w:szCs w:val="32"/>
          <w:highlight w:val="none"/>
          <w:lang w:val="en-US" w:eastAsia="zh-CN"/>
        </w:rPr>
        <w:t>合同金额占政府采购支出总额的百分比</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由于</w:t>
      </w:r>
      <w:r>
        <w:rPr>
          <w:rFonts w:hint="eastAsia" w:ascii="Times New Roman" w:hAnsi="Times New Roman" w:eastAsia="仿宋_GB2312"/>
          <w:sz w:val="32"/>
          <w:szCs w:val="32"/>
          <w:highlight w:val="none"/>
        </w:rPr>
        <w:t>货物采购授予中小企业合同金额占货物支出金额</w:t>
      </w:r>
      <w:r>
        <w:rPr>
          <w:rFonts w:hint="eastAsia" w:ascii="Times New Roman" w:hAnsi="Times New Roman" w:eastAsia="仿宋_GB2312"/>
          <w:sz w:val="32"/>
          <w:szCs w:val="32"/>
          <w:highlight w:val="none"/>
          <w:lang w:val="en-US" w:eastAsia="zh-CN"/>
        </w:rPr>
        <w:t>0万元</w:t>
      </w:r>
      <w:bookmarkEnd w:id="0"/>
      <w:bookmarkStart w:id="1" w:name="DIS_MARK_GP_BGT_CGGC_AMT"/>
      <w:bookmarkEnd w:id="1"/>
      <w:bookmarkStart w:id="2" w:name="START_GP_BGT_CGGC_AMT_1"/>
      <w:bookmarkEnd w:id="2"/>
      <w:bookmarkStart w:id="3" w:name="END_GP_BGT_CGHW_AMT_1"/>
      <w:bookmarkEnd w:id="3"/>
      <w:bookmarkStart w:id="4" w:name="END_GP_BGT_CGHW_AMT"/>
      <w:bookmarkEnd w:id="4"/>
      <w:bookmarkStart w:id="5" w:name="DIS_MARK_GP_BGT_CGHW_AMT_1"/>
      <w:bookmarkEnd w:id="5"/>
      <w:bookmarkStart w:id="6" w:name="END_GP_BGT_CGGC_AMT"/>
      <w:bookmarkEnd w:id="6"/>
      <w:bookmarkStart w:id="7" w:name="START_GP_BGT_CGGC_AMT"/>
      <w:bookmarkEnd w:id="7"/>
      <w:bookmarkStart w:id="8" w:name="START_GP_BGT_CGHW_AMT_1"/>
      <w:bookmarkEnd w:id="8"/>
      <w:bookmarkStart w:id="9" w:name="DIS_MARK_GP_BGT_CGGC_AMT_1"/>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无法计算货物采购授予中小企业合同金额占</w:t>
      </w:r>
      <w:r>
        <w:rPr>
          <w:rFonts w:hint="eastAsia" w:ascii="Times New Roman" w:hAnsi="Times New Roman" w:eastAsia="仿宋_GB2312"/>
          <w:sz w:val="32"/>
          <w:szCs w:val="32"/>
          <w:highlight w:val="none"/>
          <w:lang w:val="en-US" w:eastAsia="zh-CN"/>
        </w:rPr>
        <w:t>货物</w:t>
      </w:r>
      <w:r>
        <w:rPr>
          <w:rFonts w:hint="eastAsia" w:ascii="Times New Roman" w:hAnsi="Times New Roman" w:eastAsia="仿宋_GB2312"/>
          <w:sz w:val="32"/>
          <w:szCs w:val="32"/>
          <w:highlight w:val="none"/>
        </w:rPr>
        <w:t>支出金额的百分比；由于工程支出金额为0万元，无法计算工程采购授予中小企业合同金额占工程支出金额的百分比；</w:t>
      </w:r>
      <w:bookmarkEnd w:id="9"/>
      <w:bookmarkStart w:id="10" w:name="START_GP_BGT_CGFW_AMT"/>
      <w:bookmarkEnd w:id="10"/>
      <w:bookmarkStart w:id="11" w:name="END_GP_BGT_CGGC_AMT_1"/>
      <w:bookmarkEnd w:id="11"/>
      <w:bookmarkStart w:id="12" w:name="DIS_MARK_GP_BGT_CGFW_AMT"/>
      <w:r>
        <w:rPr>
          <w:rFonts w:hint="eastAsia" w:ascii="Times New Roman" w:hAnsi="Times New Roman" w:eastAsia="仿宋_GB2312"/>
          <w:sz w:val="32"/>
          <w:szCs w:val="32"/>
          <w:highlight w:val="none"/>
        </w:rPr>
        <w:t>由于</w:t>
      </w:r>
      <w:r>
        <w:rPr>
          <w:rFonts w:hint="eastAsia" w:ascii="Times New Roman" w:hAnsi="Times New Roman" w:eastAsia="仿宋_GB2312"/>
          <w:sz w:val="32"/>
          <w:szCs w:val="32"/>
          <w:highlight w:val="none"/>
          <w:lang w:val="en-US" w:eastAsia="zh-CN"/>
        </w:rPr>
        <w:t>服务</w:t>
      </w:r>
      <w:r>
        <w:rPr>
          <w:rFonts w:hint="eastAsia" w:ascii="Times New Roman" w:hAnsi="Times New Roman" w:eastAsia="仿宋_GB2312"/>
          <w:sz w:val="32"/>
          <w:szCs w:val="32"/>
          <w:highlight w:val="none"/>
        </w:rPr>
        <w:t>支出金额为0万元，无法计算</w:t>
      </w:r>
      <w:r>
        <w:rPr>
          <w:rFonts w:hint="eastAsia" w:ascii="Times New Roman" w:hAnsi="Times New Roman" w:eastAsia="仿宋_GB2312"/>
          <w:sz w:val="32"/>
          <w:szCs w:val="32"/>
          <w:highlight w:val="none"/>
          <w:lang w:val="en-US" w:eastAsia="zh-CN"/>
        </w:rPr>
        <w:t>服务</w:t>
      </w:r>
      <w:r>
        <w:rPr>
          <w:rFonts w:hint="eastAsia" w:ascii="Times New Roman" w:hAnsi="Times New Roman" w:eastAsia="仿宋_GB2312"/>
          <w:sz w:val="32"/>
          <w:szCs w:val="32"/>
          <w:highlight w:val="none"/>
        </w:rPr>
        <w:t>采购授予中小企业合同金额占</w:t>
      </w:r>
      <w:r>
        <w:rPr>
          <w:rFonts w:hint="eastAsia" w:ascii="Times New Roman" w:hAnsi="Times New Roman" w:eastAsia="仿宋_GB2312"/>
          <w:sz w:val="32"/>
          <w:szCs w:val="32"/>
          <w:highlight w:val="none"/>
          <w:lang w:val="en-US" w:eastAsia="zh-CN"/>
        </w:rPr>
        <w:t>服务</w:t>
      </w:r>
      <w:r>
        <w:rPr>
          <w:rFonts w:hint="eastAsia" w:ascii="Times New Roman" w:hAnsi="Times New Roman" w:eastAsia="仿宋_GB2312"/>
          <w:sz w:val="32"/>
          <w:szCs w:val="32"/>
          <w:highlight w:val="none"/>
        </w:rPr>
        <w:t>支出金额的百分比</w:t>
      </w:r>
      <w:bookmarkEnd w:id="12"/>
      <w:r>
        <w:rPr>
          <w:rFonts w:hint="eastAsia" w:ascii="Times New Roman" w:hAnsi="Times New Roman" w:eastAsia="仿宋_GB2312"/>
          <w:sz w:val="32"/>
          <w:szCs w:val="32"/>
          <w:highlight w:val="none"/>
          <w:lang w:eastAsia="zh-CN"/>
        </w:rPr>
        <w:t>。</w:t>
      </w:r>
    </w:p>
    <w:p w14:paraId="0C10260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1883FBF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截至202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年12月31日，本单位共有车辆</w:t>
      </w:r>
      <w:r>
        <w:rPr>
          <w:rFonts w:hint="default" w:ascii="Times New Roman" w:hAnsi="Times New Roman" w:eastAsia="仿宋_GB2312"/>
          <w:sz w:val="32"/>
          <w:szCs w:val="32"/>
          <w:highlight w:val="none"/>
        </w:rPr>
        <w:t>2</w:t>
      </w:r>
      <w:r>
        <w:rPr>
          <w:rFonts w:hint="eastAsia" w:ascii="Times New Roman" w:hAnsi="Times New Roman" w:eastAsia="仿宋_GB2312"/>
          <w:sz w:val="32"/>
          <w:szCs w:val="32"/>
          <w:highlight w:val="none"/>
        </w:rPr>
        <w:t>辆，其中，主要领导干部用车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辆，机要通信用车</w:t>
      </w:r>
      <w:r>
        <w:rPr>
          <w:rFonts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辆、应急保障用车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辆、执法执勤用车</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辆、特种专业技术用车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辆、其他用车</w:t>
      </w:r>
      <w:r>
        <w:rPr>
          <w:rFonts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辆，其他用车主要是</w:t>
      </w:r>
      <w:r>
        <w:rPr>
          <w:rFonts w:hint="eastAsia" w:ascii="仿宋" w:eastAsia="仿宋" w:cs="仿宋"/>
          <w:b w:val="0"/>
          <w:bCs w:val="0"/>
          <w:sz w:val="32"/>
          <w:szCs w:val="32"/>
          <w:highlight w:val="none"/>
          <w:lang w:val="en-US" w:eastAsia="zh-CN"/>
        </w:rPr>
        <w:t>一般公务用车</w:t>
      </w:r>
      <w:r>
        <w:rPr>
          <w:rFonts w:hint="eastAsia" w:ascii="Times New Roman" w:hAnsi="Times New Roman" w:eastAsia="仿宋_GB2312"/>
          <w:sz w:val="32"/>
          <w:szCs w:val="32"/>
          <w:highlight w:val="none"/>
        </w:rPr>
        <w:t>；单位价值50万元以上通用设备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台（套）；单位价值100万元以上专用设备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w:t>
      </w:r>
    </w:p>
    <w:p w14:paraId="016FE85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十三、关于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7B089574">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（一）</w:t>
      </w:r>
      <w:r>
        <w:rPr>
          <w:rFonts w:hint="eastAsia" w:ascii="楷体" w:hAnsi="楷体" w:eastAsia="楷体" w:cs="楷体"/>
          <w:b/>
          <w:bCs/>
          <w:sz w:val="32"/>
          <w:szCs w:val="32"/>
          <w:highlight w:val="none"/>
        </w:rPr>
        <w:t>部门整体支出绩效情况</w:t>
      </w:r>
    </w:p>
    <w:p w14:paraId="406B520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根据预算绩效管理要求，我</w:t>
      </w:r>
      <w:r>
        <w:rPr>
          <w:rFonts w:hint="default" w:ascii="Times New Roman" w:hAnsi="Times New Roman" w:eastAsia="仿宋_GB2312" w:cs="黑体"/>
          <w:color w:val="000000"/>
          <w:kern w:val="0"/>
          <w:sz w:val="32"/>
          <w:szCs w:val="32"/>
          <w:highlight w:val="none"/>
          <w:lang w:eastAsia="zh-CN" w:bidi="ar-SA"/>
        </w:rPr>
        <w:t>委</w:t>
      </w:r>
      <w:r>
        <w:rPr>
          <w:rFonts w:hint="eastAsia" w:ascii="Times New Roman" w:hAnsi="Times New Roman" w:eastAsia="仿宋_GB2312" w:cs="黑体"/>
          <w:color w:val="000000"/>
          <w:kern w:val="0"/>
          <w:sz w:val="32"/>
          <w:szCs w:val="32"/>
          <w:highlight w:val="none"/>
          <w:lang w:val="en-US" w:eastAsia="zh-CN" w:bidi="ar-SA"/>
        </w:rPr>
        <w:t>组织对202</w:t>
      </w:r>
      <w:r>
        <w:rPr>
          <w:rFonts w:hint="default" w:ascii="Times New Roman" w:hAnsi="Times New Roman" w:eastAsia="仿宋_GB2312" w:cs="黑体"/>
          <w:color w:val="000000"/>
          <w:kern w:val="0"/>
          <w:sz w:val="32"/>
          <w:szCs w:val="32"/>
          <w:highlight w:val="none"/>
          <w:lang w:eastAsia="zh-CN" w:bidi="ar-SA"/>
        </w:rPr>
        <w:t>2</w:t>
      </w:r>
      <w:r>
        <w:rPr>
          <w:rFonts w:hint="eastAsia" w:ascii="Times New Roman" w:hAnsi="Times New Roman" w:eastAsia="仿宋_GB2312" w:cs="黑体"/>
          <w:color w:val="000000"/>
          <w:kern w:val="0"/>
          <w:sz w:val="32"/>
          <w:szCs w:val="32"/>
          <w:highlight w:val="none"/>
          <w:lang w:val="en-US" w:eastAsia="zh-CN" w:bidi="ar-SA"/>
        </w:rPr>
        <w:t>年度一般公共预算项目支出全面开展绩效自评，根据预算绩效管理要求，我委组织开展整体支出绩效评价，涉及一般公共预算支出484.23万元。</w:t>
      </w:r>
    </w:p>
    <w:p w14:paraId="097F217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cs="黑体"/>
          <w:color w:val="000000"/>
          <w:kern w:val="0"/>
          <w:sz w:val="32"/>
          <w:szCs w:val="32"/>
          <w:highlight w:val="none"/>
          <w:lang w:val="en-US" w:eastAsia="zh-CN" w:bidi="ar-SA"/>
        </w:rPr>
        <w:t>从评价情况来看，通过全年工作的开展</w:t>
      </w:r>
      <w:r>
        <w:rPr>
          <w:rFonts w:hint="eastAsia" w:ascii="Times New Roman" w:hAnsi="Times New Roman" w:eastAsia="仿宋_GB2312"/>
          <w:sz w:val="32"/>
          <w:szCs w:val="32"/>
          <w:highlight w:val="none"/>
        </w:rPr>
        <w:t>，各项目标任务都有效完成</w:t>
      </w:r>
      <w:r>
        <w:rPr>
          <w:rFonts w:hint="default" w:ascii="Times New Roman" w:hAnsi="Times New Roman" w:eastAsia="仿宋_GB2312"/>
          <w:sz w:val="32"/>
          <w:szCs w:val="32"/>
          <w:highlight w:val="none"/>
        </w:rPr>
        <w:t>并</w:t>
      </w:r>
      <w:r>
        <w:rPr>
          <w:rFonts w:hint="eastAsia" w:ascii="Times New Roman" w:hAnsi="Times New Roman" w:eastAsia="仿宋_GB2312"/>
          <w:sz w:val="32"/>
          <w:szCs w:val="32"/>
          <w:highlight w:val="none"/>
        </w:rPr>
        <w:t>按照财政部门要求开展了整体支出绩效自评。</w:t>
      </w:r>
    </w:p>
    <w:p w14:paraId="1FE14C40">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存在的问题及原因分析</w:t>
      </w:r>
    </w:p>
    <w:p w14:paraId="23272E11">
      <w:pPr>
        <w:pStyle w:val="10"/>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000000"/>
          <w:kern w:val="0"/>
          <w:sz w:val="32"/>
          <w:szCs w:val="32"/>
          <w:highlight w:val="none"/>
          <w:lang w:val="en-US" w:eastAsia="zh-CN" w:bidi="ar-SA"/>
        </w:rPr>
      </w:pPr>
      <w:r>
        <w:rPr>
          <w:rFonts w:hint="default" w:ascii="Times New Roman" w:hAnsi="Times New Roman" w:eastAsia="仿宋_GB2312" w:cs="黑体"/>
          <w:color w:val="000000"/>
          <w:kern w:val="0"/>
          <w:sz w:val="32"/>
          <w:szCs w:val="32"/>
          <w:highlight w:val="none"/>
          <w:lang w:val="en-US" w:eastAsia="zh-CN" w:bidi="ar-SA"/>
        </w:rPr>
        <w:t>进一步健全和完善财务制度及内部控制制度，根据资金绩效评价要求，加强对项目的组织和管理，动态监督项目实施进度和完成质量，加强各</w:t>
      </w:r>
      <w:r>
        <w:rPr>
          <w:rFonts w:hint="default" w:ascii="Times New Roman" w:hAnsi="Times New Roman" w:eastAsia="仿宋_GB2312" w:cs="黑体"/>
          <w:color w:val="000000"/>
          <w:kern w:val="0"/>
          <w:sz w:val="32"/>
          <w:szCs w:val="32"/>
          <w:highlight w:val="none"/>
          <w:lang w:eastAsia="zh-CN" w:bidi="ar-SA"/>
        </w:rPr>
        <w:t>部室</w:t>
      </w:r>
      <w:r>
        <w:rPr>
          <w:rFonts w:hint="default" w:ascii="Times New Roman" w:hAnsi="Times New Roman" w:eastAsia="仿宋_GB2312" w:cs="黑体"/>
          <w:color w:val="000000"/>
          <w:kern w:val="0"/>
          <w:sz w:val="32"/>
          <w:szCs w:val="32"/>
          <w:highlight w:val="none"/>
          <w:lang w:val="en-US" w:eastAsia="zh-CN" w:bidi="ar-SA"/>
        </w:rPr>
        <w:t>的沟通，确保项目的顺利进行。</w:t>
      </w:r>
    </w:p>
    <w:p w14:paraId="7D782AB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黑体"/>
          <w:color w:val="000000"/>
          <w:kern w:val="0"/>
          <w:sz w:val="32"/>
          <w:szCs w:val="32"/>
          <w:highlight w:val="none"/>
          <w:lang w:val="en-US" w:eastAsia="zh-CN" w:bidi="ar-SA"/>
        </w:rPr>
      </w:pPr>
    </w:p>
    <w:p w14:paraId="4572911F">
      <w:pPr>
        <w:pStyle w:val="10"/>
        <w:keepNext w:val="0"/>
        <w:keepLines w:val="0"/>
        <w:pageBreakBefore w:val="0"/>
        <w:widowControl w:val="0"/>
        <w:kinsoku/>
        <w:wordWrap/>
        <w:overflowPunct/>
        <w:topLinePunct w:val="0"/>
        <w:bidi w:val="0"/>
        <w:snapToGrid/>
        <w:spacing w:line="600" w:lineRule="exact"/>
        <w:ind w:firstLine="1440" w:firstLineChars="200"/>
        <w:jc w:val="left"/>
        <w:textAlignment w:val="auto"/>
        <w:rPr>
          <w:sz w:val="72"/>
          <w:szCs w:val="72"/>
          <w:highlight w:val="none"/>
        </w:rPr>
      </w:pPr>
    </w:p>
    <w:p w14:paraId="14514684">
      <w:pPr>
        <w:pStyle w:val="10"/>
        <w:jc w:val="both"/>
        <w:rPr>
          <w:sz w:val="72"/>
          <w:szCs w:val="72"/>
          <w:highlight w:val="none"/>
        </w:rPr>
      </w:pPr>
    </w:p>
    <w:p w14:paraId="07F1EFC8">
      <w:pPr>
        <w:pStyle w:val="10"/>
        <w:jc w:val="center"/>
        <w:rPr>
          <w:sz w:val="72"/>
          <w:szCs w:val="72"/>
          <w:highlight w:val="none"/>
        </w:rPr>
      </w:pPr>
    </w:p>
    <w:p w14:paraId="1946EB2A">
      <w:pPr>
        <w:pStyle w:val="10"/>
        <w:jc w:val="both"/>
        <w:rPr>
          <w:rFonts w:hint="eastAsia" w:ascii="方正小标宋_GBK" w:hAnsi="方正小标宋_GBK" w:eastAsia="方正小标宋_GBK" w:cs="方正小标宋_GBK"/>
          <w:sz w:val="72"/>
          <w:szCs w:val="72"/>
          <w:highlight w:val="none"/>
        </w:rPr>
      </w:pPr>
    </w:p>
    <w:p w14:paraId="2F1B1710">
      <w:pPr>
        <w:pStyle w:val="10"/>
        <w:jc w:val="both"/>
        <w:rPr>
          <w:rFonts w:hint="eastAsia" w:ascii="方正小标宋_GBK" w:hAnsi="方正小标宋_GBK" w:eastAsia="方正小标宋_GBK" w:cs="方正小标宋_GBK"/>
          <w:sz w:val="72"/>
          <w:szCs w:val="72"/>
          <w:highlight w:val="none"/>
        </w:rPr>
      </w:pPr>
    </w:p>
    <w:p w14:paraId="3FFFDE37">
      <w:pPr>
        <w:pStyle w:val="10"/>
        <w:jc w:val="both"/>
        <w:rPr>
          <w:rFonts w:hint="eastAsia" w:ascii="方正小标宋_GBK" w:hAnsi="方正小标宋_GBK" w:eastAsia="方正小标宋_GBK" w:cs="方正小标宋_GBK"/>
          <w:sz w:val="72"/>
          <w:szCs w:val="72"/>
          <w:highlight w:val="none"/>
        </w:rPr>
      </w:pPr>
    </w:p>
    <w:p w14:paraId="59DAE75D">
      <w:pPr>
        <w:pStyle w:val="10"/>
        <w:jc w:val="both"/>
        <w:rPr>
          <w:rFonts w:hint="eastAsia" w:ascii="方正小标宋_GBK" w:hAnsi="方正小标宋_GBK" w:eastAsia="方正小标宋_GBK" w:cs="方正小标宋_GBK"/>
          <w:sz w:val="72"/>
          <w:szCs w:val="72"/>
          <w:highlight w:val="none"/>
        </w:rPr>
      </w:pPr>
    </w:p>
    <w:p w14:paraId="514B558C">
      <w:pPr>
        <w:pStyle w:val="10"/>
        <w:jc w:val="both"/>
        <w:rPr>
          <w:rFonts w:hint="eastAsia" w:ascii="方正小标宋_GBK" w:hAnsi="方正小标宋_GBK" w:eastAsia="方正小标宋_GBK" w:cs="方正小标宋_GBK"/>
          <w:sz w:val="72"/>
          <w:szCs w:val="72"/>
          <w:highlight w:val="none"/>
        </w:rPr>
      </w:pPr>
    </w:p>
    <w:p w14:paraId="1DC49F6A">
      <w:pPr>
        <w:pStyle w:val="10"/>
        <w:jc w:val="both"/>
        <w:rPr>
          <w:rFonts w:hint="eastAsia" w:ascii="方正小标宋_GBK" w:hAnsi="方正小标宋_GBK" w:eastAsia="方正小标宋_GBK" w:cs="方正小标宋_GBK"/>
          <w:sz w:val="72"/>
          <w:szCs w:val="72"/>
          <w:highlight w:val="none"/>
        </w:rPr>
      </w:pPr>
    </w:p>
    <w:p w14:paraId="4B121B68">
      <w:pPr>
        <w:pStyle w:val="10"/>
        <w:jc w:val="both"/>
        <w:rPr>
          <w:rFonts w:hint="eastAsia" w:ascii="方正小标宋_GBK" w:hAnsi="方正小标宋_GBK" w:eastAsia="方正小标宋_GBK" w:cs="方正小标宋_GBK"/>
          <w:sz w:val="72"/>
          <w:szCs w:val="72"/>
          <w:highlight w:val="none"/>
        </w:rPr>
      </w:pPr>
    </w:p>
    <w:p w14:paraId="4171DE3A">
      <w:pPr>
        <w:pStyle w:val="10"/>
        <w:jc w:val="both"/>
        <w:rPr>
          <w:rFonts w:hint="eastAsia" w:ascii="方正小标宋_GBK" w:hAnsi="方正小标宋_GBK" w:eastAsia="方正小标宋_GBK" w:cs="方正小标宋_GBK"/>
          <w:sz w:val="72"/>
          <w:szCs w:val="72"/>
          <w:highlight w:val="none"/>
        </w:rPr>
      </w:pPr>
    </w:p>
    <w:p w14:paraId="1727E7BA">
      <w:pPr>
        <w:pStyle w:val="10"/>
        <w:jc w:val="both"/>
        <w:rPr>
          <w:rFonts w:hint="eastAsia" w:ascii="方正小标宋_GBK" w:hAnsi="方正小标宋_GBK" w:eastAsia="方正小标宋_GBK" w:cs="方正小标宋_GBK"/>
          <w:sz w:val="72"/>
          <w:szCs w:val="72"/>
          <w:highlight w:val="none"/>
        </w:rPr>
      </w:pPr>
    </w:p>
    <w:p w14:paraId="72D94934">
      <w:pPr>
        <w:pStyle w:val="10"/>
        <w:jc w:val="both"/>
        <w:rPr>
          <w:rFonts w:hint="eastAsia" w:ascii="方正小标宋_GBK" w:hAnsi="方正小标宋_GBK" w:eastAsia="方正小标宋_GBK" w:cs="方正小标宋_GBK"/>
          <w:sz w:val="72"/>
          <w:szCs w:val="72"/>
          <w:highlight w:val="none"/>
        </w:rPr>
      </w:pPr>
    </w:p>
    <w:p w14:paraId="463471EF">
      <w:pPr>
        <w:pStyle w:val="10"/>
        <w:jc w:val="both"/>
        <w:rPr>
          <w:rFonts w:hint="eastAsia" w:ascii="方正小标宋_GBK" w:hAnsi="方正小标宋_GBK" w:eastAsia="方正小标宋_GBK" w:cs="方正小标宋_GBK"/>
          <w:sz w:val="72"/>
          <w:szCs w:val="72"/>
          <w:highlight w:val="none"/>
        </w:rPr>
      </w:pPr>
    </w:p>
    <w:p w14:paraId="66B7A99D">
      <w:pPr>
        <w:pStyle w:val="10"/>
        <w:jc w:val="center"/>
        <w:rPr>
          <w:rFonts w:hint="eastAsia" w:ascii="方正小标宋_GBK" w:hAnsi="方正小标宋_GBK" w:eastAsia="方正小标宋_GBK" w:cs="方正小标宋_GBK"/>
          <w:sz w:val="72"/>
          <w:szCs w:val="72"/>
          <w:highlight w:val="none"/>
        </w:rPr>
      </w:pPr>
    </w:p>
    <w:p w14:paraId="50F16826">
      <w:pPr>
        <w:pStyle w:val="10"/>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第四部分</w:t>
      </w:r>
    </w:p>
    <w:p w14:paraId="3415283B">
      <w:pPr>
        <w:jc w:val="center"/>
        <w:rPr>
          <w:rFonts w:hint="eastAsia" w:ascii="方正小标宋_GBK" w:hAnsi="方正小标宋_GBK" w:eastAsia="方正小标宋_GBK" w:cs="方正小标宋_GBK"/>
          <w:color w:val="000000"/>
          <w:kern w:val="0"/>
          <w:sz w:val="70"/>
          <w:szCs w:val="70"/>
          <w:highlight w:val="none"/>
        </w:rPr>
      </w:pPr>
    </w:p>
    <w:p w14:paraId="1BDF4E17">
      <w:pPr>
        <w:jc w:val="center"/>
        <w:rPr>
          <w:rFonts w:hint="eastAsia" w:ascii="方正小标宋_GBK" w:hAnsi="方正小标宋_GBK" w:eastAsia="方正小标宋_GBK" w:cs="方正小标宋_GBK"/>
          <w:color w:val="000000"/>
          <w:kern w:val="0"/>
          <w:sz w:val="70"/>
          <w:szCs w:val="70"/>
          <w:highlight w:val="none"/>
        </w:rPr>
      </w:pPr>
      <w:r>
        <w:rPr>
          <w:rFonts w:hint="eastAsia" w:ascii="方正小标宋_GBK" w:hAnsi="方正小标宋_GBK" w:eastAsia="方正小标宋_GBK" w:cs="方正小标宋_GBK"/>
          <w:color w:val="000000"/>
          <w:kern w:val="0"/>
          <w:sz w:val="70"/>
          <w:szCs w:val="70"/>
          <w:highlight w:val="none"/>
        </w:rPr>
        <w:t>名词解释</w:t>
      </w:r>
    </w:p>
    <w:p w14:paraId="54DA336A">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50F28BA2">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rPr>
      </w:pPr>
    </w:p>
    <w:p w14:paraId="3E05EFA1">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rPr>
      </w:pPr>
      <w:r>
        <w:rPr>
          <w:rFonts w:hint="eastAsia" w:ascii="Times New Roman" w:hAnsi="Times New Roman" w:eastAsia="仿宋_GB2312"/>
          <w:sz w:val="32"/>
          <w:szCs w:val="32"/>
          <w:highlight w:val="none"/>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0724E501">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rPr>
      </w:pPr>
      <w:r>
        <w:rPr>
          <w:rFonts w:hint="eastAsia" w:ascii="Times New Roman" w:hAnsi="Times New Roman" w:eastAsia="仿宋_GB2312"/>
          <w:sz w:val="32"/>
          <w:szCs w:val="32"/>
          <w:highlight w:val="none"/>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22A2BA5">
      <w:pPr>
        <w:pStyle w:val="10"/>
        <w:jc w:val="center"/>
        <w:rPr>
          <w:sz w:val="72"/>
          <w:szCs w:val="72"/>
          <w:highlight w:val="none"/>
        </w:rPr>
      </w:pPr>
    </w:p>
    <w:p w14:paraId="118FBA44">
      <w:pPr>
        <w:rPr>
          <w:sz w:val="72"/>
          <w:szCs w:val="72"/>
          <w:highlight w:val="none"/>
        </w:rPr>
      </w:pPr>
      <w:r>
        <w:rPr>
          <w:sz w:val="72"/>
          <w:szCs w:val="72"/>
          <w:highlight w:val="none"/>
        </w:rPr>
        <w:br w:type="page"/>
      </w:r>
    </w:p>
    <w:p w14:paraId="1103254D">
      <w:pPr>
        <w:pStyle w:val="10"/>
        <w:jc w:val="center"/>
        <w:rPr>
          <w:sz w:val="72"/>
          <w:szCs w:val="72"/>
          <w:highlight w:val="none"/>
        </w:rPr>
      </w:pPr>
    </w:p>
    <w:p w14:paraId="485C30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1290F2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080E1E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283DDC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1E0FFA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r>
        <w:rPr>
          <w:rFonts w:hint="eastAsia" w:ascii="黑体" w:eastAsia="黑体" w:cs="黑体"/>
          <w:i w:val="0"/>
          <w:iCs w:val="0"/>
          <w:caps w:val="0"/>
          <w:smallCaps w:val="0"/>
          <w:color w:val="000000"/>
          <w:spacing w:val="0"/>
          <w:sz w:val="72"/>
          <w:szCs w:val="72"/>
          <w:highlight w:val="none"/>
          <w:shd w:val="clear" w:color="auto" w:fill="FFFFFF"/>
        </w:rPr>
        <w:t>第五部分</w:t>
      </w:r>
    </w:p>
    <w:p w14:paraId="4F6C0F1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eastAsia="黑体" w:cs="黑体"/>
          <w:i w:val="0"/>
          <w:iCs w:val="0"/>
          <w:caps w:val="0"/>
          <w:smallCaps w:val="0"/>
          <w:color w:val="000000"/>
          <w:spacing w:val="0"/>
          <w:sz w:val="72"/>
          <w:szCs w:val="72"/>
          <w:highlight w:val="none"/>
          <w:shd w:val="clear" w:color="auto" w:fill="FFFFFF"/>
        </w:rPr>
      </w:pPr>
    </w:p>
    <w:p w14:paraId="07811AB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ascii="Calibri" w:hAnsi="Calibri" w:cs="Calibri"/>
          <w:color w:val="3D3D3D"/>
          <w:sz w:val="21"/>
          <w:szCs w:val="21"/>
          <w:highlight w:val="none"/>
        </w:rPr>
      </w:pPr>
      <w:r>
        <w:rPr>
          <w:rFonts w:hint="eastAsia" w:ascii="黑体" w:eastAsia="黑体" w:cs="黑体"/>
          <w:i w:val="0"/>
          <w:iCs w:val="0"/>
          <w:caps w:val="0"/>
          <w:smallCaps w:val="0"/>
          <w:color w:val="000000"/>
          <w:spacing w:val="0"/>
          <w:sz w:val="70"/>
          <w:szCs w:val="70"/>
          <w:highlight w:val="none"/>
          <w:shd w:val="clear" w:color="auto" w:fill="FFFFFF"/>
        </w:rPr>
        <w:t>附件</w:t>
      </w:r>
    </w:p>
    <w:p w14:paraId="48ADDEBA">
      <w:pPr>
        <w:pStyle w:val="10"/>
        <w:jc w:val="center"/>
        <w:rPr>
          <w:sz w:val="72"/>
          <w:szCs w:val="72"/>
          <w:highlight w:val="none"/>
        </w:rPr>
      </w:pPr>
    </w:p>
    <w:p w14:paraId="49CF2154">
      <w:pPr>
        <w:pStyle w:val="10"/>
        <w:jc w:val="center"/>
        <w:rPr>
          <w:sz w:val="72"/>
          <w:szCs w:val="72"/>
          <w:highlight w:val="none"/>
        </w:rPr>
      </w:pPr>
    </w:p>
    <w:p w14:paraId="5F9A386E">
      <w:pPr>
        <w:pStyle w:val="10"/>
        <w:jc w:val="center"/>
        <w:rPr>
          <w:sz w:val="72"/>
          <w:szCs w:val="72"/>
          <w:highlight w:val="none"/>
        </w:rPr>
      </w:pPr>
    </w:p>
    <w:p w14:paraId="0198BB0C">
      <w:pPr>
        <w:pStyle w:val="10"/>
        <w:jc w:val="center"/>
        <w:rPr>
          <w:sz w:val="72"/>
          <w:szCs w:val="72"/>
          <w:highlight w:val="none"/>
        </w:rPr>
      </w:pPr>
    </w:p>
    <w:p w14:paraId="54D96AA2">
      <w:pPr>
        <w:pStyle w:val="10"/>
        <w:jc w:val="center"/>
        <w:rPr>
          <w:sz w:val="72"/>
          <w:szCs w:val="72"/>
          <w:highlight w:val="none"/>
        </w:rPr>
      </w:pPr>
    </w:p>
    <w:p w14:paraId="112CBB8D">
      <w:pPr>
        <w:pStyle w:val="10"/>
        <w:jc w:val="center"/>
        <w:rPr>
          <w:sz w:val="72"/>
          <w:szCs w:val="72"/>
          <w:highlight w:val="none"/>
        </w:rPr>
      </w:pPr>
    </w:p>
    <w:p w14:paraId="1FE8D39D">
      <w:pPr>
        <w:pStyle w:val="10"/>
        <w:jc w:val="center"/>
        <w:rPr>
          <w:sz w:val="72"/>
          <w:szCs w:val="72"/>
          <w:highlight w:val="none"/>
        </w:rPr>
      </w:pPr>
    </w:p>
    <w:p w14:paraId="18943C07">
      <w:pPr>
        <w:pStyle w:val="10"/>
        <w:jc w:val="both"/>
        <w:rPr>
          <w:sz w:val="72"/>
          <w:szCs w:val="7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76042D-9DB8-4464-9075-E63337A0D6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1DBFC651-7701-457B-95BF-F102B9C14BA8}"/>
  </w:font>
  <w:font w:name="方正小标宋_GBK">
    <w:panose1 w:val="02000000000000000000"/>
    <w:charset w:val="86"/>
    <w:family w:val="script"/>
    <w:pitch w:val="default"/>
    <w:sig w:usb0="A00002BF" w:usb1="38CF7CFA" w:usb2="00082016" w:usb3="00000000" w:csb0="00040001" w:csb1="00000000"/>
    <w:embedRegular r:id="rId3" w:fontKey="{1D508617-3D13-42EE-A73B-CBB942EB3628}"/>
  </w:font>
  <w:font w:name="仿宋_GB2312">
    <w:panose1 w:val="02010609030101010101"/>
    <w:charset w:val="86"/>
    <w:family w:val="modern"/>
    <w:pitch w:val="default"/>
    <w:sig w:usb0="00000001" w:usb1="080E0000" w:usb2="00000000" w:usb3="00000000" w:csb0="00040000" w:csb1="00000000"/>
    <w:embedRegular r:id="rId4" w:fontKey="{9083ADAE-48DC-4900-B376-F98DA1F89AD5}"/>
  </w:font>
  <w:font w:name="仿宋">
    <w:panose1 w:val="02010609060101010101"/>
    <w:charset w:val="86"/>
    <w:family w:val="auto"/>
    <w:pitch w:val="default"/>
    <w:sig w:usb0="800002BF" w:usb1="38CF7CFA" w:usb2="00000016" w:usb3="00000000" w:csb0="00040001" w:csb1="00000000"/>
    <w:embedRegular r:id="rId5" w:fontKey="{A3AB052F-76E1-4EE1-861E-2DD3341E17A5}"/>
  </w:font>
  <w:font w:name="楷体">
    <w:panose1 w:val="02010609060101010101"/>
    <w:charset w:val="86"/>
    <w:family w:val="auto"/>
    <w:pitch w:val="default"/>
    <w:sig w:usb0="800002BF" w:usb1="38CF7CFA" w:usb2="00000016" w:usb3="00000000" w:csb0="00040001" w:csb1="00000000"/>
    <w:embedRegular r:id="rId6" w:fontKey="{C1B7F973-ABB9-4259-B2F1-E96DF04FA00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319FC"/>
    <w:multiLevelType w:val="singleLevel"/>
    <w:tmpl w:val="FFE319FC"/>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2140F"/>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C3761D3"/>
    <w:rsid w:val="0E7E40C2"/>
    <w:rsid w:val="1B0C568A"/>
    <w:rsid w:val="1D5B6583"/>
    <w:rsid w:val="20123FC7"/>
    <w:rsid w:val="20AE4CDA"/>
    <w:rsid w:val="23276475"/>
    <w:rsid w:val="2C9C0731"/>
    <w:rsid w:val="2FFF24CD"/>
    <w:rsid w:val="337526C0"/>
    <w:rsid w:val="36435A6D"/>
    <w:rsid w:val="3A887EF3"/>
    <w:rsid w:val="3C724CDF"/>
    <w:rsid w:val="3E5B7AE8"/>
    <w:rsid w:val="4123618A"/>
    <w:rsid w:val="4CDD7C2A"/>
    <w:rsid w:val="4D3637DE"/>
    <w:rsid w:val="4F0646AF"/>
    <w:rsid w:val="50603DC0"/>
    <w:rsid w:val="52D10231"/>
    <w:rsid w:val="535F5FA4"/>
    <w:rsid w:val="53990623"/>
    <w:rsid w:val="541B1158"/>
    <w:rsid w:val="5777D4F5"/>
    <w:rsid w:val="57D8796C"/>
    <w:rsid w:val="5F1FC8EE"/>
    <w:rsid w:val="5FC6BB1E"/>
    <w:rsid w:val="5FF720F1"/>
    <w:rsid w:val="699F6313"/>
    <w:rsid w:val="6C24541E"/>
    <w:rsid w:val="737D59BA"/>
    <w:rsid w:val="776FC927"/>
    <w:rsid w:val="77C37683"/>
    <w:rsid w:val="78E75809"/>
    <w:rsid w:val="79097122"/>
    <w:rsid w:val="79FF515B"/>
    <w:rsid w:val="7E9F11B4"/>
    <w:rsid w:val="7FC69637"/>
    <w:rsid w:val="7FFDB408"/>
    <w:rsid w:val="CBFF70E0"/>
    <w:rsid w:val="EEABED75"/>
    <w:rsid w:val="FB36E1A6"/>
    <w:rsid w:val="FEFDC33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4818</Words>
  <Characters>5212</Characters>
  <Lines>63</Lines>
  <Paragraphs>18</Paragraphs>
  <TotalTime>0</TotalTime>
  <ScaleCrop>false</ScaleCrop>
  <LinksUpToDate>false</LinksUpToDate>
  <CharactersWithSpaces>5229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2020-07-05T18:32:00Z</dcterms:created>
  <dc:creator>李航 null</dc:creator>
  <cp:lastModifiedBy>WPS_1668149522</cp:lastModifiedBy>
  <cp:lastPrinted>2023-09-22T16:17:00Z</cp:lastPrinted>
  <dcterms:modified xsi:type="dcterms:W3CDTF">2024-10-31T13:08:29Z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6FDBD51796514513A32C1E669E9C7D90_12</vt:lpwstr>
  </property>
</Properties>
</file>