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51782E">
      <w:pPr>
        <w:pStyle w:val="10"/>
        <w:jc w:val="center"/>
        <w:rPr>
          <w:sz w:val="56"/>
          <w:szCs w:val="56"/>
          <w:highlight w:val="none"/>
        </w:rPr>
      </w:pPr>
    </w:p>
    <w:p w14:paraId="1011B732">
      <w:pPr>
        <w:pStyle w:val="10"/>
        <w:jc w:val="center"/>
        <w:rPr>
          <w:sz w:val="56"/>
          <w:szCs w:val="56"/>
          <w:highlight w:val="none"/>
        </w:rPr>
      </w:pPr>
    </w:p>
    <w:p w14:paraId="4F731242">
      <w:pPr>
        <w:pStyle w:val="10"/>
        <w:jc w:val="center"/>
        <w:rPr>
          <w:sz w:val="84"/>
          <w:szCs w:val="84"/>
          <w:highlight w:val="none"/>
        </w:rPr>
      </w:pPr>
    </w:p>
    <w:p w14:paraId="1F027599">
      <w:pPr>
        <w:pStyle w:val="10"/>
        <w:jc w:val="center"/>
        <w:rPr>
          <w:rFonts w:hint="eastAsia" w:ascii="方正黑体简体" w:hAnsi="方正黑体简体" w:eastAsia="方正黑体简体" w:cs="方正黑体简体"/>
          <w:sz w:val="84"/>
          <w:szCs w:val="84"/>
          <w:highlight w:val="none"/>
        </w:rPr>
      </w:pPr>
    </w:p>
    <w:p w14:paraId="3A2864AE">
      <w:pPr>
        <w:pStyle w:val="10"/>
        <w:jc w:val="center"/>
        <w:rPr>
          <w:rFonts w:hint="eastAsia" w:ascii="黑体" w:hAnsi="黑体" w:eastAsia="黑体" w:cs="黑体"/>
          <w:sz w:val="84"/>
          <w:szCs w:val="84"/>
          <w:highlight w:val="none"/>
        </w:rPr>
      </w:pPr>
      <w:r>
        <w:rPr>
          <w:rFonts w:hint="eastAsia" w:ascii="黑体" w:hAnsi="黑体" w:eastAsia="黑体" w:cs="黑体"/>
          <w:sz w:val="84"/>
          <w:szCs w:val="84"/>
          <w:highlight w:val="none"/>
        </w:rPr>
        <w:t>202</w:t>
      </w:r>
      <w:r>
        <w:rPr>
          <w:rFonts w:hint="eastAsia" w:ascii="黑体" w:hAnsi="黑体" w:eastAsia="黑体" w:cs="黑体"/>
          <w:sz w:val="84"/>
          <w:szCs w:val="84"/>
          <w:highlight w:val="none"/>
          <w:lang w:val="en-US" w:eastAsia="zh-CN"/>
        </w:rPr>
        <w:t>2</w:t>
      </w:r>
      <w:r>
        <w:rPr>
          <w:rFonts w:hint="eastAsia" w:ascii="黑体" w:hAnsi="黑体" w:eastAsia="黑体" w:cs="黑体"/>
          <w:sz w:val="84"/>
          <w:szCs w:val="84"/>
          <w:highlight w:val="none"/>
        </w:rPr>
        <w:t>年度</w:t>
      </w:r>
    </w:p>
    <w:p w14:paraId="410E8E43">
      <w:pPr>
        <w:pStyle w:val="10"/>
        <w:jc w:val="center"/>
        <w:rPr>
          <w:rFonts w:hint="eastAsia" w:ascii="黑体" w:hAnsi="黑体" w:eastAsia="黑体" w:cs="黑体"/>
          <w:sz w:val="84"/>
          <w:szCs w:val="84"/>
          <w:highlight w:val="none"/>
          <w:lang w:eastAsia="zh-CN"/>
        </w:rPr>
      </w:pPr>
      <w:r>
        <w:rPr>
          <w:rFonts w:hint="eastAsia" w:ascii="黑体" w:hAnsi="黑体" w:eastAsia="黑体" w:cs="黑体"/>
          <w:sz w:val="84"/>
          <w:szCs w:val="84"/>
          <w:highlight w:val="none"/>
          <w:lang w:eastAsia="zh-CN"/>
        </w:rPr>
        <w:t>中共怀化市委组织部</w:t>
      </w:r>
    </w:p>
    <w:p w14:paraId="46ECF442">
      <w:pPr>
        <w:pStyle w:val="10"/>
        <w:jc w:val="center"/>
        <w:rPr>
          <w:rFonts w:hint="eastAsia" w:ascii="黑体" w:hAnsi="黑体" w:eastAsia="黑体" w:cs="黑体"/>
          <w:sz w:val="84"/>
          <w:szCs w:val="84"/>
          <w:highlight w:val="none"/>
        </w:rPr>
      </w:pPr>
      <w:r>
        <w:rPr>
          <w:rFonts w:hint="eastAsia" w:ascii="黑体" w:hAnsi="黑体" w:eastAsia="黑体" w:cs="黑体"/>
          <w:sz w:val="84"/>
          <w:szCs w:val="84"/>
          <w:highlight w:val="none"/>
        </w:rPr>
        <w:t>部门决算</w:t>
      </w:r>
    </w:p>
    <w:p w14:paraId="5971B57F">
      <w:pPr>
        <w:pStyle w:val="10"/>
        <w:jc w:val="center"/>
        <w:rPr>
          <w:sz w:val="56"/>
          <w:szCs w:val="56"/>
          <w:highlight w:val="none"/>
        </w:rPr>
      </w:pPr>
    </w:p>
    <w:p w14:paraId="5B1E5FF2">
      <w:pPr>
        <w:pStyle w:val="10"/>
        <w:jc w:val="center"/>
        <w:rPr>
          <w:sz w:val="56"/>
          <w:szCs w:val="56"/>
          <w:highlight w:val="none"/>
        </w:rPr>
      </w:pPr>
    </w:p>
    <w:p w14:paraId="68702088">
      <w:pPr>
        <w:pStyle w:val="10"/>
        <w:jc w:val="center"/>
        <w:rPr>
          <w:sz w:val="56"/>
          <w:szCs w:val="56"/>
          <w:highlight w:val="none"/>
        </w:rPr>
      </w:pPr>
    </w:p>
    <w:p w14:paraId="4A0162ED">
      <w:pPr>
        <w:pStyle w:val="10"/>
        <w:jc w:val="center"/>
        <w:rPr>
          <w:sz w:val="56"/>
          <w:szCs w:val="56"/>
          <w:highlight w:val="none"/>
        </w:rPr>
      </w:pPr>
    </w:p>
    <w:p w14:paraId="136611D1">
      <w:pPr>
        <w:pStyle w:val="10"/>
        <w:jc w:val="center"/>
        <w:rPr>
          <w:sz w:val="32"/>
          <w:szCs w:val="32"/>
          <w:highlight w:val="none"/>
        </w:rPr>
      </w:pPr>
    </w:p>
    <w:p w14:paraId="12152D36">
      <w:pPr>
        <w:pStyle w:val="10"/>
        <w:jc w:val="center"/>
        <w:rPr>
          <w:sz w:val="32"/>
          <w:szCs w:val="32"/>
          <w:highlight w:val="none"/>
        </w:rPr>
      </w:pPr>
    </w:p>
    <w:p w14:paraId="0D62FFE4">
      <w:pPr>
        <w:pStyle w:val="10"/>
        <w:jc w:val="center"/>
        <w:rPr>
          <w:sz w:val="32"/>
          <w:szCs w:val="32"/>
          <w:highlight w:val="none"/>
        </w:rPr>
      </w:pPr>
    </w:p>
    <w:p w14:paraId="6DFD749C">
      <w:pPr>
        <w:pStyle w:val="10"/>
        <w:spacing w:line="500" w:lineRule="exact"/>
        <w:jc w:val="center"/>
        <w:rPr>
          <w:rFonts w:hint="eastAsia"/>
          <w:b w:val="0"/>
          <w:bCs/>
          <w:sz w:val="44"/>
          <w:szCs w:val="44"/>
          <w:highlight w:val="none"/>
        </w:rPr>
      </w:pPr>
      <w:r>
        <w:rPr>
          <w:rFonts w:hint="eastAsia"/>
          <w:b w:val="0"/>
          <w:bCs/>
          <w:sz w:val="44"/>
          <w:szCs w:val="44"/>
          <w:highlight w:val="none"/>
        </w:rPr>
        <w:t>目</w:t>
      </w:r>
      <w:r>
        <w:rPr>
          <w:rFonts w:hint="eastAsia"/>
          <w:b w:val="0"/>
          <w:bCs/>
          <w:sz w:val="44"/>
          <w:szCs w:val="44"/>
          <w:highlight w:val="none"/>
          <w:lang w:val="en-US" w:eastAsia="zh-CN"/>
        </w:rPr>
        <w:t xml:space="preserve">  </w:t>
      </w:r>
      <w:r>
        <w:rPr>
          <w:rFonts w:hint="eastAsia"/>
          <w:b w:val="0"/>
          <w:bCs/>
          <w:sz w:val="44"/>
          <w:szCs w:val="44"/>
          <w:highlight w:val="none"/>
        </w:rPr>
        <w:t>录</w:t>
      </w:r>
    </w:p>
    <w:p w14:paraId="403FBCDA">
      <w:pPr>
        <w:pStyle w:val="10"/>
        <w:spacing w:line="500" w:lineRule="exact"/>
        <w:jc w:val="center"/>
        <w:rPr>
          <w:rFonts w:hint="eastAsia"/>
          <w:b/>
          <w:sz w:val="32"/>
          <w:szCs w:val="32"/>
          <w:highlight w:val="none"/>
        </w:rPr>
      </w:pPr>
    </w:p>
    <w:p w14:paraId="1ADB3D71">
      <w:pPr>
        <w:pStyle w:val="10"/>
        <w:spacing w:line="500" w:lineRule="exact"/>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第一部分</w:t>
      </w:r>
      <w:r>
        <w:rPr>
          <w:rFonts w:hint="eastAsia" w:ascii="黑体" w:hAnsi="黑体" w:eastAsia="黑体" w:cs="黑体"/>
          <w:b w:val="0"/>
          <w:bCs/>
          <w:sz w:val="32"/>
          <w:szCs w:val="32"/>
          <w:highlight w:val="none"/>
          <w:lang w:val="en-US" w:eastAsia="zh-CN"/>
        </w:rPr>
        <w:t xml:space="preserve"> </w:t>
      </w:r>
      <w:r>
        <w:rPr>
          <w:rFonts w:hint="eastAsia" w:ascii="黑体" w:hAnsi="黑体" w:eastAsia="黑体" w:cs="黑体"/>
          <w:sz w:val="32"/>
          <w:szCs w:val="32"/>
          <w:highlight w:val="none"/>
          <w:lang w:eastAsia="zh-CN"/>
        </w:rPr>
        <w:t>中共怀化市委组织部</w:t>
      </w:r>
      <w:r>
        <w:rPr>
          <w:rFonts w:hint="eastAsia" w:hAnsi="黑体" w:cs="黑体"/>
          <w:b w:val="0"/>
          <w:bCs/>
          <w:sz w:val="32"/>
          <w:szCs w:val="32"/>
          <w:highlight w:val="none"/>
          <w:lang w:eastAsia="zh-CN"/>
        </w:rPr>
        <w:t>单位</w:t>
      </w:r>
      <w:r>
        <w:rPr>
          <w:rFonts w:hint="eastAsia" w:ascii="黑体" w:hAnsi="黑体" w:eastAsia="黑体" w:cs="黑体"/>
          <w:b w:val="0"/>
          <w:bCs/>
          <w:sz w:val="32"/>
          <w:szCs w:val="32"/>
          <w:highlight w:val="none"/>
        </w:rPr>
        <w:t>概况</w:t>
      </w:r>
    </w:p>
    <w:p w14:paraId="1CBAC11B">
      <w:pPr>
        <w:pStyle w:val="10"/>
        <w:spacing w:line="500" w:lineRule="exact"/>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一、部门职责</w:t>
      </w:r>
    </w:p>
    <w:p w14:paraId="39AA4308">
      <w:pPr>
        <w:pStyle w:val="10"/>
        <w:spacing w:line="500" w:lineRule="exact"/>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二、机构设置</w:t>
      </w:r>
    </w:p>
    <w:p w14:paraId="48B0B0FB">
      <w:pPr>
        <w:pStyle w:val="10"/>
        <w:spacing w:line="500" w:lineRule="exact"/>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第二部分</w:t>
      </w:r>
      <w:r>
        <w:rPr>
          <w:rFonts w:hint="eastAsia" w:ascii="黑体" w:hAnsi="黑体" w:eastAsia="黑体" w:cs="黑体"/>
          <w:b w:val="0"/>
          <w:bCs/>
          <w:sz w:val="32"/>
          <w:szCs w:val="32"/>
          <w:highlight w:val="none"/>
          <w:lang w:val="en-US" w:eastAsia="zh-CN"/>
        </w:rPr>
        <w:t xml:space="preserve"> </w:t>
      </w:r>
      <w:r>
        <w:rPr>
          <w:rFonts w:hint="eastAsia" w:ascii="黑体" w:hAnsi="黑体" w:eastAsia="黑体" w:cs="黑体"/>
          <w:b w:val="0"/>
          <w:bCs/>
          <w:sz w:val="32"/>
          <w:szCs w:val="32"/>
          <w:highlight w:val="none"/>
        </w:rPr>
        <w:t>部门决算表</w:t>
      </w:r>
    </w:p>
    <w:p w14:paraId="61451366">
      <w:pPr>
        <w:pStyle w:val="10"/>
        <w:spacing w:line="500" w:lineRule="exact"/>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一、收入支出决算总表</w:t>
      </w:r>
    </w:p>
    <w:p w14:paraId="126E7F05">
      <w:pPr>
        <w:pStyle w:val="10"/>
        <w:spacing w:line="500" w:lineRule="exact"/>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二、收入决算表</w:t>
      </w:r>
    </w:p>
    <w:p w14:paraId="017CBE5B">
      <w:pPr>
        <w:pStyle w:val="10"/>
        <w:spacing w:line="500" w:lineRule="exact"/>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三、支出决算表</w:t>
      </w:r>
    </w:p>
    <w:p w14:paraId="6026E46E">
      <w:pPr>
        <w:pStyle w:val="10"/>
        <w:spacing w:line="500" w:lineRule="exact"/>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四、财政拨款收入支出决算总表</w:t>
      </w:r>
    </w:p>
    <w:p w14:paraId="758EC7DB">
      <w:pPr>
        <w:pStyle w:val="10"/>
        <w:spacing w:line="500" w:lineRule="exact"/>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五、一般公共预算财政拨款支出决算表</w:t>
      </w:r>
    </w:p>
    <w:p w14:paraId="2F30F681">
      <w:pPr>
        <w:pStyle w:val="10"/>
        <w:spacing w:line="500" w:lineRule="exact"/>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六、一般公共预算财政拨款基本支出决算明细表</w:t>
      </w:r>
    </w:p>
    <w:p w14:paraId="7517EC5E">
      <w:pPr>
        <w:pStyle w:val="10"/>
        <w:spacing w:line="500" w:lineRule="exact"/>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七、政府性基金预算财政拨款收入支出决算表</w:t>
      </w:r>
    </w:p>
    <w:p w14:paraId="5B54AD6B">
      <w:pPr>
        <w:pStyle w:val="10"/>
        <w:spacing w:line="500" w:lineRule="exact"/>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八、国有资本经营预算财政拨款支出决算表</w:t>
      </w:r>
    </w:p>
    <w:p w14:paraId="26C10130">
      <w:pPr>
        <w:pStyle w:val="10"/>
        <w:spacing w:line="500" w:lineRule="exact"/>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九、财政拨款“三公”经费支出决算表</w:t>
      </w:r>
    </w:p>
    <w:p w14:paraId="3E65BD0D">
      <w:pPr>
        <w:pStyle w:val="10"/>
        <w:spacing w:line="500" w:lineRule="exact"/>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第三部分</w:t>
      </w:r>
      <w:r>
        <w:rPr>
          <w:rFonts w:hint="eastAsia" w:ascii="黑体" w:hAnsi="黑体" w:eastAsia="黑体" w:cs="黑体"/>
          <w:b w:val="0"/>
          <w:bCs/>
          <w:sz w:val="32"/>
          <w:szCs w:val="32"/>
          <w:highlight w:val="none"/>
          <w:lang w:val="en-US" w:eastAsia="zh-CN"/>
        </w:rPr>
        <w:t xml:space="preserve"> </w:t>
      </w:r>
      <w:r>
        <w:rPr>
          <w:rFonts w:hint="eastAsia" w:ascii="黑体" w:hAnsi="黑体" w:eastAsia="黑体" w:cs="黑体"/>
          <w:b w:val="0"/>
          <w:bCs/>
          <w:sz w:val="32"/>
          <w:szCs w:val="32"/>
          <w:highlight w:val="none"/>
        </w:rPr>
        <w:t>部门决算情况说明</w:t>
      </w:r>
    </w:p>
    <w:p w14:paraId="4EA8610D">
      <w:pPr>
        <w:pStyle w:val="10"/>
        <w:spacing w:line="500" w:lineRule="exact"/>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一、收入支出决算总体情况说明</w:t>
      </w:r>
    </w:p>
    <w:p w14:paraId="0438898D">
      <w:pPr>
        <w:spacing w:line="500" w:lineRule="exact"/>
        <w:ind w:firstLine="800" w:firstLineChars="25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二、收入决算情况说明</w:t>
      </w:r>
    </w:p>
    <w:p w14:paraId="42071221">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三、支出决算情况说明</w:t>
      </w:r>
    </w:p>
    <w:p w14:paraId="2661E553">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四、财政拨款收入支出决算总体情况说明</w:t>
      </w:r>
    </w:p>
    <w:p w14:paraId="01FFCF33">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五、一般公共预算财政拨款支出决算情况说明</w:t>
      </w:r>
    </w:p>
    <w:p w14:paraId="4E19DFAA">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六、一般公共预算财政拨款基本支出决算情况说明</w:t>
      </w:r>
    </w:p>
    <w:p w14:paraId="5D6EF7D0">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七、一般公共预算财政拨款三公经费支出决算情况说明</w:t>
      </w:r>
    </w:p>
    <w:p w14:paraId="44B840C4">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八、政府性基金预算收入支出决算情况</w:t>
      </w:r>
    </w:p>
    <w:p w14:paraId="5506644C">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highlight w:val="none"/>
          <w:lang w:eastAsia="zh-CN"/>
        </w:rPr>
      </w:pPr>
      <w:r>
        <w:rPr>
          <w:rFonts w:hint="eastAsia" w:ascii="仿宋_GB2312" w:hAnsi="仿宋_GB2312" w:eastAsia="仿宋_GB2312" w:cs="仿宋_GB2312"/>
          <w:color w:val="000000"/>
          <w:kern w:val="0"/>
          <w:sz w:val="32"/>
          <w:szCs w:val="32"/>
          <w:highlight w:val="none"/>
        </w:rPr>
        <w:t>九、国有资本经营预算</w:t>
      </w:r>
      <w:r>
        <w:rPr>
          <w:rFonts w:hint="eastAsia" w:ascii="仿宋_GB2312" w:hAnsi="仿宋_GB2312" w:eastAsia="仿宋_GB2312" w:cs="仿宋_GB2312"/>
          <w:sz w:val="32"/>
          <w:szCs w:val="32"/>
          <w:highlight w:val="none"/>
        </w:rPr>
        <w:t>财政拨款支出</w:t>
      </w:r>
      <w:r>
        <w:rPr>
          <w:rFonts w:hint="eastAsia" w:ascii="仿宋_GB2312" w:hAnsi="仿宋_GB2312" w:eastAsia="仿宋_GB2312" w:cs="仿宋_GB2312"/>
          <w:color w:val="000000"/>
          <w:kern w:val="0"/>
          <w:sz w:val="32"/>
          <w:szCs w:val="32"/>
          <w:highlight w:val="none"/>
        </w:rPr>
        <w:t>决算情况</w:t>
      </w:r>
    </w:p>
    <w:p w14:paraId="07EB6D83">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十、关于机关运行经费支出说明</w:t>
      </w:r>
    </w:p>
    <w:p w14:paraId="51DC9272">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十一、一般性支出情况说明</w:t>
      </w:r>
    </w:p>
    <w:p w14:paraId="6C590521">
      <w:pPr>
        <w:autoSpaceDE w:val="0"/>
        <w:autoSpaceDN w:val="0"/>
        <w:adjustRightInd w:val="0"/>
        <w:spacing w:line="500" w:lineRule="exact"/>
        <w:ind w:firstLine="800" w:firstLineChars="250"/>
        <w:jc w:val="left"/>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sz w:val="32"/>
          <w:szCs w:val="32"/>
          <w:highlight w:val="none"/>
        </w:rPr>
        <w:t>十二、</w:t>
      </w:r>
      <w:r>
        <w:rPr>
          <w:rFonts w:hint="eastAsia" w:ascii="仿宋_GB2312" w:hAnsi="仿宋_GB2312" w:eastAsia="仿宋_GB2312" w:cs="仿宋_GB2312"/>
          <w:color w:val="000000"/>
          <w:kern w:val="0"/>
          <w:sz w:val="32"/>
          <w:szCs w:val="32"/>
          <w:highlight w:val="none"/>
        </w:rPr>
        <w:t>关于政府采购支出说明</w:t>
      </w:r>
    </w:p>
    <w:p w14:paraId="615260A2">
      <w:pPr>
        <w:pStyle w:val="10"/>
        <w:spacing w:line="500" w:lineRule="exact"/>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十三、关于国有资产占用情况说明</w:t>
      </w:r>
    </w:p>
    <w:p w14:paraId="176EF69C">
      <w:pPr>
        <w:pStyle w:val="10"/>
        <w:spacing w:line="500" w:lineRule="exact"/>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十四、</w:t>
      </w:r>
      <w:r>
        <w:rPr>
          <w:rFonts w:hint="eastAsia" w:ascii="仿宋_GB2312" w:hAnsi="仿宋_GB2312" w:eastAsia="仿宋_GB2312" w:cs="仿宋_GB2312"/>
          <w:sz w:val="32"/>
          <w:szCs w:val="32"/>
          <w:highlight w:val="none"/>
        </w:rPr>
        <w:t>关于预算绩效情况的说明</w:t>
      </w:r>
    </w:p>
    <w:p w14:paraId="6403AF25">
      <w:pPr>
        <w:pStyle w:val="10"/>
        <w:spacing w:line="500" w:lineRule="exact"/>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第四部分</w:t>
      </w:r>
      <w:r>
        <w:rPr>
          <w:rFonts w:hint="eastAsia" w:ascii="黑体" w:hAnsi="黑体" w:eastAsia="黑体" w:cs="黑体"/>
          <w:b w:val="0"/>
          <w:bCs/>
          <w:sz w:val="32"/>
          <w:szCs w:val="32"/>
          <w:highlight w:val="none"/>
          <w:lang w:val="en-US" w:eastAsia="zh-CN"/>
        </w:rPr>
        <w:t xml:space="preserve"> </w:t>
      </w:r>
      <w:r>
        <w:rPr>
          <w:rFonts w:hint="eastAsia" w:ascii="黑体" w:hAnsi="黑体" w:eastAsia="黑体" w:cs="黑体"/>
          <w:b w:val="0"/>
          <w:bCs/>
          <w:sz w:val="32"/>
          <w:szCs w:val="32"/>
          <w:highlight w:val="none"/>
        </w:rPr>
        <w:t>名词解释</w:t>
      </w:r>
    </w:p>
    <w:p w14:paraId="07995FC7">
      <w:pPr>
        <w:rPr>
          <w:rFonts w:hint="eastAsia" w:ascii="方正小标宋_GBK" w:hAnsi="方正小标宋_GBK" w:eastAsia="方正小标宋_GBK" w:cs="方正小标宋_GBK"/>
          <w:sz w:val="72"/>
          <w:szCs w:val="72"/>
          <w:highlight w:val="none"/>
        </w:rPr>
      </w:pPr>
    </w:p>
    <w:p w14:paraId="43C9BCB6">
      <w:pPr>
        <w:rPr>
          <w:rFonts w:hint="eastAsia" w:ascii="方正小标宋_GBK" w:hAnsi="方正小标宋_GBK" w:eastAsia="方正小标宋_GBK" w:cs="方正小标宋_GBK"/>
          <w:sz w:val="72"/>
          <w:szCs w:val="72"/>
          <w:highlight w:val="none"/>
        </w:rPr>
      </w:pPr>
    </w:p>
    <w:p w14:paraId="5C3B603E">
      <w:pPr>
        <w:pStyle w:val="10"/>
        <w:jc w:val="center"/>
        <w:rPr>
          <w:rFonts w:hint="eastAsia" w:ascii="方正黑体简体" w:hAnsi="方正黑体简体" w:eastAsia="方正黑体简体" w:cs="方正黑体简体"/>
          <w:sz w:val="84"/>
          <w:szCs w:val="84"/>
          <w:highlight w:val="none"/>
        </w:rPr>
      </w:pPr>
      <w:r>
        <w:rPr>
          <w:rFonts w:hint="eastAsia" w:ascii="方正黑体简体" w:hAnsi="方正黑体简体" w:eastAsia="方正黑体简体" w:cs="方正黑体简体"/>
          <w:sz w:val="84"/>
          <w:szCs w:val="84"/>
          <w:highlight w:val="none"/>
        </w:rPr>
        <w:t>第一部分</w:t>
      </w:r>
    </w:p>
    <w:p w14:paraId="6CF99933">
      <w:pPr>
        <w:jc w:val="center"/>
        <w:rPr>
          <w:rFonts w:hint="default" w:ascii="方正黑体简体" w:hAnsi="方正黑体简体" w:eastAsia="方正黑体简体" w:cs="方正黑体简体"/>
          <w:sz w:val="84"/>
          <w:szCs w:val="84"/>
          <w:highlight w:val="none"/>
          <w:lang w:val="en-US"/>
        </w:rPr>
      </w:pPr>
      <w:r>
        <w:rPr>
          <w:rFonts w:hint="eastAsia" w:ascii="黑体" w:hAnsi="黑体" w:eastAsia="黑体" w:cs="黑体"/>
          <w:sz w:val="84"/>
          <w:szCs w:val="84"/>
          <w:highlight w:val="none"/>
          <w:lang w:eastAsia="zh-CN"/>
        </w:rPr>
        <w:t>中共怀化市委组织部</w:t>
      </w:r>
      <w:r>
        <w:rPr>
          <w:rFonts w:hint="eastAsia" w:ascii="黑体" w:hAnsi="黑体" w:eastAsia="黑体" w:cs="黑体"/>
          <w:sz w:val="84"/>
          <w:szCs w:val="84"/>
          <w:highlight w:val="none"/>
          <w:lang w:val="en-US" w:eastAsia="zh-CN"/>
        </w:rPr>
        <w:t>单位概况</w:t>
      </w:r>
    </w:p>
    <w:p w14:paraId="34D25F02">
      <w:pPr>
        <w:rPr>
          <w:sz w:val="72"/>
          <w:szCs w:val="72"/>
          <w:highlight w:val="none"/>
        </w:rPr>
      </w:pPr>
      <w:r>
        <w:rPr>
          <w:sz w:val="72"/>
          <w:szCs w:val="72"/>
          <w:highlight w:val="none"/>
        </w:rPr>
        <w:br w:type="page"/>
      </w:r>
    </w:p>
    <w:p w14:paraId="049F355B">
      <w:pPr>
        <w:pStyle w:val="11"/>
        <w:keepNext w:val="0"/>
        <w:keepLines w:val="0"/>
        <w:pageBreakBefore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黑体" w:hAnsi="黑体" w:eastAsia="黑体" w:cs="黑体"/>
          <w:color w:val="000000"/>
          <w:kern w:val="0"/>
          <w:sz w:val="32"/>
          <w:szCs w:val="32"/>
          <w:highlight w:val="none"/>
          <w:lang w:val="en-US" w:eastAsia="zh-CN" w:bidi="ar-SA"/>
        </w:rPr>
      </w:pPr>
      <w:r>
        <w:rPr>
          <w:rFonts w:hint="eastAsia" w:ascii="黑体" w:hAnsi="黑体" w:eastAsia="黑体" w:cs="黑体"/>
          <w:color w:val="000000"/>
          <w:kern w:val="0"/>
          <w:sz w:val="32"/>
          <w:szCs w:val="32"/>
          <w:highlight w:val="none"/>
          <w:lang w:val="en-US" w:eastAsia="zh-CN" w:bidi="ar-SA"/>
        </w:rPr>
        <w:t>一、部门职责</w:t>
      </w:r>
    </w:p>
    <w:p w14:paraId="2CEED9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1.负责研究和指导党组织建设，制订加强党的工作制度、党内生活制度的规定和意见；会同有关部门对县（市、区）委和市委管理的企事业单位党委换届选举，以及对县（市、区）、市直单位、中央和省在怀单位党委（党组）民主生活会进行指导；研究指导党的基层组织建设以及党组织的设置原则、隶属关系和活动内容、工作方式；研究、指导党员队伍建设，主管党员管理和发展工作，指导、协调党员教育工作；组织和开展新时期党的建设的理论研究。</w:t>
      </w:r>
    </w:p>
    <w:p w14:paraId="2E6B08E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负责干部队伍建设的宏观管理，制订和参与制订组织、干部、人事工作的重要政策、法规、制度，并对重要经验进行总结推介；会同有关部门研究制订适应现代企业制度要求的国有企业领导班子和企业经营管理者队伍建设的政策和措施，提出加强宏观指导的意见和建议。</w:t>
      </w:r>
    </w:p>
    <w:p w14:paraId="733775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3.提出县（市、区）和市直部委办局及其他市委管理的领导班子调整、配备的意见的建议；负责市委管理干部的考察、任免、工资、待遇、出国（境）、退（离）休审批手续的办理；负责市级领导班子换届选举和届中调整的有关工作；负责县（市、区）和市直部委办局有关科级干部职务任免的备案和宏观管理工作；承办部分干部的调配、交流及安置工作；负责全市干部公开选拔工作的宏观指导、承办处级干部选拔的具体工作；负责团职军转干部安置和干部援藏援疆的有关工作；指导国家公务员制度的实施，负责全市党委、人大、政协、群众团体和民主党派等机关参照国家公务员制度管理的宏观指导；组织落实培养选拔中青年干部、女干部、少数民族干部、党外干部的有关规划和方案；指导县（市、区）和市直部委办局等部门领导班子的思想作风建设。</w:t>
      </w:r>
    </w:p>
    <w:p w14:paraId="4FE31A2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4.研究制订全市组织管理信息系统建设规划，指导全市组织系统信息网络建设；负责全市干部人事档案、党内统计、干部统计工作的宏观指导。</w:t>
      </w:r>
    </w:p>
    <w:p w14:paraId="176645E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5.负责干部监督工作的宏观指导，负责组织工作和干部工作的督促检查，及时向上级组织部门和市委反映重要情况，对反映领导班子和领导干部的重要问题进行调查了解和督办；负责对市委管理干部和干部选拔任用工作进行监督，对有关监督制度的落实情况进行督查，对省委和市委管理干部的历史遗留问题进行初审和审查。</w:t>
      </w:r>
    </w:p>
    <w:p w14:paraId="7E7CF6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6.制订干部教育工作的政策、规划、指导、协调、检查县（市、区）和市直部委办局的干部教育工作；组织、协调省委、市委管理干部和部分中青年干部的培训；承担市委干部教育工作领导小组日常工作，负责市直部委办局组织干部教育培训班次审查备案工作。</w:t>
      </w:r>
    </w:p>
    <w:p w14:paraId="46A7D9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7.牵头抓总全市人才工作和人才队伍建设，负责人才资源的开发和管理，做好培养、吸引和用好各方面人才的工作，研究制定人才队伍建设规划、政策、规定，指导、协调、检查全市人才工作；指导各行业杰出专家和学者开展有关活动。</w:t>
      </w:r>
    </w:p>
    <w:p w14:paraId="5DFAEA7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8.承办市委和上级组织部门交办的其他事项。</w:t>
      </w:r>
    </w:p>
    <w:p w14:paraId="3717DBAD">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黑体" w:hAnsi="黑体" w:eastAsia="黑体" w:cs="黑体"/>
          <w:color w:val="000000"/>
          <w:kern w:val="0"/>
          <w:sz w:val="32"/>
          <w:szCs w:val="32"/>
          <w:highlight w:val="none"/>
          <w:lang w:val="en-US" w:eastAsia="zh-CN" w:bidi="ar-SA"/>
        </w:rPr>
      </w:pPr>
      <w:r>
        <w:rPr>
          <w:rFonts w:hint="eastAsia" w:ascii="黑体" w:hAnsi="黑体" w:eastAsia="黑体" w:cs="黑体"/>
          <w:color w:val="000000"/>
          <w:kern w:val="0"/>
          <w:sz w:val="32"/>
          <w:szCs w:val="32"/>
          <w:highlight w:val="none"/>
          <w:lang w:val="en-US" w:eastAsia="zh-CN" w:bidi="ar-SA"/>
        </w:rPr>
        <w:t>二、机构设置及决算单位构成</w:t>
      </w:r>
    </w:p>
    <w:p w14:paraId="59A9591B">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27" w:firstLineChars="196"/>
        <w:jc w:val="left"/>
        <w:textAlignment w:val="auto"/>
        <w:outlineLvl w:val="9"/>
        <w:rPr>
          <w:rFonts w:hint="eastAsia" w:ascii="楷体" w:hAnsi="楷体" w:eastAsia="楷体" w:cs="楷体"/>
          <w:color w:val="000000"/>
          <w:kern w:val="0"/>
          <w:sz w:val="32"/>
          <w:szCs w:val="32"/>
          <w:highlight w:val="none"/>
          <w:lang w:val="en-US" w:eastAsia="zh-CN" w:bidi="ar-SA"/>
        </w:rPr>
      </w:pPr>
      <w:r>
        <w:rPr>
          <w:rFonts w:hint="eastAsia" w:ascii="楷体" w:hAnsi="楷体" w:eastAsia="楷体" w:cs="楷体"/>
          <w:color w:val="000000"/>
          <w:kern w:val="0"/>
          <w:sz w:val="32"/>
          <w:szCs w:val="32"/>
          <w:highlight w:val="none"/>
          <w:lang w:val="en-US" w:eastAsia="zh-CN" w:bidi="ar-SA"/>
        </w:rPr>
        <w:t>（一）内设机构设置。</w:t>
      </w:r>
    </w:p>
    <w:p w14:paraId="2C598E10">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27" w:firstLineChars="196"/>
        <w:jc w:val="left"/>
        <w:textAlignment w:val="auto"/>
        <w:outlineLvl w:val="9"/>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中共怀化市委组织部作为一级部门预算单位，内设科（室、中心）为：办公室、研究室、人事科、机关党委、基层办、组织指导科、党代表联络办、党员管理科、干部一科、干部二科、干部三科、干部规划办、公务员一科、公务员二科、公务员三科、干部信息科、干部监督科、举报中心、干部教育科、人才科、市委“两新”工委办公室、党员教育中心（信息化建设中心）、绩效评估一科、绩效评估二科、人才发展服务中心、通道转兵红色资源教育中心。</w:t>
      </w:r>
    </w:p>
    <w:p w14:paraId="473862F6">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27" w:firstLineChars="196"/>
        <w:jc w:val="left"/>
        <w:textAlignment w:val="auto"/>
        <w:outlineLvl w:val="9"/>
        <w:rPr>
          <w:rFonts w:hint="eastAsia" w:ascii="仿宋_GB2312" w:hAnsi="仿宋_GB2312" w:eastAsia="仿宋_GB2312" w:cs="仿宋_GB2312"/>
          <w:color w:val="000000"/>
          <w:kern w:val="0"/>
          <w:sz w:val="32"/>
          <w:szCs w:val="32"/>
          <w:highlight w:val="none"/>
          <w:lang w:val="en-US" w:eastAsia="zh-CN" w:bidi="ar-SA"/>
        </w:rPr>
      </w:pPr>
      <w:r>
        <w:rPr>
          <w:rFonts w:hint="eastAsia" w:ascii="楷体" w:hAnsi="楷体" w:eastAsia="楷体" w:cs="楷体"/>
          <w:color w:val="000000"/>
          <w:kern w:val="0"/>
          <w:sz w:val="32"/>
          <w:szCs w:val="32"/>
          <w:highlight w:val="none"/>
          <w:lang w:val="en-US" w:eastAsia="zh-CN" w:bidi="ar-SA"/>
        </w:rPr>
        <w:t>（二）决算单位构成。</w:t>
      </w:r>
    </w:p>
    <w:p w14:paraId="42E99C5C">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27" w:firstLineChars="196"/>
        <w:jc w:val="left"/>
        <w:textAlignment w:val="auto"/>
        <w:outlineLvl w:val="9"/>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中共怀化市委组织部2022年部门决算汇总公开单位构成包括：组织部本级。</w:t>
      </w:r>
    </w:p>
    <w:p w14:paraId="4F9DE015">
      <w:pPr>
        <w:rPr>
          <w:rFonts w:hint="eastAsia" w:ascii="方正小标宋_GBK" w:hAnsi="方正小标宋_GBK" w:eastAsia="方正小标宋_GBK" w:cs="方正小标宋_GBK"/>
          <w:sz w:val="84"/>
          <w:szCs w:val="84"/>
          <w:highlight w:val="none"/>
        </w:rPr>
      </w:pPr>
      <w:r>
        <w:rPr>
          <w:rFonts w:ascii="黑体" w:hAnsi="黑体" w:eastAsia="黑体"/>
          <w:sz w:val="28"/>
          <w:szCs w:val="28"/>
          <w:highlight w:val="none"/>
        </w:rPr>
        <w:br w:type="page"/>
      </w:r>
    </w:p>
    <w:p w14:paraId="04D31F93">
      <w:pPr>
        <w:pStyle w:val="10"/>
        <w:jc w:val="center"/>
        <w:rPr>
          <w:rFonts w:hint="eastAsia" w:ascii="方正黑体简体" w:hAnsi="方正黑体简体" w:eastAsia="方正黑体简体" w:cs="方正黑体简体"/>
          <w:sz w:val="84"/>
          <w:szCs w:val="84"/>
          <w:highlight w:val="none"/>
        </w:rPr>
      </w:pPr>
      <w:r>
        <w:rPr>
          <w:rFonts w:hint="eastAsia" w:ascii="方正黑体简体" w:hAnsi="方正黑体简体" w:eastAsia="方正黑体简体" w:cs="方正黑体简体"/>
          <w:sz w:val="84"/>
          <w:szCs w:val="84"/>
          <w:highlight w:val="none"/>
        </w:rPr>
        <w:t>第二部分</w:t>
      </w:r>
    </w:p>
    <w:p w14:paraId="6454BCE0">
      <w:pPr>
        <w:pStyle w:val="10"/>
        <w:jc w:val="center"/>
        <w:rPr>
          <w:rFonts w:hint="eastAsia" w:ascii="方正黑体简体" w:hAnsi="方正黑体简体" w:eastAsia="方正黑体简体" w:cs="方正黑体简体"/>
          <w:sz w:val="84"/>
          <w:szCs w:val="84"/>
          <w:highlight w:val="none"/>
        </w:rPr>
      </w:pPr>
      <w:r>
        <w:rPr>
          <w:rFonts w:hint="eastAsia" w:ascii="方正黑体简体" w:hAnsi="方正黑体简体" w:eastAsia="方正黑体简体" w:cs="方正黑体简体"/>
          <w:sz w:val="84"/>
          <w:szCs w:val="84"/>
          <w:highlight w:val="none"/>
        </w:rPr>
        <w:t>部门决算表</w:t>
      </w:r>
    </w:p>
    <w:p w14:paraId="0A17759F">
      <w:pPr>
        <w:pStyle w:val="10"/>
        <w:jc w:val="center"/>
        <w:rPr>
          <w:rFonts w:hint="eastAsia" w:ascii="仿宋" w:hAnsi="仿宋" w:eastAsia="仿宋" w:cs="仿宋"/>
          <w:b w:val="0"/>
          <w:bCs w:val="0"/>
          <w:sz w:val="32"/>
          <w:szCs w:val="32"/>
          <w:highlight w:val="none"/>
          <w:lang w:eastAsia="zh-CN"/>
        </w:rPr>
      </w:pPr>
      <w:r>
        <w:rPr>
          <w:rFonts w:hint="eastAsia" w:ascii="仿宋" w:hAnsi="仿宋" w:eastAsia="仿宋" w:cs="仿宋"/>
          <w:b w:val="0"/>
          <w:bCs w:val="0"/>
          <w:sz w:val="32"/>
          <w:szCs w:val="32"/>
          <w:highlight w:val="none"/>
          <w:lang w:eastAsia="zh-CN"/>
        </w:rPr>
        <w:t>（见附件）</w:t>
      </w:r>
    </w:p>
    <w:p w14:paraId="3CEDC808">
      <w:pPr>
        <w:pStyle w:val="10"/>
        <w:jc w:val="center"/>
        <w:rPr>
          <w:rFonts w:hint="eastAsia" w:ascii="仿宋" w:hAnsi="仿宋" w:eastAsia="仿宋" w:cs="仿宋"/>
          <w:b/>
          <w:bCs/>
          <w:sz w:val="32"/>
          <w:szCs w:val="32"/>
          <w:highlight w:val="none"/>
          <w:lang w:eastAsia="zh-CN"/>
        </w:rPr>
      </w:pPr>
    </w:p>
    <w:p w14:paraId="0523A05B">
      <w:pPr>
        <w:pStyle w:val="10"/>
        <w:jc w:val="center"/>
        <w:rPr>
          <w:rFonts w:hint="eastAsia" w:ascii="仿宋" w:hAnsi="仿宋" w:eastAsia="仿宋" w:cs="仿宋"/>
          <w:b/>
          <w:bCs/>
          <w:sz w:val="32"/>
          <w:szCs w:val="32"/>
          <w:highlight w:val="none"/>
          <w:lang w:eastAsia="zh-CN"/>
        </w:rPr>
      </w:pPr>
    </w:p>
    <w:p w14:paraId="180E6495">
      <w:pPr>
        <w:pStyle w:val="10"/>
        <w:jc w:val="center"/>
        <w:rPr>
          <w:rFonts w:hint="eastAsia" w:ascii="仿宋" w:hAnsi="仿宋" w:eastAsia="仿宋" w:cs="仿宋"/>
          <w:b/>
          <w:bCs/>
          <w:sz w:val="32"/>
          <w:szCs w:val="32"/>
          <w:highlight w:val="none"/>
          <w:lang w:eastAsia="zh-CN"/>
        </w:rPr>
        <w:sectPr>
          <w:pgSz w:w="11906" w:h="16838"/>
          <w:pgMar w:top="1440" w:right="1080" w:bottom="1440" w:left="1080" w:header="851" w:footer="992" w:gutter="0"/>
          <w:cols w:space="425" w:num="1"/>
          <w:docGrid w:type="lines" w:linePitch="312" w:charSpace="0"/>
        </w:sectPr>
      </w:pPr>
    </w:p>
    <w:p w14:paraId="0F875D5B">
      <w:pPr>
        <w:pStyle w:val="10"/>
        <w:ind w:firstLine="3360" w:firstLineChars="400"/>
        <w:jc w:val="both"/>
        <w:rPr>
          <w:rFonts w:hint="eastAsia" w:ascii="方正黑体简体" w:hAnsi="方正黑体简体" w:eastAsia="方正黑体简体" w:cs="方正黑体简体"/>
          <w:sz w:val="84"/>
          <w:szCs w:val="84"/>
          <w:highlight w:val="none"/>
        </w:rPr>
      </w:pPr>
    </w:p>
    <w:p w14:paraId="65000869">
      <w:pPr>
        <w:pStyle w:val="10"/>
        <w:ind w:firstLine="3360" w:firstLineChars="400"/>
        <w:jc w:val="both"/>
        <w:rPr>
          <w:rFonts w:hint="eastAsia" w:ascii="方正黑体简体" w:hAnsi="方正黑体简体" w:eastAsia="方正黑体简体" w:cs="方正黑体简体"/>
          <w:sz w:val="84"/>
          <w:szCs w:val="84"/>
          <w:highlight w:val="none"/>
        </w:rPr>
      </w:pPr>
    </w:p>
    <w:p w14:paraId="76BA89D1">
      <w:pPr>
        <w:pStyle w:val="10"/>
        <w:ind w:firstLine="3360" w:firstLineChars="400"/>
        <w:jc w:val="both"/>
        <w:rPr>
          <w:rFonts w:hint="eastAsia" w:ascii="方正黑体简体" w:hAnsi="方正黑体简体" w:eastAsia="方正黑体简体" w:cs="方正黑体简体"/>
          <w:sz w:val="84"/>
          <w:szCs w:val="84"/>
          <w:highlight w:val="none"/>
        </w:rPr>
      </w:pPr>
    </w:p>
    <w:p w14:paraId="2CAC7825">
      <w:pPr>
        <w:pStyle w:val="10"/>
        <w:ind w:firstLine="3360" w:firstLineChars="400"/>
        <w:jc w:val="both"/>
        <w:rPr>
          <w:rFonts w:hint="eastAsia" w:ascii="方正黑体简体" w:hAnsi="方正黑体简体" w:eastAsia="方正黑体简体" w:cs="方正黑体简体"/>
          <w:sz w:val="84"/>
          <w:szCs w:val="84"/>
          <w:highlight w:val="none"/>
        </w:rPr>
      </w:pPr>
      <w:bookmarkStart w:id="16" w:name="_GoBack"/>
      <w:bookmarkEnd w:id="16"/>
      <w:r>
        <w:rPr>
          <w:rFonts w:hint="eastAsia" w:ascii="方正黑体简体" w:hAnsi="方正黑体简体" w:eastAsia="方正黑体简体" w:cs="方正黑体简体"/>
          <w:sz w:val="84"/>
          <w:szCs w:val="84"/>
          <w:highlight w:val="none"/>
        </w:rPr>
        <w:t>第三部分</w:t>
      </w:r>
    </w:p>
    <w:p w14:paraId="168EF023">
      <w:pPr>
        <w:pStyle w:val="10"/>
        <w:jc w:val="center"/>
        <w:rPr>
          <w:rFonts w:hint="eastAsia" w:ascii="方正黑体简体" w:hAnsi="方正黑体简体" w:eastAsia="方正黑体简体" w:cs="方正黑体简体"/>
          <w:sz w:val="84"/>
          <w:szCs w:val="84"/>
          <w:highlight w:val="none"/>
        </w:rPr>
      </w:pPr>
      <w:r>
        <w:rPr>
          <w:rFonts w:hint="eastAsia" w:ascii="方正黑体简体" w:hAnsi="方正黑体简体" w:eastAsia="方正黑体简体" w:cs="方正黑体简体"/>
          <w:sz w:val="84"/>
          <w:szCs w:val="84"/>
          <w:highlight w:val="none"/>
        </w:rPr>
        <w:t>202</w:t>
      </w:r>
      <w:r>
        <w:rPr>
          <w:rFonts w:hint="eastAsia" w:ascii="方正黑体简体" w:hAnsi="方正黑体简体" w:eastAsia="方正黑体简体" w:cs="方正黑体简体"/>
          <w:sz w:val="84"/>
          <w:szCs w:val="84"/>
          <w:highlight w:val="none"/>
          <w:lang w:val="en-US" w:eastAsia="zh-CN"/>
        </w:rPr>
        <w:t>2</w:t>
      </w:r>
      <w:r>
        <w:rPr>
          <w:rFonts w:hint="eastAsia" w:ascii="方正黑体简体" w:hAnsi="方正黑体简体" w:eastAsia="方正黑体简体" w:cs="方正黑体简体"/>
          <w:sz w:val="84"/>
          <w:szCs w:val="84"/>
          <w:highlight w:val="none"/>
        </w:rPr>
        <w:t>年度部门决算情况说明</w:t>
      </w:r>
    </w:p>
    <w:p w14:paraId="7AF0D021">
      <w:pPr>
        <w:widowControl/>
        <w:jc w:val="left"/>
        <w:rPr>
          <w:rFonts w:hint="eastAsia" w:ascii="方正黑体简体" w:hAnsi="方正黑体简体" w:eastAsia="方正黑体简体" w:cs="方正黑体简体"/>
          <w:sz w:val="84"/>
          <w:szCs w:val="84"/>
          <w:highlight w:val="none"/>
        </w:rPr>
      </w:pPr>
      <w:r>
        <w:rPr>
          <w:rFonts w:hint="eastAsia" w:ascii="方正黑体简体" w:hAnsi="方正黑体简体" w:eastAsia="方正黑体简体" w:cs="方正黑体简体"/>
          <w:sz w:val="84"/>
          <w:szCs w:val="84"/>
          <w:highlight w:val="none"/>
        </w:rPr>
        <w:br w:type="page"/>
      </w:r>
    </w:p>
    <w:p w14:paraId="507817BB">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0"/>
          <w:sz w:val="32"/>
          <w:szCs w:val="32"/>
          <w:highlight w:val="none"/>
          <w:lang w:val="en-US" w:eastAsia="zh-CN" w:bidi="ar-SA"/>
        </w:rPr>
      </w:pPr>
      <w:r>
        <w:rPr>
          <w:rFonts w:hint="eastAsia" w:ascii="黑体" w:hAnsi="黑体" w:eastAsia="黑体" w:cs="黑体"/>
          <w:color w:val="000000"/>
          <w:kern w:val="0"/>
          <w:sz w:val="32"/>
          <w:szCs w:val="32"/>
          <w:highlight w:val="none"/>
          <w:lang w:val="en-US" w:eastAsia="zh-CN" w:bidi="ar-SA"/>
        </w:rPr>
        <w:t>一、收入支出决算总体情况说明</w:t>
      </w:r>
    </w:p>
    <w:p w14:paraId="73989A52">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2022年度收、支总计</w:t>
      </w:r>
      <w:r>
        <w:rPr>
          <w:rFonts w:hint="eastAsia" w:ascii="仿宋" w:hAnsi="仿宋" w:eastAsia="仿宋" w:cs="仿宋"/>
          <w:sz w:val="32"/>
          <w:szCs w:val="32"/>
          <w:highlight w:val="none"/>
        </w:rPr>
        <w:t>均为</w:t>
      </w:r>
      <w:r>
        <w:rPr>
          <w:rFonts w:hint="eastAsia" w:ascii="仿宋_GB2312" w:hAnsi="仿宋_GB2312" w:eastAsia="仿宋_GB2312" w:cs="仿宋_GB2312"/>
          <w:color w:val="000000"/>
          <w:kern w:val="0"/>
          <w:sz w:val="32"/>
          <w:szCs w:val="32"/>
          <w:highlight w:val="none"/>
          <w:lang w:val="en-US" w:eastAsia="zh-CN" w:bidi="ar-SA"/>
        </w:rPr>
        <w:t>2447.17万元。与上年相比，增加474.75万元，增长24.07%，主要原因：一是部分2021年底未支付成功款项在2022年支付，按“以支定收”收入与支出计入2022年。二是奖金发放模式调整，2022年发放范围为2021-2022年，故收入与支出均较上年有所增长。</w:t>
      </w:r>
    </w:p>
    <w:p w14:paraId="6D83B8A5">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0"/>
          <w:sz w:val="32"/>
          <w:szCs w:val="32"/>
          <w:highlight w:val="none"/>
          <w:lang w:val="en-US" w:eastAsia="zh-CN" w:bidi="ar-SA"/>
        </w:rPr>
      </w:pPr>
      <w:r>
        <w:rPr>
          <w:rFonts w:hint="eastAsia" w:ascii="黑体" w:hAnsi="黑体" w:eastAsia="黑体" w:cs="黑体"/>
          <w:color w:val="000000"/>
          <w:kern w:val="0"/>
          <w:sz w:val="32"/>
          <w:szCs w:val="32"/>
          <w:highlight w:val="none"/>
          <w:lang w:val="en-US" w:eastAsia="zh-CN" w:bidi="ar-SA"/>
        </w:rPr>
        <w:t>二、收入决算情况说明</w:t>
      </w:r>
    </w:p>
    <w:p w14:paraId="528804F2">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2022年度收入合计2447.17万元，其中：财政拨款收入2447.17万元，占100%。</w:t>
      </w:r>
    </w:p>
    <w:p w14:paraId="362CD09C">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0"/>
          <w:sz w:val="32"/>
          <w:szCs w:val="32"/>
          <w:highlight w:val="none"/>
          <w:lang w:val="en-US" w:eastAsia="zh-CN" w:bidi="ar-SA"/>
        </w:rPr>
      </w:pPr>
      <w:r>
        <w:rPr>
          <w:rFonts w:hint="eastAsia" w:ascii="黑体" w:hAnsi="黑体" w:eastAsia="黑体" w:cs="黑体"/>
          <w:color w:val="000000"/>
          <w:kern w:val="0"/>
          <w:sz w:val="32"/>
          <w:szCs w:val="32"/>
          <w:highlight w:val="none"/>
          <w:lang w:val="en-US" w:eastAsia="zh-CN" w:bidi="ar-SA"/>
        </w:rPr>
        <w:t>三、支出决算情况说明</w:t>
      </w:r>
    </w:p>
    <w:p w14:paraId="5965C340">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2022年度支出合计2447.17万元，其中：基本支出1686.42万元，占68.91%；项目支出760.75万元，占31.09%。</w:t>
      </w:r>
    </w:p>
    <w:p w14:paraId="6F9395D0">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0"/>
          <w:sz w:val="32"/>
          <w:szCs w:val="32"/>
          <w:highlight w:val="none"/>
          <w:lang w:val="en-US" w:eastAsia="zh-CN" w:bidi="ar-SA"/>
        </w:rPr>
      </w:pPr>
      <w:r>
        <w:rPr>
          <w:rFonts w:hint="eastAsia" w:ascii="黑体" w:hAnsi="黑体" w:eastAsia="黑体" w:cs="黑体"/>
          <w:color w:val="000000"/>
          <w:kern w:val="0"/>
          <w:sz w:val="32"/>
          <w:szCs w:val="32"/>
          <w:highlight w:val="none"/>
          <w:lang w:val="en-US" w:eastAsia="zh-CN" w:bidi="ar-SA"/>
        </w:rPr>
        <w:t>四、财政拨款收入支出决算总体情况说明</w:t>
      </w:r>
    </w:p>
    <w:p w14:paraId="338F1E8B">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2022年度财政拨款收、支总计</w:t>
      </w:r>
      <w:r>
        <w:rPr>
          <w:rFonts w:hint="eastAsia" w:ascii="仿宋" w:hAnsi="仿宋" w:eastAsia="仿宋" w:cs="仿宋"/>
          <w:sz w:val="32"/>
          <w:szCs w:val="32"/>
          <w:highlight w:val="none"/>
        </w:rPr>
        <w:t>均为</w:t>
      </w:r>
      <w:r>
        <w:rPr>
          <w:rFonts w:hint="eastAsia" w:ascii="仿宋_GB2312" w:hAnsi="仿宋_GB2312" w:eastAsia="仿宋_GB2312" w:cs="仿宋_GB2312"/>
          <w:color w:val="000000"/>
          <w:kern w:val="0"/>
          <w:sz w:val="32"/>
          <w:szCs w:val="32"/>
          <w:highlight w:val="none"/>
          <w:lang w:val="en-US" w:eastAsia="zh-CN" w:bidi="ar-SA"/>
        </w:rPr>
        <w:t>2447.17万元，与上年相比，增加486.99万元,增长24.84%，主要原因：一是部分2021年底未支付成功款项在2022年支付，按“以支定收”收入与支出计入2022年。二是奖金发放模式调整，2022年发放范围为2021-2022年，故收入与支出均较上年有所增长。</w:t>
      </w:r>
    </w:p>
    <w:p w14:paraId="5EBB745B">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0"/>
          <w:sz w:val="32"/>
          <w:szCs w:val="32"/>
          <w:highlight w:val="none"/>
          <w:lang w:val="en-US" w:eastAsia="zh-CN" w:bidi="ar-SA"/>
        </w:rPr>
      </w:pPr>
      <w:r>
        <w:rPr>
          <w:rFonts w:hint="eastAsia" w:ascii="黑体" w:hAnsi="黑体" w:eastAsia="黑体" w:cs="黑体"/>
          <w:color w:val="000000"/>
          <w:kern w:val="0"/>
          <w:sz w:val="32"/>
          <w:szCs w:val="32"/>
          <w:highlight w:val="none"/>
          <w:lang w:val="en-US" w:eastAsia="zh-CN" w:bidi="ar-SA"/>
        </w:rPr>
        <w:t>五、一般公共预算财政拨款支出决算情况说明</w:t>
      </w:r>
    </w:p>
    <w:p w14:paraId="08282414">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color w:val="000000"/>
          <w:kern w:val="0"/>
          <w:sz w:val="32"/>
          <w:szCs w:val="32"/>
          <w:highlight w:val="none"/>
          <w:lang w:val="en-US" w:eastAsia="zh-CN" w:bidi="ar-SA"/>
        </w:rPr>
      </w:pPr>
      <w:r>
        <w:rPr>
          <w:rFonts w:hint="eastAsia" w:ascii="楷体" w:hAnsi="楷体" w:eastAsia="楷体" w:cs="楷体"/>
          <w:color w:val="000000"/>
          <w:kern w:val="0"/>
          <w:sz w:val="32"/>
          <w:szCs w:val="32"/>
          <w:highlight w:val="none"/>
          <w:lang w:val="en-US" w:eastAsia="zh-CN" w:bidi="ar-SA"/>
        </w:rPr>
        <w:t>（一）财政拨款支出决算总体情况</w:t>
      </w:r>
    </w:p>
    <w:p w14:paraId="5262976E">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财政拨款支出2447.17万元，占本年支出合计的100%，与上年相比，财政拨款支出增加486.99万元，增长24.84%，主要原因：一是部分2021年底未支付成功款项在2022年支付，按“以支定收”收入与支出计入2022年。二是奖金发放模式调整，2022年发放范围为2021-2022年，故收入与支出均较上年有所增长。</w:t>
      </w:r>
    </w:p>
    <w:p w14:paraId="3411E071">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color w:val="000000"/>
          <w:kern w:val="0"/>
          <w:sz w:val="32"/>
          <w:szCs w:val="32"/>
          <w:highlight w:val="none"/>
          <w:lang w:val="en-US" w:eastAsia="zh-CN" w:bidi="ar-SA"/>
        </w:rPr>
      </w:pPr>
      <w:r>
        <w:rPr>
          <w:rFonts w:hint="eastAsia" w:ascii="楷体" w:hAnsi="楷体" w:eastAsia="楷体" w:cs="楷体"/>
          <w:color w:val="000000"/>
          <w:kern w:val="0"/>
          <w:sz w:val="32"/>
          <w:szCs w:val="32"/>
          <w:highlight w:val="none"/>
          <w:lang w:val="en-US" w:eastAsia="zh-CN" w:bidi="ar-SA"/>
        </w:rPr>
        <w:t>（二）财政拨款支出决算结构情况</w:t>
      </w:r>
    </w:p>
    <w:p w14:paraId="712B1832">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财政拨款支出2447.17万元，主要用于以下方面：一般公共服务（类）支出2139.70万元，占87.43%；社会保障和就业（类）支出88.84万元，占3.63%；卫生健康（类）支出45.18万元，占1.85%；农林水（类）支出156.35万元，占6.39%；资源勘探工业信息等（类）支出17.1万元，占0.70%。</w:t>
      </w:r>
    </w:p>
    <w:p w14:paraId="6553A577">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楷体" w:hAnsi="楷体" w:eastAsia="楷体" w:cs="楷体"/>
          <w:color w:val="000000"/>
          <w:kern w:val="0"/>
          <w:sz w:val="32"/>
          <w:szCs w:val="32"/>
          <w:highlight w:val="none"/>
          <w:lang w:val="en-US" w:eastAsia="zh-CN" w:bidi="ar-SA"/>
        </w:rPr>
      </w:pPr>
      <w:r>
        <w:rPr>
          <w:rFonts w:hint="eastAsia" w:ascii="楷体" w:hAnsi="楷体" w:eastAsia="楷体" w:cs="楷体"/>
          <w:color w:val="000000"/>
          <w:kern w:val="0"/>
          <w:sz w:val="32"/>
          <w:szCs w:val="32"/>
          <w:highlight w:val="none"/>
          <w:lang w:val="en-US" w:eastAsia="zh-CN" w:bidi="ar-SA"/>
        </w:rPr>
        <w:t>（三）财政拨款支出决算具体情况</w:t>
      </w:r>
    </w:p>
    <w:p w14:paraId="7D43F203">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2022年度财政拨款支出年初预算数为1584.55万元，支出决算数为2447.17万元，完成年初预算的154.44%，其中：</w:t>
      </w:r>
    </w:p>
    <w:p w14:paraId="4C326EEC">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1、一般公共服务（类）组织事务（款）行政运行（项）。</w:t>
      </w:r>
    </w:p>
    <w:p w14:paraId="54A1D0A3">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年初预算为1212.88万元，支出决算为1354.84万元，完成年初预算的111.70%，决算数大于年初预算数的主要原因是：人员调整及部分人员支出由财政统筹，不属于部机关年初预算范围。</w:t>
      </w:r>
    </w:p>
    <w:p w14:paraId="0CCD5A8F">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2、一般公共服务（类）组织事务（款）公务员事务（项）。</w:t>
      </w:r>
    </w:p>
    <w:p w14:paraId="059535DF">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年初预算为69万元，支出决算为95.96万元，完成年初预算的139.07%，决算数大于年初预算数的主要原因是：2022年无非税收入，公务员面试支出全部为财政拨款。</w:t>
      </w:r>
    </w:p>
    <w:p w14:paraId="1AEB97C7">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3、一般公共服务（类）组织事务（款）其他组织事务支出（项）。</w:t>
      </w:r>
    </w:p>
    <w:p w14:paraId="0EE46C09">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年初预算为176万元，支出决算为688.90万元，完成年初预算的391.42%，决算数大于年初预算数的主要原因：一是基层组织服务群众经费、人才资源开发专项经费、部分人员支出由财政统筹，不属于部机关年初预算范围。二是2021年底部分费用未支付成功，在2022年完成支付。</w:t>
      </w:r>
    </w:p>
    <w:p w14:paraId="1C1ECC33">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4、社会保障和就业支出（类）行政事业单位养老支出（款）行政单位离退休（项）。</w:t>
      </w:r>
    </w:p>
    <w:p w14:paraId="424DD099">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年初预算为12.03万元，支出决算为1.75万元，完成年初预算的14.55%，决算数小于年初预算数的主要原因是：年初预算数包含退休人员工资，该项由人社局统一发放，不列入部机关开支。</w:t>
      </w:r>
    </w:p>
    <w:p w14:paraId="0390B584">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5、社会保障和就业支出（类）行政事业单位养老支出（款）机关事业单位基本养老保险缴费支出（项）。</w:t>
      </w:r>
    </w:p>
    <w:p w14:paraId="0F333DE1">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年初预算为74.87万元，支出决算为78.54万元，完成年初预算的104.9%，决算数大于小于年初预算数的主要原因是：人员变动导致养老保险费用变动。</w:t>
      </w:r>
    </w:p>
    <w:p w14:paraId="6C268FF8">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6、社会保障和就业支出（类）行政事业单位养老支出（款）其他行政事业单位养老支出（项）</w:t>
      </w:r>
    </w:p>
    <w:p w14:paraId="0A6B10F8">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年初预算为0万元，支出决算为8.55万元，由于预算数为0，无法计算百分比，决算数大于年初预算数的主要原因是：退休人员一次性生活补助由财政统筹，不纳入部门年初预算。</w:t>
      </w:r>
    </w:p>
    <w:p w14:paraId="02E8730F">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7、卫生健康支出（类）公共卫生（款）突发公共卫生事件应急处理（项）。</w:t>
      </w:r>
    </w:p>
    <w:p w14:paraId="2EF55C47">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年初预算为0万元，支出决算为5.91万元，由于预算数为0，无法计算百分比，决算数大于年初预算数的主要原因是：疫情期间临时费用，不在年初部门预算范围内。</w:t>
      </w:r>
    </w:p>
    <w:p w14:paraId="58C27E3A">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8、卫生健康支出（类）行政事业单位医疗（款）行政单位医疗（项）。</w:t>
      </w:r>
    </w:p>
    <w:p w14:paraId="24690829">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年初预算为39.77万元，支出决算为39.27万元，完成年初预算的98.74%，决算数小于年初预算数的主要原因是：社保人员变动。</w:t>
      </w:r>
    </w:p>
    <w:p w14:paraId="33826033">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9、农林水支出（类）农业农村（款）对高校毕业生到基层任职补助（项）。</w:t>
      </w:r>
    </w:p>
    <w:p w14:paraId="7CFC2AEA">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年初预算为0万元，支出决算为15万元，由于预算数为0，无法计算百分比，决算数大于年初预算数的主要原因是：该项经费为省财政厅下拨，不在部机关年初预算范围内。</w:t>
      </w:r>
    </w:p>
    <w:p w14:paraId="1B842111">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10、农林水支出（类）农业农村（款）其他农业农村支出（项）。</w:t>
      </w:r>
    </w:p>
    <w:p w14:paraId="4B9FA474">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年初预算为0万元，支出决算为23.59万元，由于预算数为0，无法计算百分比，决算数大于年初预算数的主要原因是：基层组织服务群众经费不属于部机关年初预算范围。</w:t>
      </w:r>
    </w:p>
    <w:p w14:paraId="61E9B4EF">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11、农林水支出（类）巩固脱贫衔接乡村振兴（款）其他巩固脱贫衔接乡村振兴支出（项）。</w:t>
      </w:r>
    </w:p>
    <w:p w14:paraId="2A3AFAB1">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年初预算为0万元，支出决算为117.76万元，由于预算数为0，无法计算百分比，决算数大于年初预算数的主要原因是：驻村办工作经费不属于部机关年初预算范围。</w:t>
      </w:r>
    </w:p>
    <w:p w14:paraId="5CF6F3CF">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12、资源勘探工业信息等支出（类）工业和信息产业监管（款）其他工业和信息产业监管支出（项）。</w:t>
      </w:r>
    </w:p>
    <w:p w14:paraId="2DFA6D5C">
      <w:pPr>
        <w:pStyle w:val="10"/>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年初预算为0万元，支出决算为17.10万元，由于预算数为0，无法计算百分比，决算数大于年初预算数的主要原因是：智慧怀化专项资金不属于部机关年初预算范围。</w:t>
      </w:r>
    </w:p>
    <w:p w14:paraId="678C3411">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0"/>
          <w:sz w:val="32"/>
          <w:szCs w:val="32"/>
          <w:highlight w:val="none"/>
          <w:lang w:val="en-US" w:eastAsia="zh-CN" w:bidi="ar-SA"/>
        </w:rPr>
      </w:pPr>
      <w:r>
        <w:rPr>
          <w:rFonts w:hint="eastAsia" w:ascii="黑体" w:hAnsi="黑体" w:eastAsia="黑体" w:cs="黑体"/>
          <w:color w:val="000000"/>
          <w:kern w:val="0"/>
          <w:sz w:val="32"/>
          <w:szCs w:val="32"/>
          <w:highlight w:val="none"/>
          <w:lang w:val="en-US" w:eastAsia="zh-CN" w:bidi="ar-SA"/>
        </w:rPr>
        <w:t>六、一般公共预算财政拨款基本支出决算情况说明</w:t>
      </w:r>
    </w:p>
    <w:p w14:paraId="5C2DD161">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财政拨款基本支出1686.42万元，其中：人员经费1138.52万元，占基本支出的67.51%,主要包括基本工资、津贴补贴、奖金、伙食补助费、机关事业单位基本养老保险缴费、职工基本医疗保险缴费、其他社会保障缴费、退休费等。公用经费547.9万元，占基本支出的32.49%，主要包括办公费、印刷费、邮电费、差旅费、维修（护）费、租赁费、会议费、培训费、公务接待费、劳务费、工会经费、福利费、公务用车运行维护费、其他交通费用、其他商品和服务支出、办公设备购置。</w:t>
      </w:r>
    </w:p>
    <w:p w14:paraId="284E0AC5">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0"/>
          <w:sz w:val="32"/>
          <w:szCs w:val="32"/>
          <w:highlight w:val="none"/>
          <w:lang w:val="en-US" w:eastAsia="zh-CN" w:bidi="ar-SA"/>
        </w:rPr>
      </w:pPr>
      <w:r>
        <w:rPr>
          <w:rFonts w:hint="eastAsia" w:ascii="黑体" w:hAnsi="黑体" w:eastAsia="黑体" w:cs="黑体"/>
          <w:color w:val="000000"/>
          <w:kern w:val="0"/>
          <w:sz w:val="32"/>
          <w:szCs w:val="32"/>
          <w:highlight w:val="none"/>
          <w:lang w:val="en-US" w:eastAsia="zh-CN" w:bidi="ar-SA"/>
        </w:rPr>
        <w:t>七、财政拨款三公经费支出决算情况说明</w:t>
      </w:r>
    </w:p>
    <w:p w14:paraId="3CCA76EC">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color w:val="000000"/>
          <w:kern w:val="0"/>
          <w:sz w:val="32"/>
          <w:szCs w:val="32"/>
          <w:highlight w:val="none"/>
          <w:lang w:val="en-US" w:eastAsia="zh-CN" w:bidi="ar-SA"/>
        </w:rPr>
      </w:pPr>
      <w:r>
        <w:rPr>
          <w:rFonts w:hint="eastAsia" w:ascii="楷体" w:hAnsi="楷体" w:eastAsia="楷体" w:cs="楷体"/>
          <w:color w:val="000000"/>
          <w:kern w:val="0"/>
          <w:sz w:val="32"/>
          <w:szCs w:val="32"/>
          <w:highlight w:val="none"/>
          <w:lang w:val="en-US" w:eastAsia="zh-CN" w:bidi="ar-SA"/>
        </w:rPr>
        <w:t>（一）“三公”经费财政拨款支出决算总体情况说明</w:t>
      </w:r>
    </w:p>
    <w:p w14:paraId="020A7776">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“三公”经费财政拨款支出预算为70.03万元，支出决算为23.70万元，完成预算的33.84%，</w:t>
      </w:r>
      <w:r>
        <w:rPr>
          <w:rFonts w:hint="eastAsia" w:ascii="Times New Roman" w:hAnsi="Times New Roman" w:eastAsia="仿宋_GB2312"/>
          <w:sz w:val="32"/>
          <w:szCs w:val="32"/>
          <w:highlight w:val="none"/>
        </w:rPr>
        <w:t>决算数小于预算数的主要原因是</w:t>
      </w:r>
      <w:r>
        <w:rPr>
          <w:rFonts w:hint="eastAsia" w:ascii="仿宋" w:hAnsi="仿宋" w:eastAsia="仿宋"/>
          <w:sz w:val="32"/>
          <w:szCs w:val="32"/>
          <w:highlight w:val="none"/>
        </w:rPr>
        <w:t>落实过“紧日子”要求，严格执行开支标准</w:t>
      </w:r>
      <w:r>
        <w:rPr>
          <w:rFonts w:hint="eastAsia" w:ascii="仿宋" w:hAnsi="仿宋" w:eastAsia="仿宋"/>
          <w:sz w:val="32"/>
          <w:szCs w:val="32"/>
          <w:highlight w:val="none"/>
          <w:lang w:eastAsia="zh-CN"/>
        </w:rPr>
        <w:t>，</w:t>
      </w:r>
      <w:r>
        <w:rPr>
          <w:rFonts w:hint="eastAsia" w:ascii="Times New Roman" w:hAnsi="Times New Roman" w:eastAsia="仿宋_GB2312"/>
          <w:sz w:val="32"/>
          <w:szCs w:val="32"/>
          <w:highlight w:val="none"/>
          <w:lang w:val="en-US" w:eastAsia="zh-CN"/>
        </w:rPr>
        <w:t>厉行节约；</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val="en-US" w:eastAsia="zh-CN"/>
        </w:rPr>
        <w:t>增加6.47</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增加37.55</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增加</w:t>
      </w:r>
      <w:r>
        <w:rPr>
          <w:rFonts w:hint="eastAsia" w:ascii="Times New Roman" w:hAnsi="Times New Roman" w:eastAsia="仿宋_GB2312"/>
          <w:sz w:val="32"/>
          <w:szCs w:val="32"/>
          <w:highlight w:val="none"/>
        </w:rPr>
        <w:t>的主要原因是</w:t>
      </w:r>
      <w:r>
        <w:rPr>
          <w:rFonts w:hint="eastAsia" w:ascii="仿宋_GB2312" w:hAnsi="仿宋_GB2312" w:eastAsia="仿宋_GB2312" w:cs="仿宋_GB2312"/>
          <w:color w:val="000000"/>
          <w:kern w:val="0"/>
          <w:sz w:val="32"/>
          <w:szCs w:val="32"/>
          <w:highlight w:val="none"/>
          <w:lang w:val="en-US" w:eastAsia="zh-CN" w:bidi="ar-SA"/>
        </w:rPr>
        <w:t>2021年的部分费用在2022年陆续结算支付完成</w:t>
      </w:r>
      <w:r>
        <w:rPr>
          <w:rFonts w:hint="eastAsia" w:ascii="Times New Roman" w:hAnsi="Times New Roman" w:eastAsia="仿宋_GB2312"/>
          <w:sz w:val="32"/>
          <w:szCs w:val="32"/>
          <w:highlight w:val="none"/>
          <w:lang w:val="en-US" w:eastAsia="zh-CN"/>
        </w:rPr>
        <w:t>，</w:t>
      </w:r>
      <w:r>
        <w:rPr>
          <w:rFonts w:hint="eastAsia" w:ascii="仿宋_GB2312" w:hAnsi="仿宋_GB2312" w:eastAsia="仿宋_GB2312" w:cs="仿宋_GB2312"/>
          <w:color w:val="000000"/>
          <w:kern w:val="0"/>
          <w:sz w:val="32"/>
          <w:szCs w:val="32"/>
          <w:highlight w:val="none"/>
          <w:lang w:val="en-US" w:eastAsia="zh-CN" w:bidi="ar-SA"/>
        </w:rPr>
        <w:t>其中：</w:t>
      </w:r>
    </w:p>
    <w:p w14:paraId="78B3DD20">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因公出国(境)费支出预算为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是单位未</w:t>
      </w:r>
      <w:r>
        <w:rPr>
          <w:rFonts w:hint="eastAsia" w:ascii="仿宋_GB2312" w:hAnsi="仿宋_GB2312" w:eastAsia="仿宋_GB2312" w:cs="仿宋_GB2312"/>
          <w:sz w:val="32"/>
          <w:szCs w:val="32"/>
          <w:highlight w:val="none"/>
        </w:rPr>
        <w:t>因公出国（境），</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主要原因是单位未</w:t>
      </w:r>
      <w:r>
        <w:rPr>
          <w:rFonts w:hint="eastAsia" w:ascii="仿宋_GB2312" w:hAnsi="仿宋_GB2312" w:eastAsia="仿宋_GB2312" w:cs="仿宋_GB2312"/>
          <w:sz w:val="32"/>
          <w:szCs w:val="32"/>
          <w:highlight w:val="none"/>
        </w:rPr>
        <w:t>因公出国（境）。</w:t>
      </w:r>
    </w:p>
    <w:p w14:paraId="0B1800DC">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公务接待费支出预算为37.27万元，支出决算为3.37万元，完成预算的9.04%，决算数小于预算数的主要原因是控制经费，与上年相比增加2.8万元，增长491.23%,增长的主要原因是2021年的部分费用在2022年陆续结算支付完成。</w:t>
      </w:r>
    </w:p>
    <w:p w14:paraId="5E06A614">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sz w:val="32"/>
          <w:szCs w:val="32"/>
          <w:highlight w:val="none"/>
        </w:rPr>
        <w:t>公务用车购置费支出预算为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p>
    <w:p w14:paraId="023415C5">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公务用车运行维护费支出预算为32.76万元，支出决算为20.33万元，完成预算的62.06%，决算数小于预算数的主要原因是控制经费，与上年相比增加3.67万元，增长22.03%,增长的主要原因是车辆老化，维修费用增加。</w:t>
      </w:r>
    </w:p>
    <w:p w14:paraId="7495C87E">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color w:val="000000"/>
          <w:kern w:val="0"/>
          <w:sz w:val="32"/>
          <w:szCs w:val="32"/>
          <w:highlight w:val="none"/>
          <w:lang w:val="en-US" w:eastAsia="zh-CN" w:bidi="ar-SA"/>
        </w:rPr>
      </w:pPr>
      <w:r>
        <w:rPr>
          <w:rFonts w:hint="eastAsia" w:ascii="楷体" w:hAnsi="楷体" w:eastAsia="楷体" w:cs="楷体"/>
          <w:color w:val="000000"/>
          <w:kern w:val="0"/>
          <w:sz w:val="32"/>
          <w:szCs w:val="32"/>
          <w:highlight w:val="none"/>
          <w:lang w:val="en-US" w:eastAsia="zh-CN" w:bidi="ar-SA"/>
        </w:rPr>
        <w:t>（二）“三公”经费财政拨款支出决算具体情况说明</w:t>
      </w:r>
    </w:p>
    <w:p w14:paraId="2394BAE1">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2022年度“三公”经费财政拨款支出决算中，公务接待费支出决算3.37万元，占14.22%,因公出国（境）费支出决算0万元,公务用车购置费及运行维护费支出决算20.33万元，占85.78%。其中：</w:t>
      </w:r>
    </w:p>
    <w:p w14:paraId="02E24163">
      <w:pPr>
        <w:pStyle w:val="1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1、因公出国（境）费支出决算为0万元，全年安排因公出国（境）团组0个，</w:t>
      </w:r>
      <w:r>
        <w:rPr>
          <w:rFonts w:hint="eastAsia" w:ascii="仿宋" w:hAnsi="仿宋" w:eastAsia="仿宋" w:cs="仿宋"/>
          <w:color w:val="000000"/>
          <w:kern w:val="0"/>
          <w:sz w:val="32"/>
          <w:szCs w:val="32"/>
          <w:highlight w:val="none"/>
          <w:lang w:val="en-US" w:eastAsia="zh-CN" w:bidi="ar-SA"/>
        </w:rPr>
        <w:t>累计</w:t>
      </w:r>
      <w:bookmarkStart w:id="0" w:name="THERR_YGCGJFY_TZRS"/>
      <w:r>
        <w:rPr>
          <w:rFonts w:hint="eastAsia" w:ascii="仿宋_GB2312" w:hAnsi="仿宋_GB2312" w:eastAsia="仿宋_GB2312" w:cs="仿宋_GB2312"/>
          <w:color w:val="000000"/>
          <w:kern w:val="0"/>
          <w:sz w:val="32"/>
          <w:szCs w:val="32"/>
          <w:highlight w:val="none"/>
          <w:lang w:val="en-US" w:eastAsia="zh-CN" w:bidi="ar-SA"/>
        </w:rPr>
        <w:t>0</w:t>
      </w:r>
      <w:bookmarkEnd w:id="0"/>
      <w:r>
        <w:rPr>
          <w:rFonts w:hint="eastAsia" w:ascii="仿宋_GB2312" w:hAnsi="仿宋_GB2312" w:eastAsia="仿宋_GB2312" w:cs="仿宋_GB2312"/>
          <w:color w:val="000000"/>
          <w:kern w:val="0"/>
          <w:sz w:val="32"/>
          <w:szCs w:val="32"/>
          <w:highlight w:val="none"/>
          <w:lang w:val="en-US" w:eastAsia="zh-CN" w:bidi="ar-SA"/>
        </w:rPr>
        <w:t>人次，主要是</w:t>
      </w:r>
      <w:bookmarkStart w:id="1" w:name="THERR_YGCGJFY_ZYYY"/>
      <w:r>
        <w:rPr>
          <w:rFonts w:hint="eastAsia" w:ascii="仿宋_GB2312" w:hAnsi="仿宋_GB2312" w:eastAsia="仿宋_GB2312" w:cs="仿宋_GB2312"/>
          <w:color w:val="000000"/>
          <w:kern w:val="0"/>
          <w:sz w:val="32"/>
          <w:szCs w:val="32"/>
          <w:highlight w:val="none"/>
          <w:lang w:val="en-US" w:eastAsia="zh-CN" w:bidi="ar-SA"/>
        </w:rPr>
        <w:t>2022年我单位没有因公出国（境）费支出</w:t>
      </w:r>
      <w:bookmarkEnd w:id="1"/>
      <w:bookmarkStart w:id="2" w:name="END_THERR_YGCGJFY_AMT"/>
      <w:bookmarkEnd w:id="2"/>
      <w:r>
        <w:rPr>
          <w:rFonts w:hint="eastAsia" w:ascii="仿宋_GB2312" w:hAnsi="仿宋_GB2312" w:eastAsia="仿宋_GB2312" w:cs="仿宋_GB2312"/>
          <w:color w:val="000000"/>
          <w:kern w:val="0"/>
          <w:sz w:val="32"/>
          <w:szCs w:val="32"/>
          <w:highlight w:val="none"/>
          <w:lang w:val="en-US" w:eastAsia="zh-CN" w:bidi="ar-SA"/>
        </w:rPr>
        <w:t>。</w:t>
      </w:r>
    </w:p>
    <w:p w14:paraId="240B17E8">
      <w:pPr>
        <w:pStyle w:val="1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2、公务接待费支出决算为3.37万元，全年共接待来访团组28个、来宾241人次，主要是考察干部、指导工作、调研等发生的接待支出。</w:t>
      </w:r>
    </w:p>
    <w:p w14:paraId="2F1FB361">
      <w:pPr>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3、公务用车购置费及运行维护费支出决算为20.33万元，其中：公务用车购置费0万元，组织部本级更新公务用车0辆。公务用车运行维护费20.33万元，主要是车辆加油费、维修费、保险费、通行费等支出，截止2022年12月31日，我单位开支财政拨款的公务用车保有量为3辆。</w:t>
      </w:r>
    </w:p>
    <w:p w14:paraId="78690395">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0"/>
          <w:sz w:val="32"/>
          <w:szCs w:val="32"/>
          <w:highlight w:val="none"/>
          <w:lang w:val="en-US" w:eastAsia="zh-CN" w:bidi="ar-SA"/>
        </w:rPr>
      </w:pPr>
      <w:r>
        <w:rPr>
          <w:rFonts w:hint="eastAsia" w:ascii="黑体" w:hAnsi="黑体" w:eastAsia="黑体" w:cs="黑体"/>
          <w:color w:val="000000"/>
          <w:kern w:val="0"/>
          <w:sz w:val="32"/>
          <w:szCs w:val="32"/>
          <w:highlight w:val="none"/>
          <w:lang w:val="en-US" w:eastAsia="zh-CN" w:bidi="ar-SA"/>
        </w:rPr>
        <w:t>八、政府性基金预算收入支出决算情况</w:t>
      </w:r>
    </w:p>
    <w:p w14:paraId="468C8BCB">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2022年度本部门无政府性基金收支。</w:t>
      </w:r>
    </w:p>
    <w:p w14:paraId="4C725117">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hAnsi="黑体" w:cs="黑体"/>
          <w:color w:val="000000"/>
          <w:kern w:val="0"/>
          <w:sz w:val="32"/>
          <w:szCs w:val="32"/>
          <w:highlight w:val="none"/>
          <w:lang w:val="en-US" w:eastAsia="zh-CN" w:bidi="ar-SA"/>
        </w:rPr>
      </w:pPr>
      <w:r>
        <w:rPr>
          <w:rFonts w:hint="eastAsia" w:ascii="黑体" w:hAnsi="黑体" w:eastAsia="黑体" w:cs="黑体"/>
          <w:color w:val="000000"/>
          <w:kern w:val="0"/>
          <w:sz w:val="32"/>
          <w:szCs w:val="32"/>
          <w:highlight w:val="none"/>
          <w:lang w:val="en-US" w:eastAsia="zh-CN" w:bidi="ar-SA"/>
        </w:rPr>
        <w:t>九、</w:t>
      </w:r>
      <w:r>
        <w:rPr>
          <w:rFonts w:hint="eastAsia" w:hAnsi="黑体" w:cs="黑体"/>
          <w:color w:val="000000"/>
          <w:kern w:val="0"/>
          <w:sz w:val="32"/>
          <w:szCs w:val="32"/>
          <w:highlight w:val="none"/>
          <w:lang w:val="en-US" w:eastAsia="zh-CN" w:bidi="ar-SA"/>
        </w:rPr>
        <w:t>国有资本经营预算财政拨款支出决算情况说明</w:t>
      </w:r>
    </w:p>
    <w:p w14:paraId="399A843E">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2022年度本部门无国有资本经营预算财政拨款支出。</w:t>
      </w:r>
    </w:p>
    <w:p w14:paraId="543CF5B3">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0"/>
          <w:sz w:val="32"/>
          <w:szCs w:val="32"/>
          <w:highlight w:val="none"/>
          <w:lang w:val="en-US" w:eastAsia="zh-CN" w:bidi="ar-SA"/>
        </w:rPr>
      </w:pPr>
      <w:r>
        <w:rPr>
          <w:rFonts w:hint="eastAsia" w:ascii="黑体" w:hAnsi="黑体" w:eastAsia="黑体" w:cs="黑体"/>
          <w:color w:val="000000"/>
          <w:kern w:val="0"/>
          <w:sz w:val="32"/>
          <w:szCs w:val="32"/>
          <w:highlight w:val="none"/>
          <w:lang w:val="en-US" w:eastAsia="zh-CN" w:bidi="ar-SA"/>
        </w:rPr>
        <w:t>十、关于机关运行经费支出说明</w:t>
      </w:r>
    </w:p>
    <w:p w14:paraId="02ED22FD">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本部门2022年度机关运行经费支出547.9万元，比上年决算数增加36.61万元，增长7.16%。主要原因是：考察、绩效考核等工作任务增加，相应费用增加。</w:t>
      </w:r>
    </w:p>
    <w:p w14:paraId="7095839A">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0"/>
          <w:sz w:val="32"/>
          <w:szCs w:val="32"/>
          <w:highlight w:val="none"/>
          <w:lang w:val="en-US" w:eastAsia="zh-CN" w:bidi="ar-SA"/>
        </w:rPr>
      </w:pPr>
      <w:r>
        <w:rPr>
          <w:rFonts w:hint="eastAsia" w:ascii="黑体" w:hAnsi="黑体" w:eastAsia="黑体" w:cs="黑体"/>
          <w:color w:val="000000"/>
          <w:kern w:val="0"/>
          <w:sz w:val="32"/>
          <w:szCs w:val="32"/>
          <w:highlight w:val="none"/>
          <w:lang w:val="en-US" w:eastAsia="zh-CN" w:bidi="ar-SA"/>
        </w:rPr>
        <w:t>十一、一般性支出情况说明</w:t>
      </w:r>
    </w:p>
    <w:p w14:paraId="7DC8B47B">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本部门开支会议费47.01万元，用于召开抓基层党建暨述职评议会，人数160人，内容为述职评议；用于召开“两优一先”表彰大会，人数136人，内容为“两优一先”表彰；用于召开市委人才工作会议，人数113人，内容为人才工作部署动员；用于召开全市组织工作座谈会和述职测评会，人数92人，内容为组织工作座谈及组织部长抓党建促乡村振兴述职测评；用于召开全市基层党建工作总结会议，人数138人，内容为基层党建工作总结；用于召开全市发展壮大村级集体经济工作推进会，人数80人，内容为工作推进；用于召开全市新时代基层干部主题培训行动计划工作调度会暨乡镇党校建设推进会，人数93人，内容为工作调度、推进；用于召开学习贯彻党的二十大精神宣讲会，人数135人，内容为两新党组织学习贯彻党的二十大精神宣讲；开支培训费60.26万元，用于开展党统评审培训，人数31人，内容为评审培训；用于开展公统会审培训，人数26人，内容为会审培训；用于开展党员发展对象培训，人数95人，内容为两新组织党员发展对象培训；用于两新组织党组织书记培训班，人数60人，内容为党建业务、知识培训；用于开展全市绩效考核业务培训，人数150人，内容为绩效考核工作业务培训；用于开展怀化国际陆港建设能力提升专题培训班，人数60人，内容为陆港建设相关培训；2022年度未举办节庆、晚会、论坛、赛事活动。</w:t>
      </w:r>
    </w:p>
    <w:p w14:paraId="53D463A2">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0"/>
          <w:sz w:val="32"/>
          <w:szCs w:val="32"/>
          <w:highlight w:val="none"/>
          <w:lang w:val="en-US" w:eastAsia="zh-CN" w:bidi="ar-SA"/>
        </w:rPr>
      </w:pPr>
      <w:r>
        <w:rPr>
          <w:rFonts w:hint="eastAsia" w:ascii="黑体" w:hAnsi="黑体" w:eastAsia="黑体" w:cs="黑体"/>
          <w:color w:val="000000"/>
          <w:kern w:val="0"/>
          <w:sz w:val="32"/>
          <w:szCs w:val="32"/>
          <w:highlight w:val="none"/>
          <w:lang w:val="en-US" w:eastAsia="zh-CN" w:bidi="ar-SA"/>
        </w:rPr>
        <w:t>十二、关于政府采购支出说明</w:t>
      </w:r>
    </w:p>
    <w:p w14:paraId="2B1CC5AF">
      <w:pPr>
        <w:ind w:firstLine="640" w:firstLineChars="200"/>
        <w:rPr>
          <w:highlight w:val="none"/>
        </w:rPr>
      </w:pPr>
      <w:r>
        <w:rPr>
          <w:rFonts w:hint="eastAsia" w:ascii="仿宋_GB2312" w:hAnsi="仿宋_GB2312" w:eastAsia="仿宋_GB2312"/>
          <w:sz w:val="32"/>
          <w:szCs w:val="32"/>
          <w:highlight w:val="none"/>
        </w:rPr>
        <w:t>本部门202</w:t>
      </w:r>
      <w:r>
        <w:rPr>
          <w:rFonts w:hint="eastAsia" w:ascii="仿宋_GB2312" w:hAnsi="仿宋_GB2312" w:eastAsia="仿宋_GB2312"/>
          <w:sz w:val="32"/>
          <w:szCs w:val="32"/>
          <w:highlight w:val="none"/>
          <w:lang w:val="en-US" w:eastAsia="zh-CN"/>
        </w:rPr>
        <w:t>2</w:t>
      </w:r>
      <w:r>
        <w:rPr>
          <w:rFonts w:hint="eastAsia" w:ascii="仿宋_GB2312" w:hAnsi="仿宋_GB2312" w:eastAsia="仿宋_GB2312"/>
          <w:sz w:val="32"/>
          <w:szCs w:val="32"/>
          <w:highlight w:val="none"/>
        </w:rPr>
        <w:t>年度政府采购支出总额</w:t>
      </w:r>
      <w:r>
        <w:rPr>
          <w:rFonts w:hint="eastAsia" w:ascii="仿宋_GB2312" w:hAnsi="仿宋_GB2312" w:eastAsia="仿宋_GB2312"/>
          <w:sz w:val="32"/>
          <w:szCs w:val="32"/>
          <w:highlight w:val="none"/>
          <w:lang w:val="en-US" w:eastAsia="zh-CN"/>
        </w:rPr>
        <w:t>0</w:t>
      </w:r>
      <w:r>
        <w:rPr>
          <w:rFonts w:hint="eastAsia" w:ascii="仿宋_GB2312" w:hAnsi="仿宋_GB2312" w:eastAsia="仿宋_GB2312"/>
          <w:sz w:val="32"/>
          <w:szCs w:val="32"/>
          <w:highlight w:val="none"/>
        </w:rPr>
        <w:t>万元，其中：政府采购货物支出</w:t>
      </w:r>
      <w:r>
        <w:rPr>
          <w:rFonts w:hint="eastAsia" w:ascii="仿宋_GB2312" w:hAnsi="仿宋_GB2312" w:eastAsia="仿宋_GB2312"/>
          <w:sz w:val="32"/>
          <w:szCs w:val="32"/>
          <w:highlight w:val="none"/>
          <w:lang w:val="en-US" w:eastAsia="zh-CN"/>
        </w:rPr>
        <w:t>0</w:t>
      </w:r>
      <w:r>
        <w:rPr>
          <w:rFonts w:hint="eastAsia" w:ascii="仿宋_GB2312" w:hAnsi="仿宋_GB2312" w:eastAsia="仿宋_GB2312"/>
          <w:sz w:val="32"/>
          <w:szCs w:val="32"/>
          <w:highlight w:val="none"/>
        </w:rPr>
        <w:t>万元、政府采购工程支出</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万元、政府采购服务支出</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万元。授予中小企业合同金额</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w:t>
      </w:r>
      <w:r>
        <w:rPr>
          <w:rFonts w:hint="eastAsia" w:ascii="仿宋_GB2312" w:hAnsi="仿宋_GB2312" w:eastAsia="仿宋_GB2312"/>
          <w:sz w:val="32"/>
          <w:szCs w:val="32"/>
          <w:highlight w:val="none"/>
          <w:lang w:eastAsia="zh-CN"/>
        </w:rPr>
        <w:t>，</w:t>
      </w:r>
      <w:r>
        <w:rPr>
          <w:rFonts w:hint="eastAsia" w:ascii="仿宋_GB2312" w:hAnsi="仿宋_GB2312" w:eastAsia="仿宋_GB2312"/>
          <w:sz w:val="32"/>
          <w:szCs w:val="32"/>
          <w:highlight w:val="none"/>
          <w:lang w:val="en-US" w:eastAsia="zh-CN"/>
        </w:rPr>
        <w:t>无法计算授予中小企业合同金额占政府采购支出总额的百分比</w:t>
      </w:r>
      <w:r>
        <w:rPr>
          <w:rFonts w:hint="eastAsia" w:ascii="仿宋_GB2312" w:hAnsi="仿宋_GB2312" w:eastAsia="仿宋_GB2312"/>
          <w:sz w:val="32"/>
          <w:szCs w:val="32"/>
          <w:highlight w:val="none"/>
        </w:rPr>
        <w:t>。</w:t>
      </w:r>
      <w:bookmarkStart w:id="3" w:name="DIS_MARK_GP_BGT_CGHW_AMT"/>
      <w:r>
        <w:rPr>
          <w:rFonts w:hint="eastAsia" w:ascii="仿宋_GB2312" w:hAnsi="仿宋_GB2312" w:eastAsia="仿宋_GB2312"/>
          <w:sz w:val="32"/>
          <w:szCs w:val="32"/>
          <w:highlight w:val="none"/>
        </w:rPr>
        <w:t>其中：授予小微企业合同金额0万元，</w:t>
      </w:r>
      <w:r>
        <w:rPr>
          <w:rFonts w:hint="eastAsia" w:ascii="仿宋_GB2312" w:hAnsi="仿宋_GB2312" w:eastAsia="仿宋_GB2312"/>
          <w:sz w:val="32"/>
          <w:szCs w:val="32"/>
          <w:highlight w:val="none"/>
          <w:lang w:val="en-US" w:eastAsia="zh-CN"/>
        </w:rPr>
        <w:t>无法计算授予</w:t>
      </w:r>
      <w:r>
        <w:rPr>
          <w:rFonts w:hint="eastAsia" w:ascii="仿宋_GB2312" w:hAnsi="仿宋_GB2312" w:eastAsia="仿宋_GB2312"/>
          <w:sz w:val="32"/>
          <w:szCs w:val="32"/>
          <w:highlight w:val="none"/>
        </w:rPr>
        <w:t>小微企业</w:t>
      </w:r>
      <w:r>
        <w:rPr>
          <w:rFonts w:hint="eastAsia" w:ascii="仿宋_GB2312" w:hAnsi="仿宋_GB2312" w:eastAsia="仿宋_GB2312"/>
          <w:sz w:val="32"/>
          <w:szCs w:val="32"/>
          <w:highlight w:val="none"/>
          <w:lang w:val="en-US" w:eastAsia="zh-CN"/>
        </w:rPr>
        <w:t>合同金额占政府采购支出总额的百分比</w:t>
      </w:r>
      <w:r>
        <w:rPr>
          <w:rFonts w:hint="eastAsia" w:ascii="仿宋_GB2312" w:hAnsi="仿宋_GB2312" w:eastAsia="仿宋_GB2312"/>
          <w:sz w:val="32"/>
          <w:szCs w:val="32"/>
          <w:highlight w:val="none"/>
        </w:rPr>
        <w:t>。</w:t>
      </w:r>
      <w:r>
        <w:rPr>
          <w:rFonts w:hint="eastAsia" w:ascii="仿宋_GB2312" w:hAnsi="仿宋_GB2312" w:eastAsia="仿宋_GB2312"/>
          <w:sz w:val="32"/>
          <w:szCs w:val="32"/>
          <w:highlight w:val="none"/>
          <w:lang w:val="en-US" w:eastAsia="zh-CN"/>
        </w:rPr>
        <w:t>由于</w:t>
      </w:r>
      <w:r>
        <w:rPr>
          <w:rFonts w:hint="eastAsia" w:ascii="仿宋_GB2312" w:hAnsi="仿宋_GB2312" w:eastAsia="仿宋_GB2312"/>
          <w:sz w:val="32"/>
          <w:szCs w:val="32"/>
          <w:highlight w:val="none"/>
        </w:rPr>
        <w:t>货物采购授予中小企业合同金额占货物支出金额</w:t>
      </w:r>
      <w:r>
        <w:rPr>
          <w:rFonts w:hint="eastAsia" w:ascii="仿宋_GB2312" w:hAnsi="仿宋_GB2312" w:eastAsia="仿宋_GB2312"/>
          <w:sz w:val="32"/>
          <w:szCs w:val="32"/>
          <w:highlight w:val="none"/>
          <w:lang w:val="en-US" w:eastAsia="zh-CN"/>
        </w:rPr>
        <w:t>0万元</w:t>
      </w:r>
      <w:bookmarkEnd w:id="3"/>
      <w:bookmarkStart w:id="4" w:name="END_GP_BGT_CGHW_AMT"/>
      <w:bookmarkEnd w:id="4"/>
      <w:bookmarkStart w:id="5" w:name="DIS_MARK_GP_BGT_CGGC_AMT"/>
      <w:bookmarkEnd w:id="5"/>
      <w:bookmarkStart w:id="6" w:name="DIS_MARK_GP_BGT_CGHW_AMT_1"/>
      <w:bookmarkEnd w:id="6"/>
      <w:bookmarkStart w:id="7" w:name="START_GP_BGT_CGGC_AMT_1"/>
      <w:bookmarkEnd w:id="7"/>
      <w:bookmarkStart w:id="8" w:name="START_GP_BGT_CGGC_AMT"/>
      <w:bookmarkEnd w:id="8"/>
      <w:bookmarkStart w:id="9" w:name="START_GP_BGT_CGHW_AMT_1"/>
      <w:bookmarkEnd w:id="9"/>
      <w:bookmarkStart w:id="10" w:name="END_GP_BGT_CGGC_AMT"/>
      <w:bookmarkEnd w:id="10"/>
      <w:bookmarkStart w:id="11" w:name="END_GP_BGT_CGHW_AMT_1"/>
      <w:bookmarkEnd w:id="11"/>
      <w:bookmarkStart w:id="12" w:name="DIS_MARK_GP_BGT_CGGC_AMT_1"/>
      <w:r>
        <w:rPr>
          <w:rFonts w:hint="eastAsia" w:ascii="仿宋_GB2312" w:hAnsi="仿宋_GB2312" w:eastAsia="仿宋_GB2312"/>
          <w:sz w:val="32"/>
          <w:szCs w:val="32"/>
          <w:highlight w:val="none"/>
          <w:lang w:val="en-US" w:eastAsia="zh-CN"/>
        </w:rPr>
        <w:t>，</w:t>
      </w:r>
      <w:r>
        <w:rPr>
          <w:rFonts w:hint="eastAsia" w:ascii="仿宋_GB2312" w:hAnsi="仿宋_GB2312" w:eastAsia="仿宋_GB2312"/>
          <w:sz w:val="32"/>
          <w:szCs w:val="32"/>
          <w:highlight w:val="none"/>
        </w:rPr>
        <w:t>无法计算货物采购授予中小企业合同金额占</w:t>
      </w:r>
      <w:r>
        <w:rPr>
          <w:rFonts w:hint="eastAsia" w:ascii="仿宋_GB2312" w:hAnsi="仿宋_GB2312" w:eastAsia="仿宋_GB2312"/>
          <w:sz w:val="32"/>
          <w:szCs w:val="32"/>
          <w:highlight w:val="none"/>
          <w:lang w:val="en-US" w:eastAsia="zh-CN"/>
        </w:rPr>
        <w:t>货物</w:t>
      </w:r>
      <w:r>
        <w:rPr>
          <w:rFonts w:hint="eastAsia" w:ascii="仿宋_GB2312" w:hAnsi="仿宋_GB2312" w:eastAsia="仿宋_GB2312"/>
          <w:sz w:val="32"/>
          <w:szCs w:val="32"/>
          <w:highlight w:val="none"/>
        </w:rPr>
        <w:t>支出金额的百分比；由于工程支出金额为0万元，无法计算工程采购授予中小企业合同金额占工程支出金额的百分比；</w:t>
      </w:r>
      <w:bookmarkEnd w:id="12"/>
      <w:bookmarkStart w:id="13" w:name="START_GP_BGT_CGFW_AMT"/>
      <w:bookmarkEnd w:id="13"/>
      <w:bookmarkStart w:id="14" w:name="END_GP_BGT_CGGC_AMT_1"/>
      <w:bookmarkEnd w:id="14"/>
      <w:bookmarkStart w:id="15" w:name="DIS_MARK_GP_BGT_CGFW_AMT"/>
      <w:r>
        <w:rPr>
          <w:rFonts w:hint="eastAsia" w:ascii="仿宋_GB2312" w:hAnsi="仿宋_GB2312" w:eastAsia="仿宋_GB2312"/>
          <w:sz w:val="32"/>
          <w:szCs w:val="32"/>
          <w:highlight w:val="none"/>
        </w:rPr>
        <w:t>由于</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支出金额为0万元，无法计算</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采购授予中小企业合同金额占</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支出金额的百分比</w:t>
      </w:r>
      <w:bookmarkEnd w:id="15"/>
      <w:r>
        <w:rPr>
          <w:rFonts w:hint="eastAsia" w:ascii="仿宋_GB2312" w:hAnsi="仿宋_GB2312" w:eastAsia="仿宋_GB2312"/>
          <w:sz w:val="32"/>
          <w:szCs w:val="32"/>
          <w:highlight w:val="none"/>
          <w:lang w:eastAsia="zh-CN"/>
        </w:rPr>
        <w:t>。</w:t>
      </w:r>
    </w:p>
    <w:p w14:paraId="38335156">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0"/>
          <w:sz w:val="32"/>
          <w:szCs w:val="32"/>
          <w:highlight w:val="none"/>
          <w:lang w:val="en-US" w:eastAsia="zh-CN" w:bidi="ar-SA"/>
        </w:rPr>
      </w:pPr>
      <w:r>
        <w:rPr>
          <w:rFonts w:hint="eastAsia" w:ascii="黑体" w:hAnsi="黑体" w:eastAsia="黑体" w:cs="黑体"/>
          <w:color w:val="000000"/>
          <w:kern w:val="0"/>
          <w:sz w:val="32"/>
          <w:szCs w:val="32"/>
          <w:highlight w:val="none"/>
          <w:lang w:val="en-US" w:eastAsia="zh-CN" w:bidi="ar-SA"/>
        </w:rPr>
        <w:t>十三、关于国有资产占用情况说明</w:t>
      </w:r>
    </w:p>
    <w:p w14:paraId="5A6C2CD2">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截至2022年12月31日，本单位共有车辆3辆，其中，主要领导干部用车0辆，机要通信用车0辆、应急保障用车0辆、执法执勤用车0辆、特种专业技术用车0辆、其他用车3辆，其他用车主要是普通公务用车；单位价值50万元以上通用设备0台（套）；单位价值100万元以上专用设备0台（套）。</w:t>
      </w:r>
    </w:p>
    <w:p w14:paraId="0DE957E6">
      <w:pPr>
        <w:pStyle w:val="10"/>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kern w:val="0"/>
          <w:sz w:val="32"/>
          <w:szCs w:val="32"/>
          <w:highlight w:val="none"/>
          <w:lang w:val="en-US" w:eastAsia="zh-CN" w:bidi="ar-SA"/>
        </w:rPr>
      </w:pPr>
      <w:r>
        <w:rPr>
          <w:rFonts w:hint="eastAsia" w:hAnsi="黑体" w:cs="黑体"/>
          <w:color w:val="000000"/>
          <w:kern w:val="0"/>
          <w:sz w:val="32"/>
          <w:szCs w:val="32"/>
          <w:highlight w:val="none"/>
          <w:lang w:val="en-US" w:eastAsia="zh-CN" w:bidi="ar-SA"/>
        </w:rPr>
        <w:t>十四、</w:t>
      </w:r>
      <w:r>
        <w:rPr>
          <w:rFonts w:hint="eastAsia" w:ascii="黑体" w:hAnsi="黑体" w:eastAsia="黑体" w:cs="黑体"/>
          <w:color w:val="000000"/>
          <w:kern w:val="0"/>
          <w:sz w:val="32"/>
          <w:szCs w:val="32"/>
          <w:highlight w:val="none"/>
          <w:lang w:val="en-US" w:eastAsia="zh-CN" w:bidi="ar-SA"/>
        </w:rPr>
        <w:t>关于2022年度预算绩效情况的说明</w:t>
      </w:r>
    </w:p>
    <w:p w14:paraId="48B99CB1">
      <w:pPr>
        <w:pStyle w:val="10"/>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我部按照财政局相关文件要求认真开展绩效自评工作。自评报告详见附件。</w:t>
      </w:r>
    </w:p>
    <w:p w14:paraId="51FA1706">
      <w:pPr>
        <w:pStyle w:val="10"/>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p>
    <w:p w14:paraId="00A1BA72">
      <w:pPr>
        <w:pStyle w:val="10"/>
        <w:jc w:val="center"/>
        <w:rPr>
          <w:rFonts w:hint="eastAsia" w:ascii="方正黑体简体" w:hAnsi="方正黑体简体" w:eastAsia="方正黑体简体" w:cs="方正黑体简体"/>
          <w:sz w:val="84"/>
          <w:szCs w:val="84"/>
          <w:highlight w:val="none"/>
        </w:rPr>
      </w:pPr>
    </w:p>
    <w:p w14:paraId="06F2BF4F">
      <w:pPr>
        <w:pStyle w:val="10"/>
        <w:jc w:val="center"/>
        <w:rPr>
          <w:rFonts w:hint="eastAsia" w:ascii="方正黑体简体" w:hAnsi="方正黑体简体" w:eastAsia="方正黑体简体" w:cs="方正黑体简体"/>
          <w:sz w:val="84"/>
          <w:szCs w:val="84"/>
          <w:highlight w:val="none"/>
        </w:rPr>
      </w:pPr>
    </w:p>
    <w:p w14:paraId="1BA5FD0F">
      <w:pPr>
        <w:pStyle w:val="10"/>
        <w:jc w:val="center"/>
        <w:rPr>
          <w:rFonts w:hint="eastAsia" w:ascii="方正黑体简体" w:hAnsi="方正黑体简体" w:eastAsia="方正黑体简体" w:cs="方正黑体简体"/>
          <w:sz w:val="84"/>
          <w:szCs w:val="84"/>
          <w:highlight w:val="none"/>
        </w:rPr>
      </w:pPr>
    </w:p>
    <w:p w14:paraId="27D8A26F">
      <w:pPr>
        <w:pStyle w:val="10"/>
        <w:jc w:val="center"/>
        <w:rPr>
          <w:rFonts w:hint="eastAsia" w:ascii="方正黑体简体" w:hAnsi="方正黑体简体" w:eastAsia="方正黑体简体" w:cs="方正黑体简体"/>
          <w:sz w:val="84"/>
          <w:szCs w:val="84"/>
          <w:highlight w:val="none"/>
          <w:lang w:val="en-US" w:eastAsia="zh-CN"/>
        </w:rPr>
      </w:pPr>
      <w:r>
        <w:rPr>
          <w:rFonts w:hint="eastAsia" w:ascii="方正黑体简体" w:hAnsi="方正黑体简体" w:eastAsia="方正黑体简体" w:cs="方正黑体简体"/>
          <w:sz w:val="84"/>
          <w:szCs w:val="84"/>
          <w:highlight w:val="none"/>
        </w:rPr>
        <w:t>第四部分</w:t>
      </w:r>
      <w:r>
        <w:rPr>
          <w:rFonts w:hint="eastAsia" w:ascii="方正黑体简体" w:hAnsi="方正黑体简体" w:eastAsia="方正黑体简体" w:cs="方正黑体简体"/>
          <w:sz w:val="84"/>
          <w:szCs w:val="84"/>
          <w:highlight w:val="none"/>
          <w:lang w:val="en-US" w:eastAsia="zh-CN"/>
        </w:rPr>
        <w:t xml:space="preserve"> </w:t>
      </w:r>
    </w:p>
    <w:p w14:paraId="06C10A33">
      <w:pPr>
        <w:pStyle w:val="10"/>
        <w:jc w:val="center"/>
        <w:rPr>
          <w:rFonts w:hint="eastAsia" w:ascii="方正黑体简体" w:hAnsi="方正黑体简体" w:eastAsia="方正黑体简体" w:cs="方正黑体简体"/>
          <w:color w:val="000000"/>
          <w:kern w:val="0"/>
          <w:sz w:val="84"/>
          <w:szCs w:val="84"/>
          <w:highlight w:val="none"/>
        </w:rPr>
      </w:pPr>
      <w:r>
        <w:rPr>
          <w:rFonts w:hint="eastAsia" w:ascii="方正黑体简体" w:hAnsi="方正黑体简体" w:eastAsia="方正黑体简体" w:cs="方正黑体简体"/>
          <w:color w:val="000000"/>
          <w:kern w:val="0"/>
          <w:sz w:val="84"/>
          <w:szCs w:val="84"/>
          <w:highlight w:val="none"/>
        </w:rPr>
        <w:t>名词解释</w:t>
      </w:r>
    </w:p>
    <w:p w14:paraId="1281D328">
      <w:pPr>
        <w:widowControl/>
        <w:jc w:val="left"/>
        <w:rPr>
          <w:rFonts w:hint="eastAsia" w:ascii="方正黑体简体" w:hAnsi="方正黑体简体" w:eastAsia="方正黑体简体" w:cs="方正黑体简体"/>
          <w:color w:val="000000"/>
          <w:kern w:val="0"/>
          <w:sz w:val="84"/>
          <w:szCs w:val="84"/>
          <w:highlight w:val="none"/>
        </w:rPr>
      </w:pPr>
      <w:r>
        <w:rPr>
          <w:rFonts w:hint="eastAsia" w:ascii="方正黑体简体" w:hAnsi="方正黑体简体" w:eastAsia="方正黑体简体" w:cs="方正黑体简体"/>
          <w:color w:val="000000"/>
          <w:kern w:val="0"/>
          <w:sz w:val="84"/>
          <w:szCs w:val="84"/>
          <w:highlight w:val="none"/>
        </w:rPr>
        <w:br w:type="page"/>
      </w:r>
    </w:p>
    <w:p w14:paraId="122BAA3B">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一、基本支出：指单位为保障其机构正常运转、完成日常工作任务而发生的人员支出和公用支出。</w:t>
      </w:r>
    </w:p>
    <w:p w14:paraId="10D65F7D">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二、项目支出：指单位为完成特定行政任务和事业发展目标在基本支出之外所发生的支出。</w:t>
      </w:r>
    </w:p>
    <w:p w14:paraId="783B8769">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三、“三公”经费：纳入财政预决算管理的“三公”经费，是指用财政拨款安排的因公出国（境）费、公务用车购置及运行费和公务接待费，是党政机关维持运转或完成特定工作任务所开支的相关支出，是政府行政开支的一部分。其中，因公出国（境）费反映单位公务出国（境）的国际旅费、国外城市间交通费、住宿费、伙食费、培训费、公杂费等支出；公务用车购置及运行费反映单位公务用车车辆购置支出（含车辆购置税）及燃料费、维修费、过桥过路费、保险费、安全奖励费用等支出；公务接待费反映单位按规定开支的各类公务接待（含外宾接待）支出。</w:t>
      </w:r>
    </w:p>
    <w:p w14:paraId="4C471097">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四、机关运行经费：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F1D6D9">
      <w:pPr>
        <w:pStyle w:val="10"/>
        <w:jc w:val="center"/>
        <w:rPr>
          <w:rFonts w:hint="eastAsia" w:ascii="仿宋_GB2312" w:hAnsi="仿宋_GB2312" w:eastAsia="仿宋_GB2312" w:cs="仿宋_GB2312"/>
          <w:sz w:val="72"/>
          <w:szCs w:val="72"/>
          <w:highlight w:val="none"/>
        </w:rPr>
      </w:pPr>
    </w:p>
    <w:p w14:paraId="7F1E31CE">
      <w:pPr>
        <w:pStyle w:val="10"/>
        <w:jc w:val="center"/>
        <w:rPr>
          <w:sz w:val="72"/>
          <w:szCs w:val="72"/>
          <w:highlight w:val="none"/>
        </w:rPr>
      </w:pPr>
    </w:p>
    <w:p w14:paraId="10C8287D">
      <w:pPr>
        <w:pStyle w:val="10"/>
        <w:jc w:val="center"/>
        <w:rPr>
          <w:sz w:val="72"/>
          <w:szCs w:val="72"/>
          <w:highlight w:val="none"/>
        </w:rPr>
      </w:pPr>
    </w:p>
    <w:p w14:paraId="49E62BA6">
      <w:pPr>
        <w:pStyle w:val="10"/>
        <w:jc w:val="center"/>
        <w:rPr>
          <w:sz w:val="72"/>
          <w:szCs w:val="72"/>
          <w:highlight w:val="none"/>
        </w:rPr>
      </w:pPr>
    </w:p>
    <w:p w14:paraId="6724E551">
      <w:pPr>
        <w:jc w:val="left"/>
        <w:rPr>
          <w:rFonts w:cs="黑体" w:asciiTheme="minorEastAsia" w:hAnsiTheme="minorEastAsia"/>
          <w:color w:val="000000"/>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4E2787-EEB3-4F7B-A871-DB05A17A43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黑体简体">
    <w:altName w:val="微软雅黑"/>
    <w:panose1 w:val="02010601030101010101"/>
    <w:charset w:val="86"/>
    <w:family w:val="auto"/>
    <w:pitch w:val="default"/>
    <w:sig w:usb0="00000000" w:usb1="00000000" w:usb2="00000000" w:usb3="00000000" w:csb0="00040000" w:csb1="00000000"/>
    <w:embedRegular r:id="rId2" w:fontKey="{93A046A2-E46A-45CE-8A2D-3D62D9335DFD}"/>
  </w:font>
  <w:font w:name="仿宋_GB2312">
    <w:panose1 w:val="02010609030101010101"/>
    <w:charset w:val="86"/>
    <w:family w:val="modern"/>
    <w:pitch w:val="default"/>
    <w:sig w:usb0="00000001" w:usb1="080E0000" w:usb2="00000000" w:usb3="00000000" w:csb0="00040000" w:csb1="00000000"/>
    <w:embedRegular r:id="rId3" w:fontKey="{D7778562-26F7-44E8-AE53-C63751B3C4CD}"/>
  </w:font>
  <w:font w:name="方正小标宋_GBK">
    <w:panose1 w:val="02000000000000000000"/>
    <w:charset w:val="86"/>
    <w:family w:val="script"/>
    <w:pitch w:val="default"/>
    <w:sig w:usb0="A00002BF" w:usb1="38CF7CFA" w:usb2="00082016" w:usb3="00000000" w:csb0="00040001" w:csb1="00000000"/>
    <w:embedRegular r:id="rId4" w:fontKey="{A192EAC9-6F6E-4E82-9D08-1B2765D53BCC}"/>
  </w:font>
  <w:font w:name="楷体">
    <w:panose1 w:val="02010609060101010101"/>
    <w:charset w:val="86"/>
    <w:family w:val="auto"/>
    <w:pitch w:val="default"/>
    <w:sig w:usb0="800002BF" w:usb1="38CF7CFA" w:usb2="00000016" w:usb3="00000000" w:csb0="00040001" w:csb1="00000000"/>
    <w:embedRegular r:id="rId5" w:fontKey="{60E2B681-98CD-4643-A817-C1E9B85C8C76}"/>
  </w:font>
  <w:font w:name="仿宋">
    <w:panose1 w:val="02010609060101010101"/>
    <w:charset w:val="86"/>
    <w:family w:val="modern"/>
    <w:pitch w:val="default"/>
    <w:sig w:usb0="800002BF" w:usb1="38CF7CFA" w:usb2="00000016" w:usb3="00000000" w:csb0="00040001" w:csb1="00000000"/>
    <w:embedRegular r:id="rId6" w:fontKey="{5AA4184A-49A8-4349-B26A-537E9EA28515}"/>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64CD3"/>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1A7796"/>
    <w:rsid w:val="01B22CBA"/>
    <w:rsid w:val="08E440FA"/>
    <w:rsid w:val="0B0A3861"/>
    <w:rsid w:val="0B403BB3"/>
    <w:rsid w:val="0B8760E9"/>
    <w:rsid w:val="0F432DD4"/>
    <w:rsid w:val="17A436A9"/>
    <w:rsid w:val="185444B0"/>
    <w:rsid w:val="19140057"/>
    <w:rsid w:val="1CEC0D90"/>
    <w:rsid w:val="22EE13BE"/>
    <w:rsid w:val="234A1CC1"/>
    <w:rsid w:val="243A0633"/>
    <w:rsid w:val="25205435"/>
    <w:rsid w:val="27B30B55"/>
    <w:rsid w:val="295576A5"/>
    <w:rsid w:val="297E6F79"/>
    <w:rsid w:val="2A6424C9"/>
    <w:rsid w:val="2BFF7066"/>
    <w:rsid w:val="35C1690C"/>
    <w:rsid w:val="371916D7"/>
    <w:rsid w:val="39F602FF"/>
    <w:rsid w:val="3BC44F5A"/>
    <w:rsid w:val="48727FB0"/>
    <w:rsid w:val="48FD1E9A"/>
    <w:rsid w:val="4BE762CB"/>
    <w:rsid w:val="4D34526D"/>
    <w:rsid w:val="4E7E49B8"/>
    <w:rsid w:val="508128DD"/>
    <w:rsid w:val="54F136D0"/>
    <w:rsid w:val="569B5C5B"/>
    <w:rsid w:val="5777D4F5"/>
    <w:rsid w:val="583158A6"/>
    <w:rsid w:val="599B50F5"/>
    <w:rsid w:val="5AC622E2"/>
    <w:rsid w:val="5BDB3032"/>
    <w:rsid w:val="5C435585"/>
    <w:rsid w:val="5D2B512C"/>
    <w:rsid w:val="5D7230B9"/>
    <w:rsid w:val="5F20195A"/>
    <w:rsid w:val="5FC6BB1E"/>
    <w:rsid w:val="5FF720F1"/>
    <w:rsid w:val="606C6B04"/>
    <w:rsid w:val="62C773B5"/>
    <w:rsid w:val="6482544F"/>
    <w:rsid w:val="66F27EFC"/>
    <w:rsid w:val="71216796"/>
    <w:rsid w:val="737D59BA"/>
    <w:rsid w:val="777517BA"/>
    <w:rsid w:val="77C37683"/>
    <w:rsid w:val="79FF515B"/>
    <w:rsid w:val="7A9F0FD1"/>
    <w:rsid w:val="7B2A5E81"/>
    <w:rsid w:val="7DE85116"/>
    <w:rsid w:val="7E0605EF"/>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17</Pages>
  <Words>6617</Words>
  <Characters>7204</Characters>
  <Lines>63</Lines>
  <Paragraphs>18</Paragraphs>
  <TotalTime>5</TotalTime>
  <ScaleCrop>false</ScaleCrop>
  <LinksUpToDate>false</LinksUpToDate>
  <CharactersWithSpaces>7211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2023-09-25T03:24:00Z</cp:lastPrinted>
  <dcterms:modified xsi:type="dcterms:W3CDTF">2024-10-14T11:36:28Z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0CFCDB94FD954A1BB4ABE6D05089D2F9_12</vt:lpwstr>
  </property>
</Properties>
</file>