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3349F8">
      <w:pPr>
        <w:pStyle w:val="13"/>
        <w:jc w:val="both"/>
        <w:rPr>
          <w:sz w:val="56"/>
          <w:szCs w:val="56"/>
        </w:rPr>
      </w:pPr>
    </w:p>
    <w:p w14:paraId="71B3F771">
      <w:pPr>
        <w:pStyle w:val="13"/>
        <w:jc w:val="both"/>
        <w:rPr>
          <w:sz w:val="56"/>
          <w:szCs w:val="56"/>
        </w:rPr>
      </w:pPr>
      <w:bookmarkStart w:id="1" w:name="_GoBack"/>
      <w:bookmarkEnd w:id="1"/>
    </w:p>
    <w:p w14:paraId="1726A5FF">
      <w:pPr>
        <w:pStyle w:val="13"/>
        <w:jc w:val="center"/>
        <w:rPr>
          <w:sz w:val="56"/>
          <w:szCs w:val="56"/>
        </w:rPr>
      </w:pPr>
    </w:p>
    <w:p w14:paraId="10F378F3">
      <w:pPr>
        <w:pStyle w:val="13"/>
        <w:jc w:val="center"/>
        <w:rPr>
          <w:sz w:val="84"/>
          <w:szCs w:val="84"/>
        </w:rPr>
      </w:pPr>
    </w:p>
    <w:p w14:paraId="7F313749">
      <w:pPr>
        <w:pStyle w:val="13"/>
        <w:jc w:val="center"/>
        <w:rPr>
          <w:sz w:val="84"/>
          <w:szCs w:val="84"/>
        </w:rPr>
      </w:pPr>
    </w:p>
    <w:p w14:paraId="3117ADCF">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74062AB9">
      <w:pPr>
        <w:pStyle w:val="13"/>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中共怀化市委组织部</w:t>
      </w:r>
    </w:p>
    <w:p w14:paraId="4DD12B3E">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5C4FD39B">
      <w:pPr>
        <w:pStyle w:val="13"/>
        <w:jc w:val="center"/>
        <w:rPr>
          <w:rFonts w:hint="eastAsia" w:ascii="方正小标宋_GBK" w:hAnsi="方正小标宋_GBK" w:eastAsia="方正小标宋_GBK" w:cs="方正小标宋_GBK"/>
          <w:sz w:val="56"/>
          <w:szCs w:val="56"/>
        </w:rPr>
      </w:pPr>
    </w:p>
    <w:p w14:paraId="4283C381">
      <w:pPr>
        <w:pStyle w:val="13"/>
        <w:jc w:val="center"/>
        <w:rPr>
          <w:sz w:val="56"/>
          <w:szCs w:val="56"/>
        </w:rPr>
      </w:pPr>
    </w:p>
    <w:p w14:paraId="19332A5B">
      <w:pPr>
        <w:pStyle w:val="13"/>
        <w:jc w:val="center"/>
        <w:rPr>
          <w:sz w:val="56"/>
          <w:szCs w:val="56"/>
        </w:rPr>
      </w:pPr>
    </w:p>
    <w:p w14:paraId="24F136BC">
      <w:pPr>
        <w:pStyle w:val="13"/>
        <w:jc w:val="center"/>
        <w:rPr>
          <w:sz w:val="32"/>
          <w:szCs w:val="32"/>
        </w:rPr>
      </w:pPr>
    </w:p>
    <w:p w14:paraId="129D9127">
      <w:pPr>
        <w:pStyle w:val="13"/>
        <w:jc w:val="center"/>
        <w:rPr>
          <w:sz w:val="32"/>
          <w:szCs w:val="32"/>
        </w:rPr>
      </w:pPr>
    </w:p>
    <w:p w14:paraId="64BFCE54">
      <w:pPr>
        <w:pStyle w:val="13"/>
        <w:jc w:val="center"/>
        <w:rPr>
          <w:sz w:val="32"/>
          <w:szCs w:val="32"/>
        </w:rPr>
      </w:pPr>
    </w:p>
    <w:p w14:paraId="68C358E0">
      <w:pPr>
        <w:pStyle w:val="13"/>
        <w:jc w:val="center"/>
        <w:rPr>
          <w:sz w:val="32"/>
          <w:szCs w:val="32"/>
        </w:rPr>
      </w:pPr>
    </w:p>
    <w:p w14:paraId="0480B348">
      <w:pPr>
        <w:pStyle w:val="13"/>
        <w:spacing w:line="500" w:lineRule="exact"/>
        <w:jc w:val="center"/>
        <w:rPr>
          <w:b/>
          <w:sz w:val="44"/>
          <w:szCs w:val="44"/>
        </w:rPr>
      </w:pPr>
      <w:r>
        <w:rPr>
          <w:rFonts w:hint="eastAsia"/>
          <w:b/>
          <w:sz w:val="44"/>
          <w:szCs w:val="44"/>
        </w:rPr>
        <w:t>目</w:t>
      </w:r>
      <w:r>
        <w:rPr>
          <w:rFonts w:hint="eastAsia"/>
          <w:b/>
          <w:sz w:val="44"/>
          <w:szCs w:val="44"/>
          <w:lang w:val="en-US" w:eastAsia="zh-CN"/>
        </w:rPr>
        <w:t xml:space="preserve">  </w:t>
      </w:r>
      <w:r>
        <w:rPr>
          <w:rFonts w:hint="eastAsia"/>
          <w:b/>
          <w:sz w:val="44"/>
          <w:szCs w:val="44"/>
        </w:rPr>
        <w:t>录</w:t>
      </w:r>
    </w:p>
    <w:p w14:paraId="1A1E17F5">
      <w:pPr>
        <w:pStyle w:val="13"/>
        <w:spacing w:line="500" w:lineRule="exact"/>
        <w:rPr>
          <w:rFonts w:hint="eastAsia" w:ascii="黑体" w:hAnsi="黑体" w:eastAsia="黑体" w:cs="黑体"/>
          <w:b w:val="0"/>
          <w:bCs/>
          <w:sz w:val="28"/>
          <w:szCs w:val="28"/>
        </w:rPr>
      </w:pPr>
    </w:p>
    <w:p w14:paraId="02476EF7">
      <w:pPr>
        <w:pStyle w:val="13"/>
        <w:keepNext w:val="0"/>
        <w:keepLines w:val="0"/>
        <w:pageBreakBefore w:val="0"/>
        <w:widowControl w:val="0"/>
        <w:kinsoku/>
        <w:wordWrap/>
        <w:overflowPunct/>
        <w:topLinePunct w:val="0"/>
        <w:bidi w:val="0"/>
        <w:snapToGrid/>
        <w:spacing w:line="46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lang w:eastAsia="zh-CN"/>
        </w:rPr>
        <w:t>部门（</w:t>
      </w:r>
      <w:r>
        <w:rPr>
          <w:rFonts w:hint="eastAsia" w:ascii="黑体" w:hAnsi="黑体" w:eastAsia="黑体" w:cs="黑体"/>
          <w:b w:val="0"/>
          <w:bCs/>
          <w:sz w:val="28"/>
          <w:szCs w:val="28"/>
        </w:rPr>
        <w:t>单位</w:t>
      </w:r>
      <w:r>
        <w:rPr>
          <w:rFonts w:hint="eastAsia" w:ascii="黑体" w:hAnsi="黑体" w:eastAsia="黑体" w:cs="黑体"/>
          <w:b w:val="0"/>
          <w:bCs/>
          <w:sz w:val="28"/>
          <w:szCs w:val="28"/>
          <w:lang w:eastAsia="zh-CN"/>
        </w:rPr>
        <w:t>）</w:t>
      </w:r>
      <w:r>
        <w:rPr>
          <w:rFonts w:hint="eastAsia" w:ascii="黑体" w:hAnsi="黑体" w:eastAsia="黑体" w:cs="黑体"/>
          <w:b w:val="0"/>
          <w:bCs/>
          <w:sz w:val="28"/>
          <w:szCs w:val="28"/>
        </w:rPr>
        <w:t>概况</w:t>
      </w:r>
    </w:p>
    <w:p w14:paraId="595C0EA3">
      <w:pPr>
        <w:pStyle w:val="13"/>
        <w:keepNext w:val="0"/>
        <w:keepLines w:val="0"/>
        <w:pageBreakBefore w:val="0"/>
        <w:widowControl w:val="0"/>
        <w:kinsoku/>
        <w:wordWrap/>
        <w:overflowPunct/>
        <w:topLinePunct w:val="0"/>
        <w:bidi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39D05037">
      <w:pPr>
        <w:pStyle w:val="13"/>
        <w:keepNext w:val="0"/>
        <w:keepLines w:val="0"/>
        <w:pageBreakBefore w:val="0"/>
        <w:widowControl w:val="0"/>
        <w:kinsoku/>
        <w:wordWrap/>
        <w:overflowPunct/>
        <w:topLinePunct w:val="0"/>
        <w:bidi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1D9C5E67">
      <w:pPr>
        <w:pStyle w:val="13"/>
        <w:keepNext w:val="0"/>
        <w:keepLines w:val="0"/>
        <w:pageBreakBefore w:val="0"/>
        <w:widowControl w:val="0"/>
        <w:kinsoku/>
        <w:wordWrap/>
        <w:overflowPunct/>
        <w:topLinePunct w:val="0"/>
        <w:bidi w:val="0"/>
        <w:snapToGrid/>
        <w:spacing w:line="46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59FA9455">
      <w:pPr>
        <w:pStyle w:val="13"/>
        <w:keepNext w:val="0"/>
        <w:keepLines w:val="0"/>
        <w:pageBreakBefore w:val="0"/>
        <w:widowControl w:val="0"/>
        <w:kinsoku/>
        <w:wordWrap/>
        <w:overflowPunct/>
        <w:topLinePunct w:val="0"/>
        <w:bidi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7E36D9CE">
      <w:pPr>
        <w:pStyle w:val="13"/>
        <w:keepNext w:val="0"/>
        <w:keepLines w:val="0"/>
        <w:pageBreakBefore w:val="0"/>
        <w:widowControl w:val="0"/>
        <w:kinsoku/>
        <w:wordWrap/>
        <w:overflowPunct/>
        <w:topLinePunct w:val="0"/>
        <w:bidi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D97927B">
      <w:pPr>
        <w:pStyle w:val="13"/>
        <w:keepNext w:val="0"/>
        <w:keepLines w:val="0"/>
        <w:pageBreakBefore w:val="0"/>
        <w:widowControl w:val="0"/>
        <w:kinsoku/>
        <w:wordWrap/>
        <w:overflowPunct/>
        <w:topLinePunct w:val="0"/>
        <w:bidi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52F25E00">
      <w:pPr>
        <w:pStyle w:val="13"/>
        <w:keepNext w:val="0"/>
        <w:keepLines w:val="0"/>
        <w:pageBreakBefore w:val="0"/>
        <w:widowControl w:val="0"/>
        <w:kinsoku/>
        <w:wordWrap/>
        <w:overflowPunct/>
        <w:topLinePunct w:val="0"/>
        <w:bidi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20FB3A47">
      <w:pPr>
        <w:pStyle w:val="13"/>
        <w:keepNext w:val="0"/>
        <w:keepLines w:val="0"/>
        <w:pageBreakBefore w:val="0"/>
        <w:widowControl w:val="0"/>
        <w:kinsoku/>
        <w:wordWrap/>
        <w:overflowPunct/>
        <w:topLinePunct w:val="0"/>
        <w:bidi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F515347">
      <w:pPr>
        <w:pStyle w:val="13"/>
        <w:keepNext w:val="0"/>
        <w:keepLines w:val="0"/>
        <w:pageBreakBefore w:val="0"/>
        <w:widowControl w:val="0"/>
        <w:kinsoku/>
        <w:wordWrap/>
        <w:overflowPunct/>
        <w:topLinePunct w:val="0"/>
        <w:bidi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23D39E46">
      <w:pPr>
        <w:pStyle w:val="13"/>
        <w:keepNext w:val="0"/>
        <w:keepLines w:val="0"/>
        <w:pageBreakBefore w:val="0"/>
        <w:widowControl w:val="0"/>
        <w:kinsoku/>
        <w:wordWrap/>
        <w:overflowPunct/>
        <w:topLinePunct w:val="0"/>
        <w:bidi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14D78845">
      <w:pPr>
        <w:pStyle w:val="13"/>
        <w:keepNext w:val="0"/>
        <w:keepLines w:val="0"/>
        <w:pageBreakBefore w:val="0"/>
        <w:widowControl w:val="0"/>
        <w:kinsoku/>
        <w:wordWrap/>
        <w:overflowPunct/>
        <w:topLinePunct w:val="0"/>
        <w:bidi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4602FDDA">
      <w:pPr>
        <w:pStyle w:val="13"/>
        <w:keepNext w:val="0"/>
        <w:keepLines w:val="0"/>
        <w:pageBreakBefore w:val="0"/>
        <w:widowControl w:val="0"/>
        <w:kinsoku/>
        <w:wordWrap/>
        <w:overflowPunct/>
        <w:topLinePunct w:val="0"/>
        <w:bidi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20021BE1">
      <w:pPr>
        <w:pStyle w:val="13"/>
        <w:keepNext w:val="0"/>
        <w:keepLines w:val="0"/>
        <w:pageBreakBefore w:val="0"/>
        <w:widowControl w:val="0"/>
        <w:kinsoku/>
        <w:wordWrap/>
        <w:overflowPunct/>
        <w:topLinePunct w:val="0"/>
        <w:bidi w:val="0"/>
        <w:snapToGrid/>
        <w:spacing w:line="46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63C1F9CC">
      <w:pPr>
        <w:pStyle w:val="13"/>
        <w:keepNext w:val="0"/>
        <w:keepLines w:val="0"/>
        <w:pageBreakBefore w:val="0"/>
        <w:widowControl w:val="0"/>
        <w:kinsoku/>
        <w:wordWrap/>
        <w:overflowPunct/>
        <w:topLinePunct w:val="0"/>
        <w:bidi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70D59ABE">
      <w:pPr>
        <w:keepNext w:val="0"/>
        <w:keepLines w:val="0"/>
        <w:pageBreakBefore w:val="0"/>
        <w:widowControl w:val="0"/>
        <w:kinsoku/>
        <w:wordWrap/>
        <w:overflowPunct/>
        <w:topLinePunct w:val="0"/>
        <w:bidi w:val="0"/>
        <w:snapToGrid/>
        <w:spacing w:line="46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2CEB4DF6">
      <w:pPr>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46699C03">
      <w:pPr>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63DBEEE7">
      <w:pPr>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7CC7DEAB">
      <w:pPr>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5F68AEE0">
      <w:pPr>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18BA2697">
      <w:pPr>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1529CBDD">
      <w:pPr>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jc w:val="left"/>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九、</w:t>
      </w:r>
      <w:r>
        <w:rPr>
          <w:rFonts w:hint="eastAsia" w:ascii="仿宋_GB2312" w:hAnsi="仿宋_GB2312" w:eastAsia="仿宋_GB2312" w:cs="仿宋_GB2312"/>
          <w:color w:val="000000"/>
          <w:kern w:val="0"/>
          <w:sz w:val="28"/>
          <w:szCs w:val="28"/>
          <w:lang w:eastAsia="zh-CN"/>
        </w:rPr>
        <w:t>国有资本经营预算财政拨款收入支出决算情况说明</w:t>
      </w:r>
    </w:p>
    <w:p w14:paraId="00D52050">
      <w:pPr>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14:paraId="348C603C">
      <w:pPr>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14:paraId="1FE2A77F">
      <w:pPr>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十二、</w:t>
      </w:r>
      <w:r>
        <w:rPr>
          <w:rFonts w:hint="eastAsia" w:ascii="仿宋_GB2312" w:hAnsi="仿宋_GB2312" w:eastAsia="仿宋_GB2312" w:cs="仿宋_GB2312"/>
          <w:color w:val="000000"/>
          <w:kern w:val="0"/>
          <w:sz w:val="28"/>
          <w:szCs w:val="28"/>
        </w:rPr>
        <w:t>关于政府采购支出说明</w:t>
      </w:r>
    </w:p>
    <w:p w14:paraId="1385C816">
      <w:pPr>
        <w:pStyle w:val="13"/>
        <w:keepNext w:val="0"/>
        <w:keepLines w:val="0"/>
        <w:pageBreakBefore w:val="0"/>
        <w:widowControl w:val="0"/>
        <w:kinsoku/>
        <w:wordWrap/>
        <w:overflowPunct/>
        <w:topLinePunct w:val="0"/>
        <w:bidi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14:paraId="00A9370D">
      <w:pPr>
        <w:pStyle w:val="13"/>
        <w:keepNext w:val="0"/>
        <w:keepLines w:val="0"/>
        <w:pageBreakBefore w:val="0"/>
        <w:widowControl w:val="0"/>
        <w:kinsoku/>
        <w:wordWrap/>
        <w:overflowPunct/>
        <w:topLinePunct w:val="0"/>
        <w:bidi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十四、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4941DE1B">
      <w:pPr>
        <w:pStyle w:val="13"/>
        <w:keepNext w:val="0"/>
        <w:keepLines w:val="0"/>
        <w:pageBreakBefore w:val="0"/>
        <w:widowControl w:val="0"/>
        <w:kinsoku/>
        <w:wordWrap/>
        <w:overflowPunct/>
        <w:topLinePunct w:val="0"/>
        <w:bidi w:val="0"/>
        <w:snapToGrid/>
        <w:spacing w:line="46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3A6333BF">
      <w:pPr>
        <w:pStyle w:val="13"/>
        <w:keepNext w:val="0"/>
        <w:keepLines w:val="0"/>
        <w:pageBreakBefore w:val="0"/>
        <w:widowControl w:val="0"/>
        <w:kinsoku/>
        <w:wordWrap/>
        <w:overflowPunct/>
        <w:topLinePunct w:val="0"/>
        <w:bidi w:val="0"/>
        <w:snapToGrid/>
        <w:spacing w:line="460" w:lineRule="exact"/>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1CA938A8">
      <w:pPr>
        <w:pStyle w:val="13"/>
        <w:spacing w:line="500" w:lineRule="exact"/>
        <w:rPr>
          <w:rFonts w:hint="eastAsia" w:ascii="黑体" w:hAnsi="黑体" w:eastAsia="黑体" w:cs="黑体"/>
          <w:b w:val="0"/>
          <w:bCs/>
          <w:sz w:val="28"/>
          <w:szCs w:val="28"/>
        </w:rPr>
      </w:pPr>
    </w:p>
    <w:p w14:paraId="3AEFFC17">
      <w:pPr>
        <w:jc w:val="center"/>
        <w:rPr>
          <w:sz w:val="72"/>
          <w:szCs w:val="72"/>
        </w:rPr>
      </w:pPr>
    </w:p>
    <w:p w14:paraId="793DAAC7">
      <w:pPr>
        <w:jc w:val="center"/>
        <w:rPr>
          <w:sz w:val="72"/>
          <w:szCs w:val="72"/>
        </w:rPr>
      </w:pPr>
    </w:p>
    <w:p w14:paraId="7D03AE27">
      <w:pPr>
        <w:jc w:val="center"/>
        <w:rPr>
          <w:sz w:val="72"/>
          <w:szCs w:val="72"/>
        </w:rPr>
      </w:pPr>
    </w:p>
    <w:p w14:paraId="31D9F89A">
      <w:pPr>
        <w:jc w:val="center"/>
        <w:rPr>
          <w:sz w:val="72"/>
          <w:szCs w:val="72"/>
        </w:rPr>
      </w:pPr>
    </w:p>
    <w:p w14:paraId="670B3EC9">
      <w:pPr>
        <w:rPr>
          <w:rFonts w:hint="eastAsia" w:ascii="方正小标宋_GBK" w:hAnsi="方正小标宋_GBK" w:eastAsia="方正小标宋_GBK" w:cs="方正小标宋_GBK"/>
          <w:sz w:val="72"/>
          <w:szCs w:val="72"/>
        </w:rPr>
      </w:pPr>
    </w:p>
    <w:p w14:paraId="0900C79D">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第一部分</w:t>
      </w:r>
    </w:p>
    <w:p w14:paraId="5810CAE1">
      <w:pPr>
        <w:pStyle w:val="13"/>
        <w:jc w:val="center"/>
        <w:rPr>
          <w:rFonts w:hint="eastAsia" w:ascii="方正小标宋_GBK" w:hAnsi="方正小标宋_GBK" w:eastAsia="方正小标宋_GBK" w:cs="方正小标宋_GBK"/>
          <w:sz w:val="84"/>
          <w:szCs w:val="84"/>
        </w:rPr>
      </w:pPr>
    </w:p>
    <w:p w14:paraId="40393E79">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部门（</w:t>
      </w:r>
      <w:r>
        <w:rPr>
          <w:rFonts w:hint="eastAsia" w:ascii="方正小标宋_GBK" w:hAnsi="方正小标宋_GBK" w:eastAsia="方正小标宋_GBK" w:cs="方正小标宋_GBK"/>
          <w:sz w:val="84"/>
          <w:szCs w:val="84"/>
        </w:rPr>
        <w:t>单位</w:t>
      </w:r>
      <w:r>
        <w:rPr>
          <w:rFonts w:hint="eastAsia" w:ascii="方正小标宋_GBK" w:hAnsi="方正小标宋_GBK" w:eastAsia="方正小标宋_GBK" w:cs="方正小标宋_GBK"/>
          <w:sz w:val="84"/>
          <w:szCs w:val="84"/>
          <w:lang w:eastAsia="zh-CN"/>
        </w:rPr>
        <w:t>）</w:t>
      </w:r>
      <w:r>
        <w:rPr>
          <w:rFonts w:hint="eastAsia" w:ascii="方正小标宋_GBK" w:hAnsi="方正小标宋_GBK" w:eastAsia="方正小标宋_GBK" w:cs="方正小标宋_GBK"/>
          <w:sz w:val="84"/>
          <w:szCs w:val="84"/>
        </w:rPr>
        <w:t>概况</w:t>
      </w:r>
    </w:p>
    <w:p w14:paraId="46166228">
      <w:pPr>
        <w:jc w:val="center"/>
        <w:rPr>
          <w:rFonts w:hint="eastAsia" w:ascii="方正小标宋_GBK" w:hAnsi="方正小标宋_GBK" w:eastAsia="方正小标宋_GBK" w:cs="方正小标宋_GBK"/>
          <w:sz w:val="72"/>
          <w:szCs w:val="72"/>
        </w:rPr>
      </w:pPr>
    </w:p>
    <w:p w14:paraId="6F4F2F7A">
      <w:pPr>
        <w:jc w:val="center"/>
        <w:rPr>
          <w:rFonts w:hint="eastAsia" w:ascii="方正小标宋_GBK" w:hAnsi="方正小标宋_GBK" w:eastAsia="方正小标宋_GBK" w:cs="方正小标宋_GBK"/>
          <w:sz w:val="72"/>
          <w:szCs w:val="72"/>
        </w:rPr>
      </w:pPr>
    </w:p>
    <w:p w14:paraId="07910036">
      <w:pPr>
        <w:jc w:val="center"/>
        <w:rPr>
          <w:sz w:val="72"/>
          <w:szCs w:val="72"/>
        </w:rPr>
      </w:pPr>
    </w:p>
    <w:p w14:paraId="3A3CEC21">
      <w:pPr>
        <w:jc w:val="center"/>
        <w:rPr>
          <w:sz w:val="72"/>
          <w:szCs w:val="72"/>
        </w:rPr>
      </w:pPr>
    </w:p>
    <w:p w14:paraId="45FE6C80">
      <w:pPr>
        <w:jc w:val="center"/>
        <w:rPr>
          <w:sz w:val="72"/>
          <w:szCs w:val="72"/>
        </w:rPr>
      </w:pPr>
    </w:p>
    <w:p w14:paraId="10C74511">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497B96D0">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仿宋_GB2312" w:cs="Times New Roman"/>
          <w:sz w:val="32"/>
          <w:szCs w:val="32"/>
          <w:lang w:eastAsia="zh-CN"/>
        </w:rPr>
      </w:pPr>
      <w:r>
        <w:rPr>
          <w:rFonts w:hint="eastAsia" w:eastAsia="仿宋_GB2312" w:cs="Times New Roman"/>
          <w:sz w:val="32"/>
          <w:szCs w:val="32"/>
          <w:lang w:eastAsia="zh-CN"/>
        </w:rPr>
        <w:t>1、负责研究和指导党组织建设，制订加强党的工作制度、党内生活制度的规定和意见；会同有关部门对县（市、区）委和市委管理的企事业单位党委换届选举，以及对县（市、区）、市直单位、中央和省在怀单位党委（党组）民主生活会进行指导；研究指导党的基层组织建设以及党组织的设置原则、隶属关系和活动内容、工作方式；研究、指导党员队伍建设，主管党员管理和发展工作，指导、协调党员教育工作；组织和开展新时期党的建设的理论研究。</w:t>
      </w:r>
    </w:p>
    <w:p w14:paraId="0CCA4D57">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仿宋_GB2312" w:cs="Times New Roman"/>
          <w:sz w:val="32"/>
          <w:szCs w:val="32"/>
          <w:lang w:eastAsia="zh-CN"/>
        </w:rPr>
      </w:pPr>
      <w:r>
        <w:rPr>
          <w:rFonts w:hint="eastAsia" w:eastAsia="仿宋_GB2312" w:cs="Times New Roman"/>
          <w:sz w:val="32"/>
          <w:szCs w:val="32"/>
          <w:lang w:eastAsia="zh-CN"/>
        </w:rPr>
        <w:t>2、负责干部队伍建设的宏观管理，制订和参与制订组织、干部、人事工作的重要政策、法规、制度，并对重要经验进行总结推介；会同有关部门研究制订适应现代企业制度要求的国有企业领导班子和企业经营管理者队伍建设的政策和措施，提出加强宏观指导的意见和建议。</w:t>
      </w:r>
    </w:p>
    <w:p w14:paraId="7587B215">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仿宋_GB2312" w:cs="Times New Roman"/>
          <w:sz w:val="32"/>
          <w:szCs w:val="32"/>
          <w:lang w:eastAsia="zh-CN"/>
        </w:rPr>
      </w:pPr>
      <w:r>
        <w:rPr>
          <w:rFonts w:hint="eastAsia" w:eastAsia="仿宋_GB2312" w:cs="Times New Roman"/>
          <w:sz w:val="32"/>
          <w:szCs w:val="32"/>
          <w:lang w:eastAsia="zh-CN"/>
        </w:rPr>
        <w:t>3、提出县（市、区）和市直部委办局及其他市委管理的领导班子调整、配备的意见的建议；负责市委管理干部的考察、任免、工资、待遇、出国（境）、退（离）休审批手续的办理；负责市级领导班子换届选举和届中调整的有关工作；负责县（市、区）和市直部委办局有关科级干部职务任免的备案和宏观管理工作；承办部分干部的调配、交流及安置工作；负责全市干部公开选拔工作的宏观指导、承办处级干部选拔的具体工作；负责团职军转干部安置和干部援藏援疆的有关工作；指导国家公务员制度的实施，负责全市党委、人大、政协、群众团体和民主党派等机关参照国家公务员制度管理的宏观指导；组织落实培养选拔中青年干部、女干部、少数民族干部、党外干部的有关规划和方案；指导县（市、区）和市直部委办局等部门领导班子的思想作风建设。</w:t>
      </w:r>
    </w:p>
    <w:p w14:paraId="7850A62E">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仿宋_GB2312" w:cs="Times New Roman"/>
          <w:sz w:val="32"/>
          <w:szCs w:val="32"/>
          <w:lang w:eastAsia="zh-CN"/>
        </w:rPr>
      </w:pPr>
      <w:r>
        <w:rPr>
          <w:rFonts w:hint="eastAsia" w:eastAsia="仿宋_GB2312" w:cs="Times New Roman"/>
          <w:sz w:val="32"/>
          <w:szCs w:val="32"/>
          <w:lang w:eastAsia="zh-CN"/>
        </w:rPr>
        <w:t>4、研究制订全市组织管理信息系统建设规划，指导全市组织系统信息网络建设；负责全市干部人事档案、党内统计、干部统计工作的宏观指导。</w:t>
      </w:r>
    </w:p>
    <w:p w14:paraId="20ABB5DC">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仿宋_GB2312" w:cs="Times New Roman"/>
          <w:sz w:val="32"/>
          <w:szCs w:val="32"/>
          <w:lang w:eastAsia="zh-CN"/>
        </w:rPr>
      </w:pPr>
      <w:r>
        <w:rPr>
          <w:rFonts w:hint="eastAsia" w:eastAsia="仿宋_GB2312" w:cs="Times New Roman"/>
          <w:sz w:val="32"/>
          <w:szCs w:val="32"/>
          <w:lang w:eastAsia="zh-CN"/>
        </w:rPr>
        <w:t>5、负责干部监督工作的宏观指导，负责组织工作和干部工作的督促检查，及时向上级组织部门和市委反映重要情况，对反映领导班子和领导干部的重要问题进行调查了解和督办；负责对市委管理干部和干部选拔任用工作进行监督，对有关监督制度的落实情况进行督查，对省委和市委管理干部的历史遗留问题进行初审和审查。</w:t>
      </w:r>
    </w:p>
    <w:p w14:paraId="01CB3BB9">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仿宋_GB2312" w:cs="Times New Roman"/>
          <w:sz w:val="32"/>
          <w:szCs w:val="32"/>
          <w:lang w:eastAsia="zh-CN"/>
        </w:rPr>
      </w:pPr>
      <w:r>
        <w:rPr>
          <w:rFonts w:hint="eastAsia" w:eastAsia="仿宋_GB2312" w:cs="Times New Roman"/>
          <w:sz w:val="32"/>
          <w:szCs w:val="32"/>
          <w:lang w:eastAsia="zh-CN"/>
        </w:rPr>
        <w:t>6、制订干部教育工作的政策、规划、指导、协调、检查县（市、区）和市直部委办局的干部教育工作；组织、协调省委、市委管理干部和部分中青年干部的培训；承担市委干部教育工作领导小组日常工作，负责市直部委办局组织干部教育培训班次审查备案工作。</w:t>
      </w:r>
    </w:p>
    <w:p w14:paraId="0FE6A64E">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仿宋_GB2312" w:cs="Times New Roman"/>
          <w:sz w:val="32"/>
          <w:szCs w:val="32"/>
          <w:lang w:eastAsia="zh-CN"/>
        </w:rPr>
      </w:pPr>
      <w:r>
        <w:rPr>
          <w:rFonts w:hint="eastAsia" w:eastAsia="仿宋_GB2312" w:cs="Times New Roman"/>
          <w:sz w:val="32"/>
          <w:szCs w:val="32"/>
          <w:lang w:eastAsia="zh-CN"/>
        </w:rPr>
        <w:t>7、牵头抓总全市人才工作和人才队伍建设，负责人才资源的开发和管理，做好培养、吸引和用好各方面人才的工作，研究制定人才队伍建设规划、政策、规定，指导、协调、检查全市人才工作；指导各行业杰出专家和学者开展有关活动。</w:t>
      </w:r>
    </w:p>
    <w:p w14:paraId="14DB1836">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仿宋_GB2312" w:cs="Times New Roman"/>
          <w:sz w:val="32"/>
          <w:szCs w:val="32"/>
          <w:lang w:eastAsia="zh-CN"/>
        </w:rPr>
      </w:pPr>
      <w:r>
        <w:rPr>
          <w:rFonts w:hint="eastAsia" w:eastAsia="仿宋_GB2312" w:cs="Times New Roman"/>
          <w:sz w:val="32"/>
          <w:szCs w:val="32"/>
          <w:lang w:eastAsia="zh-CN"/>
        </w:rPr>
        <w:t>8、承办市委和上级组织部门交办的其他事项。</w:t>
      </w:r>
    </w:p>
    <w:p w14:paraId="44DB94A0">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78CAA1A4">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3FE1616F">
      <w:pPr>
        <w:widowControl/>
        <w:spacing w:line="600" w:lineRule="exact"/>
        <w:ind w:firstLine="640" w:firstLineChars="200"/>
        <w:rPr>
          <w:rFonts w:hint="eastAsia" w:eastAsia="仿宋_GB2312" w:cs="Times New Roman"/>
          <w:sz w:val="32"/>
          <w:szCs w:val="32"/>
          <w:lang w:eastAsia="zh-CN"/>
        </w:rPr>
      </w:pPr>
      <w:r>
        <w:rPr>
          <w:rFonts w:hint="eastAsia" w:eastAsia="仿宋_GB2312" w:cs="Times New Roman"/>
          <w:sz w:val="32"/>
          <w:szCs w:val="32"/>
          <w:lang w:eastAsia="zh-CN"/>
        </w:rPr>
        <w:t>中共怀化市委组织部作为一级部门预算单位，内设科（室、中心）为：办公室、研究室、人事科、机关党委、基层办、组织指导科、党代表联络办、党员管理科、干部一科、干部二科、干部三科、干部规划办、公务员一科、公务员二科、公务员三科、干部信息科、干部监督科、举报中心、干部教育科、人才科、市委“两新”工委办公室、党员教育中心（信息化建设中心）、绩效评估一科、绩效评估二科、人才发展服务中心、通道转兵红色资源教育中心。</w:t>
      </w:r>
    </w:p>
    <w:p w14:paraId="548B584A">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p>
    <w:p w14:paraId="5790538F">
      <w:pPr>
        <w:widowControl/>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中共怀化市委组织部</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eastAsia="zh-CN"/>
        </w:rPr>
        <w:t>组织部本级。</w:t>
      </w:r>
    </w:p>
    <w:p w14:paraId="4893BFB1">
      <w:pPr>
        <w:jc w:val="left"/>
        <w:rPr>
          <w:rFonts w:ascii="仿宋_GB2312" w:eastAsia="仿宋_GB2312" w:hAnsiTheme="minorEastAsia"/>
          <w:sz w:val="28"/>
          <w:szCs w:val="32"/>
        </w:rPr>
      </w:pPr>
    </w:p>
    <w:p w14:paraId="4E4AB275">
      <w:pPr>
        <w:jc w:val="center"/>
        <w:rPr>
          <w:rFonts w:ascii="黑体" w:hAnsi="黑体" w:eastAsia="黑体"/>
          <w:sz w:val="28"/>
          <w:szCs w:val="28"/>
        </w:rPr>
      </w:pPr>
    </w:p>
    <w:p w14:paraId="65A1DE51">
      <w:pPr>
        <w:jc w:val="center"/>
        <w:rPr>
          <w:rFonts w:ascii="黑体" w:hAnsi="黑体" w:eastAsia="黑体"/>
          <w:sz w:val="28"/>
          <w:szCs w:val="28"/>
        </w:rPr>
      </w:pPr>
    </w:p>
    <w:p w14:paraId="00ED9670">
      <w:pPr>
        <w:jc w:val="center"/>
        <w:rPr>
          <w:rFonts w:ascii="黑体" w:hAnsi="黑体" w:eastAsia="黑体"/>
          <w:sz w:val="28"/>
          <w:szCs w:val="28"/>
        </w:rPr>
      </w:pPr>
    </w:p>
    <w:p w14:paraId="7CE05369">
      <w:pPr>
        <w:jc w:val="center"/>
        <w:rPr>
          <w:rFonts w:ascii="黑体" w:hAnsi="黑体" w:eastAsia="黑体"/>
          <w:sz w:val="28"/>
          <w:szCs w:val="28"/>
        </w:rPr>
      </w:pPr>
    </w:p>
    <w:p w14:paraId="03FD80F9">
      <w:pPr>
        <w:jc w:val="center"/>
        <w:rPr>
          <w:rFonts w:ascii="黑体" w:hAnsi="黑体" w:eastAsia="黑体"/>
          <w:sz w:val="28"/>
          <w:szCs w:val="28"/>
        </w:rPr>
      </w:pPr>
    </w:p>
    <w:p w14:paraId="26C92B3B">
      <w:pPr>
        <w:jc w:val="center"/>
        <w:rPr>
          <w:rFonts w:ascii="黑体" w:hAnsi="黑体" w:eastAsia="黑体"/>
          <w:sz w:val="28"/>
          <w:szCs w:val="28"/>
        </w:rPr>
      </w:pPr>
    </w:p>
    <w:p w14:paraId="43D0DA49">
      <w:pPr>
        <w:jc w:val="center"/>
        <w:rPr>
          <w:rFonts w:ascii="黑体" w:hAnsi="黑体" w:eastAsia="黑体"/>
          <w:sz w:val="28"/>
          <w:szCs w:val="28"/>
        </w:rPr>
      </w:pPr>
    </w:p>
    <w:p w14:paraId="019856EA">
      <w:pPr>
        <w:jc w:val="center"/>
        <w:rPr>
          <w:rFonts w:ascii="黑体" w:hAnsi="黑体" w:eastAsia="黑体"/>
          <w:sz w:val="28"/>
          <w:szCs w:val="28"/>
        </w:rPr>
      </w:pPr>
    </w:p>
    <w:p w14:paraId="4D0FCCFE">
      <w:pPr>
        <w:jc w:val="center"/>
        <w:rPr>
          <w:rFonts w:ascii="黑体" w:hAnsi="黑体" w:eastAsia="黑体"/>
          <w:sz w:val="28"/>
          <w:szCs w:val="28"/>
        </w:rPr>
      </w:pPr>
    </w:p>
    <w:p w14:paraId="18150131">
      <w:pPr>
        <w:jc w:val="center"/>
        <w:rPr>
          <w:rFonts w:ascii="黑体" w:hAnsi="黑体" w:eastAsia="黑体"/>
          <w:sz w:val="28"/>
          <w:szCs w:val="28"/>
        </w:rPr>
      </w:pPr>
    </w:p>
    <w:p w14:paraId="3C4B682D">
      <w:pPr>
        <w:jc w:val="center"/>
        <w:rPr>
          <w:rFonts w:ascii="黑体" w:hAnsi="黑体" w:eastAsia="黑体"/>
          <w:sz w:val="28"/>
          <w:szCs w:val="28"/>
        </w:rPr>
      </w:pPr>
    </w:p>
    <w:p w14:paraId="7FC41B7D">
      <w:pPr>
        <w:jc w:val="center"/>
        <w:rPr>
          <w:rFonts w:ascii="黑体" w:hAnsi="黑体" w:eastAsia="黑体"/>
          <w:sz w:val="28"/>
          <w:szCs w:val="28"/>
        </w:rPr>
      </w:pPr>
    </w:p>
    <w:p w14:paraId="41EEBB24">
      <w:pPr>
        <w:jc w:val="center"/>
        <w:rPr>
          <w:sz w:val="72"/>
          <w:szCs w:val="72"/>
        </w:rPr>
      </w:pPr>
    </w:p>
    <w:p w14:paraId="1B679590">
      <w:pPr>
        <w:jc w:val="center"/>
        <w:rPr>
          <w:sz w:val="72"/>
          <w:szCs w:val="72"/>
        </w:rPr>
      </w:pPr>
    </w:p>
    <w:p w14:paraId="7DD819F4">
      <w:pPr>
        <w:jc w:val="center"/>
        <w:rPr>
          <w:sz w:val="72"/>
          <w:szCs w:val="72"/>
        </w:rPr>
      </w:pPr>
    </w:p>
    <w:p w14:paraId="3EEB455D">
      <w:pPr>
        <w:rPr>
          <w:sz w:val="72"/>
          <w:szCs w:val="72"/>
        </w:rPr>
      </w:pPr>
      <w:r>
        <w:rPr>
          <w:sz w:val="72"/>
          <w:szCs w:val="72"/>
        </w:rPr>
        <w:br w:type="page"/>
      </w:r>
    </w:p>
    <w:p w14:paraId="7D8A0733">
      <w:pPr>
        <w:jc w:val="center"/>
        <w:rPr>
          <w:sz w:val="72"/>
          <w:szCs w:val="72"/>
        </w:rPr>
      </w:pPr>
    </w:p>
    <w:p w14:paraId="5A8E4A8C">
      <w:pPr>
        <w:jc w:val="center"/>
        <w:rPr>
          <w:sz w:val="72"/>
          <w:szCs w:val="72"/>
        </w:rPr>
      </w:pPr>
    </w:p>
    <w:p w14:paraId="613D8CFB">
      <w:pPr>
        <w:jc w:val="center"/>
        <w:rPr>
          <w:sz w:val="72"/>
          <w:szCs w:val="72"/>
        </w:rPr>
      </w:pPr>
    </w:p>
    <w:p w14:paraId="24897599">
      <w:pPr>
        <w:jc w:val="center"/>
        <w:rPr>
          <w:sz w:val="72"/>
          <w:szCs w:val="72"/>
        </w:rPr>
      </w:pPr>
    </w:p>
    <w:p w14:paraId="3B54A506">
      <w:pPr>
        <w:pStyle w:val="13"/>
        <w:jc w:val="center"/>
        <w:rPr>
          <w:rFonts w:hint="eastAsia" w:ascii="方正小标宋_GBK" w:hAnsi="方正小标宋_GBK" w:eastAsia="方正小标宋_GBK" w:cs="方正小标宋_GBK"/>
          <w:sz w:val="84"/>
          <w:szCs w:val="84"/>
        </w:rPr>
      </w:pPr>
    </w:p>
    <w:p w14:paraId="349F761A">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6F8F0148">
      <w:pPr>
        <w:pStyle w:val="13"/>
        <w:jc w:val="center"/>
        <w:rPr>
          <w:rFonts w:hint="eastAsia" w:ascii="方正小标宋_GBK" w:hAnsi="方正小标宋_GBK" w:eastAsia="方正小标宋_GBK" w:cs="方正小标宋_GBK"/>
          <w:sz w:val="84"/>
          <w:szCs w:val="84"/>
        </w:rPr>
      </w:pPr>
    </w:p>
    <w:p w14:paraId="7A4ED25A">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1CE258DC">
      <w:pPr>
        <w:jc w:val="center"/>
        <w:rPr>
          <w:rFonts w:hint="eastAsia" w:eastAsiaTheme="minorEastAsia"/>
          <w:sz w:val="72"/>
          <w:szCs w:val="72"/>
          <w:lang w:eastAsia="zh-CN"/>
        </w:rPr>
      </w:pPr>
      <w:r>
        <w:rPr>
          <w:rFonts w:hint="eastAsia"/>
          <w:sz w:val="72"/>
          <w:szCs w:val="72"/>
          <w:lang w:eastAsia="zh-CN"/>
        </w:rPr>
        <w:t>（见附件）</w:t>
      </w:r>
    </w:p>
    <w:p w14:paraId="7858401C">
      <w:pPr>
        <w:jc w:val="center"/>
        <w:rPr>
          <w:sz w:val="72"/>
          <w:szCs w:val="72"/>
        </w:rPr>
      </w:pPr>
    </w:p>
    <w:p w14:paraId="3B9182BC">
      <w:pPr>
        <w:jc w:val="center"/>
        <w:rPr>
          <w:sz w:val="72"/>
          <w:szCs w:val="72"/>
        </w:rPr>
      </w:pPr>
    </w:p>
    <w:p w14:paraId="02D82241">
      <w:pPr>
        <w:jc w:val="center"/>
        <w:rPr>
          <w:sz w:val="72"/>
          <w:szCs w:val="72"/>
        </w:rPr>
      </w:pPr>
    </w:p>
    <w:p w14:paraId="4307FF1F">
      <w:pPr>
        <w:jc w:val="center"/>
        <w:rPr>
          <w:sz w:val="72"/>
          <w:szCs w:val="72"/>
        </w:rPr>
      </w:pPr>
    </w:p>
    <w:p w14:paraId="5EEFFFC6">
      <w:pPr>
        <w:rPr>
          <w:rFonts w:asciiTheme="minorEastAsia" w:hAnsiTheme="minorEastAsia"/>
          <w:sz w:val="32"/>
          <w:szCs w:val="32"/>
        </w:rPr>
      </w:pPr>
      <w:r>
        <w:rPr>
          <w:rFonts w:asciiTheme="minorEastAsia" w:hAnsiTheme="minorEastAsia"/>
          <w:sz w:val="32"/>
          <w:szCs w:val="32"/>
        </w:rPr>
        <w:br w:type="page"/>
      </w:r>
    </w:p>
    <w:p w14:paraId="6D73A0A0">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33CF4EBE">
      <w:pPr>
        <w:pStyle w:val="13"/>
        <w:rPr>
          <w:sz w:val="72"/>
          <w:szCs w:val="72"/>
        </w:rPr>
      </w:pPr>
      <w:bookmarkStart w:id="0" w:name="RANGE!A1:I22"/>
      <w:bookmarkEnd w:id="0"/>
    </w:p>
    <w:p w14:paraId="068D7C30">
      <w:pPr>
        <w:pStyle w:val="13"/>
        <w:rPr>
          <w:sz w:val="72"/>
          <w:szCs w:val="72"/>
        </w:rPr>
      </w:pPr>
    </w:p>
    <w:p w14:paraId="27604C78">
      <w:pPr>
        <w:pStyle w:val="13"/>
        <w:rPr>
          <w:sz w:val="72"/>
          <w:szCs w:val="72"/>
        </w:rPr>
      </w:pPr>
    </w:p>
    <w:p w14:paraId="554B8C60">
      <w:pPr>
        <w:pStyle w:val="13"/>
        <w:jc w:val="center"/>
        <w:rPr>
          <w:sz w:val="72"/>
          <w:szCs w:val="72"/>
        </w:rPr>
      </w:pPr>
    </w:p>
    <w:p w14:paraId="788AEA58">
      <w:pPr>
        <w:pStyle w:val="13"/>
        <w:jc w:val="center"/>
        <w:rPr>
          <w:rFonts w:hint="eastAsia" w:ascii="方正小标宋_GBK" w:hAnsi="方正小标宋_GBK" w:eastAsia="方正小标宋_GBK" w:cs="方正小标宋_GBK"/>
          <w:sz w:val="72"/>
          <w:szCs w:val="72"/>
        </w:rPr>
      </w:pPr>
    </w:p>
    <w:p w14:paraId="26547CF1">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665C2BB3">
      <w:pPr>
        <w:pStyle w:val="13"/>
        <w:jc w:val="center"/>
        <w:rPr>
          <w:rFonts w:hint="eastAsia" w:ascii="方正小标宋_GBK" w:hAnsi="方正小标宋_GBK" w:eastAsia="方正小标宋_GBK" w:cs="方正小标宋_GBK"/>
          <w:sz w:val="70"/>
          <w:szCs w:val="70"/>
        </w:rPr>
      </w:pPr>
    </w:p>
    <w:p w14:paraId="68751010">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0F2D1360">
      <w:pPr>
        <w:widowControl/>
        <w:jc w:val="left"/>
        <w:rPr>
          <w:rFonts w:hint="eastAsia" w:ascii="方正小标宋_GBK" w:hAnsi="方正小标宋_GBK" w:eastAsia="方正小标宋_GBK" w:cs="方正小标宋_GBK"/>
          <w:sz w:val="70"/>
          <w:szCs w:val="70"/>
        </w:rPr>
      </w:pPr>
    </w:p>
    <w:p w14:paraId="4888BE64">
      <w:pPr>
        <w:widowControl/>
        <w:jc w:val="left"/>
        <w:rPr>
          <w:rFonts w:hint="eastAsia" w:ascii="方正小标宋_GBK" w:hAnsi="方正小标宋_GBK" w:eastAsia="方正小标宋_GBK" w:cs="方正小标宋_GBK"/>
          <w:sz w:val="70"/>
          <w:szCs w:val="70"/>
        </w:rPr>
      </w:pPr>
    </w:p>
    <w:p w14:paraId="3B7B426A">
      <w:pPr>
        <w:widowControl/>
        <w:jc w:val="left"/>
        <w:rPr>
          <w:rFonts w:hint="eastAsia" w:ascii="方正小标宋_GBK" w:hAnsi="方正小标宋_GBK" w:eastAsia="方正小标宋_GBK" w:cs="方正小标宋_GBK"/>
          <w:sz w:val="70"/>
          <w:szCs w:val="70"/>
        </w:rPr>
      </w:pPr>
    </w:p>
    <w:p w14:paraId="66231F5A">
      <w:pPr>
        <w:widowControl/>
        <w:jc w:val="left"/>
        <w:rPr>
          <w:rFonts w:hint="eastAsia" w:ascii="方正小标宋_GBK" w:hAnsi="方正小标宋_GBK" w:eastAsia="方正小标宋_GBK" w:cs="方正小标宋_GBK"/>
          <w:sz w:val="70"/>
          <w:szCs w:val="70"/>
        </w:rPr>
      </w:pPr>
    </w:p>
    <w:p w14:paraId="6BCC151F">
      <w:pPr>
        <w:widowControl/>
        <w:jc w:val="left"/>
        <w:rPr>
          <w:rFonts w:hint="eastAsia" w:ascii="方正小标宋_GBK" w:hAnsi="方正小标宋_GBK" w:eastAsia="方正小标宋_GBK" w:cs="方正小标宋_GBK"/>
          <w:sz w:val="70"/>
          <w:szCs w:val="70"/>
        </w:rPr>
      </w:pPr>
    </w:p>
    <w:p w14:paraId="5C219F5C">
      <w:pP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br w:type="page"/>
      </w:r>
    </w:p>
    <w:p w14:paraId="1904A05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24E46E0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2857.04</w:t>
      </w:r>
      <w:r>
        <w:rPr>
          <w:rFonts w:hint="eastAsia" w:ascii="Times New Roman" w:hAnsi="Times New Roman" w:eastAsia="仿宋_GB2312"/>
          <w:sz w:val="32"/>
          <w:szCs w:val="32"/>
        </w:rPr>
        <w:t>万元。与上年相比，增加409.87万元，增长</w:t>
      </w:r>
      <w:r>
        <w:rPr>
          <w:rFonts w:hint="eastAsia" w:ascii="Times New Roman" w:hAnsi="Times New Roman" w:eastAsia="仿宋_GB2312"/>
          <w:sz w:val="32"/>
          <w:szCs w:val="32"/>
          <w:lang w:val="en-US" w:eastAsia="zh-CN"/>
        </w:rPr>
        <w:t>16.75</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2023年新增主题教育经费。</w:t>
      </w:r>
    </w:p>
    <w:p w14:paraId="6AC82DE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25338E5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2857.04</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2857.04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2FF4941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745E9EA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2857.04</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1895.08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66.33</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961.96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33.67</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10B9B5C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1816FC3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2857.04</w:t>
      </w:r>
      <w:r>
        <w:rPr>
          <w:rFonts w:hint="eastAsia" w:ascii="Times New Roman" w:hAnsi="Times New Roman" w:eastAsia="仿宋_GB2312"/>
          <w:sz w:val="32"/>
          <w:szCs w:val="32"/>
        </w:rPr>
        <w:t>万元，与上年相比，增加409.87万元，增长16.75%，主要是因为2023年新增主题教育经费。</w:t>
      </w:r>
    </w:p>
    <w:p w14:paraId="1C6A5E4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6CD7419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7F312FB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2857.04</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%，与上年相比，财政拨款支出增加409.87万元，增长16.75%，主要是因为2023年新增主题教育经费。</w:t>
      </w:r>
    </w:p>
    <w:p w14:paraId="0E9A4D4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054727F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2857.04</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2595.67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90.85</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lang w:val="en-US" w:eastAsia="zh-CN"/>
        </w:rPr>
        <w:t>123.89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4.34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；卫生健康支出</w:t>
      </w:r>
      <w:r>
        <w:rPr>
          <w:rFonts w:hint="eastAsia" w:ascii="Times New Roman" w:hAnsi="Times New Roman" w:eastAsia="仿宋_GB2312"/>
          <w:sz w:val="32"/>
          <w:szCs w:val="32"/>
          <w:lang w:val="en-US" w:eastAsia="zh-CN"/>
        </w:rPr>
        <w:t>41.97万元，占1.47%；农林水支出95.51万元，占3.34%。</w:t>
      </w:r>
    </w:p>
    <w:p w14:paraId="6C30FD0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02C8979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2098.62</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2857.04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136.14</w:t>
      </w:r>
      <w:r>
        <w:rPr>
          <w:rFonts w:hint="eastAsia" w:ascii="Times New Roman" w:hAnsi="Times New Roman" w:eastAsia="仿宋_GB2312"/>
          <w:sz w:val="32"/>
          <w:szCs w:val="32"/>
        </w:rPr>
        <w:t>%，其中：</w:t>
      </w:r>
    </w:p>
    <w:p w14:paraId="700D611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eastAsia="zh-CN"/>
        </w:rPr>
        <w:t>组织事务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14:paraId="1C10F0C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1830.65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1300.17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71.02</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年初预算社保金额计在该科目，财政下拨指标在</w:t>
      </w:r>
      <w:r>
        <w:rPr>
          <w:rFonts w:hint="eastAsia" w:ascii="Times New Roman" w:hAnsi="Times New Roman" w:eastAsia="仿宋_GB2312"/>
          <w:sz w:val="32"/>
          <w:szCs w:val="32"/>
          <w:lang w:val="en-US" w:eastAsia="zh-CN"/>
        </w:rPr>
        <w:t>社会保障和就业支出科目</w:t>
      </w:r>
      <w:r>
        <w:rPr>
          <w:rFonts w:hint="eastAsia" w:ascii="Times New Roman" w:hAnsi="Times New Roman" w:eastAsia="仿宋_GB2312"/>
          <w:sz w:val="32"/>
          <w:szCs w:val="32"/>
          <w:lang w:eastAsia="zh-CN"/>
        </w:rPr>
        <w:t>、人员调整。</w:t>
      </w:r>
    </w:p>
    <w:p w14:paraId="4DBBC57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w:t>
      </w:r>
      <w:r>
        <w:rPr>
          <w:rFonts w:hint="eastAsia" w:ascii="Times New Roman" w:hAnsi="Times New Roman" w:eastAsia="仿宋_GB2312"/>
          <w:sz w:val="32"/>
          <w:szCs w:val="32"/>
          <w:lang w:eastAsia="zh-CN"/>
        </w:rPr>
        <w:t>组织事务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公务员事务</w:t>
      </w:r>
      <w:r>
        <w:rPr>
          <w:rFonts w:hint="eastAsia" w:ascii="Times New Roman" w:hAnsi="Times New Roman" w:eastAsia="仿宋_GB2312"/>
          <w:sz w:val="32"/>
          <w:szCs w:val="32"/>
        </w:rPr>
        <w:t>（项）。</w:t>
      </w:r>
    </w:p>
    <w:p w14:paraId="46C1930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64.42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99.11</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厉行节约。</w:t>
      </w:r>
    </w:p>
    <w:p w14:paraId="04990E2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组织事务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其他组织事务支出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3DCF457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180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1230.78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683.77</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一是基层组织服务群众经费、人才资源开发专项经费、部分人员支出由财政统筹，不属于部机关年初预算范围。二是主题教育等临时工作下拨的经费计在该科目。</w:t>
      </w:r>
    </w:p>
    <w:p w14:paraId="148A8D4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其他一般公共服务支出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其他一般公共服务支出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2315674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0.3</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0，无法计算百分比</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该项支出是其他单位拨来的款项，不属于部机关年初预算。</w:t>
      </w:r>
    </w:p>
    <w:p w14:paraId="0987C04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5、社会保障和就业支出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行政单位离退休</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00DE306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22.97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7.75</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年初预算数包含退休人员工资，该项由人社局统一发放，不计入部机关收支。</w:t>
      </w:r>
    </w:p>
    <w:p w14:paraId="3A9A95D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6、社会保障和就业支出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机关事业单位基本养老保险缴费支出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798FB9B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111.78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0，无法计算百分比</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年初预算时社保科目计在</w:t>
      </w:r>
      <w:r>
        <w:rPr>
          <w:rFonts w:hint="eastAsia" w:ascii="Times New Roman" w:hAnsi="Times New Roman" w:eastAsia="仿宋_GB2312"/>
          <w:sz w:val="32"/>
          <w:szCs w:val="32"/>
        </w:rPr>
        <w:t>一般公共服务</w:t>
      </w:r>
      <w:r>
        <w:rPr>
          <w:rFonts w:hint="eastAsia" w:ascii="Times New Roman" w:hAnsi="Times New Roman" w:eastAsia="仿宋_GB2312"/>
          <w:sz w:val="32"/>
          <w:szCs w:val="32"/>
          <w:lang w:eastAsia="zh-CN"/>
        </w:rPr>
        <w:t>下，财政下拨指标在本科目。</w:t>
      </w:r>
    </w:p>
    <w:p w14:paraId="52FBF4F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7、社会保障和就业支出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其他行政事业单位养老支出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6F06F2E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10.33</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0，无法计算百分比</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退休人员生活补助由财政统筹，不纳入部门年初预算。</w:t>
      </w:r>
    </w:p>
    <w:p w14:paraId="5A5368E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8、卫生健康支出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行政单位医疗</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06921A0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41.97</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0，无法计算百分比</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年初预算时社保科目计在</w:t>
      </w:r>
      <w:r>
        <w:rPr>
          <w:rFonts w:hint="eastAsia" w:ascii="Times New Roman" w:hAnsi="Times New Roman" w:eastAsia="仿宋_GB2312"/>
          <w:sz w:val="32"/>
          <w:szCs w:val="32"/>
        </w:rPr>
        <w:t>一般公共服务</w:t>
      </w:r>
      <w:r>
        <w:rPr>
          <w:rFonts w:hint="eastAsia" w:ascii="Times New Roman" w:hAnsi="Times New Roman" w:eastAsia="仿宋_GB2312"/>
          <w:sz w:val="32"/>
          <w:szCs w:val="32"/>
          <w:lang w:eastAsia="zh-CN"/>
        </w:rPr>
        <w:t>下，财政下拨指标在本科目。</w:t>
      </w:r>
    </w:p>
    <w:p w14:paraId="59C584C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9、农林水支出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巩固脱贫攻坚成果衔接乡村振兴</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其他巩固脱贫攻坚成果衔接乡村振兴支出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3D176D9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95.51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0，无法计算百分比</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驻村办工作经费为财政预算，不属于部机关年初预算范围。</w:t>
      </w:r>
    </w:p>
    <w:p w14:paraId="306073A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278F9E3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1895.08</w:t>
      </w:r>
      <w:r>
        <w:rPr>
          <w:rFonts w:hint="eastAsia" w:ascii="Times New Roman" w:hAnsi="Times New Roman" w:eastAsia="仿宋_GB2312"/>
          <w:sz w:val="32"/>
          <w:szCs w:val="32"/>
        </w:rPr>
        <w:t>万元，其中：</w:t>
      </w:r>
    </w:p>
    <w:p w14:paraId="4050B3F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人员经费</w:t>
      </w:r>
      <w:r>
        <w:rPr>
          <w:rFonts w:hint="eastAsia" w:ascii="Times New Roman" w:hAnsi="Times New Roman" w:eastAsia="仿宋_GB2312"/>
          <w:sz w:val="32"/>
          <w:szCs w:val="32"/>
          <w:lang w:val="en-US" w:eastAsia="zh-CN"/>
        </w:rPr>
        <w:t>997.76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52.65</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、机关事业单位基本养老保险缴费、职工基本医疗保险缴费、其他社会保障缴费、退休费、奖励金。</w:t>
      </w:r>
      <w:r>
        <w:rPr>
          <w:rFonts w:hint="eastAsia" w:ascii="Times New Roman" w:hAnsi="Times New Roman" w:eastAsia="仿宋_GB2312"/>
          <w:sz w:val="32"/>
          <w:szCs w:val="32"/>
        </w:rPr>
        <w:t>公用经费</w:t>
      </w:r>
      <w:r>
        <w:rPr>
          <w:rFonts w:hint="eastAsia" w:ascii="Times New Roman" w:hAnsi="Times New Roman" w:eastAsia="仿宋_GB2312"/>
          <w:sz w:val="32"/>
          <w:szCs w:val="32"/>
          <w:lang w:val="en-US" w:eastAsia="zh-CN"/>
        </w:rPr>
        <w:t>897.32</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47.35</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eastAsia="zh-CN"/>
        </w:rPr>
        <w:t>邮电费、差旅费、维修（护）费、租赁费、会议费、培训费、公务接待费、劳务费、工会经费、公务用车运行维护费、其他交通费用、其他商品和服务支出、办公设备购置</w:t>
      </w:r>
      <w:r>
        <w:rPr>
          <w:rFonts w:hint="eastAsia" w:ascii="Times New Roman" w:hAnsi="Times New Roman" w:eastAsia="仿宋_GB2312"/>
          <w:sz w:val="32"/>
          <w:szCs w:val="32"/>
        </w:rPr>
        <w:t>。</w:t>
      </w:r>
    </w:p>
    <w:p w14:paraId="3D75D6C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21C2EC0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3D17F1C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58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12.77</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22.02</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2023年度有车辆购置预算但未购置车辆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10.93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46.12%</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减少的主要原因</w:t>
      </w:r>
      <w:r>
        <w:rPr>
          <w:rFonts w:hint="eastAsia" w:ascii="Times New Roman" w:hAnsi="Times New Roman" w:eastAsia="仿宋_GB2312"/>
          <w:sz w:val="32"/>
          <w:szCs w:val="32"/>
          <w:lang w:eastAsia="zh-CN"/>
        </w:rPr>
        <w:t>一是厉行节约，二是财政压减资金</w:t>
      </w:r>
      <w:r>
        <w:rPr>
          <w:rFonts w:hint="eastAsia" w:ascii="Times New Roman" w:hAnsi="Times New Roman" w:eastAsia="仿宋_GB2312"/>
          <w:sz w:val="32"/>
          <w:szCs w:val="32"/>
        </w:rPr>
        <w:t>。其中：</w:t>
      </w:r>
    </w:p>
    <w:p w14:paraId="5A2DAB0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决算数等于预算数的主要原因是我部无</w:t>
      </w:r>
      <w:r>
        <w:rPr>
          <w:rFonts w:hint="eastAsia" w:ascii="Times New Roman" w:hAnsi="Times New Roman" w:eastAsia="仿宋_GB2312"/>
          <w:sz w:val="32"/>
          <w:szCs w:val="32"/>
        </w:rPr>
        <w:t>因公出国（境）费</w:t>
      </w:r>
      <w:r>
        <w:rPr>
          <w:rFonts w:hint="eastAsia" w:ascii="Times New Roman" w:hAnsi="Times New Roman" w:eastAsia="仿宋_GB2312"/>
          <w:sz w:val="32"/>
          <w:szCs w:val="32"/>
          <w:lang w:eastAsia="zh-CN"/>
        </w:rPr>
        <w:t>，决算数与上年持平主要原因是我部无</w:t>
      </w:r>
      <w:r>
        <w:rPr>
          <w:rFonts w:hint="eastAsia" w:ascii="Times New Roman" w:hAnsi="Times New Roman" w:eastAsia="仿宋_GB2312"/>
          <w:sz w:val="32"/>
          <w:szCs w:val="32"/>
        </w:rPr>
        <w:t>因公出国（境）费。</w:t>
      </w:r>
    </w:p>
    <w:p w14:paraId="6801F64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0.79</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39.5</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厉行节约</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2.58</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76.56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厉行节约</w:t>
      </w:r>
      <w:r>
        <w:rPr>
          <w:rFonts w:hint="eastAsia" w:ascii="Times New Roman" w:hAnsi="Times New Roman" w:eastAsia="仿宋_GB2312"/>
          <w:sz w:val="32"/>
          <w:szCs w:val="32"/>
        </w:rPr>
        <w:t>。</w:t>
      </w:r>
    </w:p>
    <w:p w14:paraId="24304D0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40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2023年未购置车辆</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决算数与上年持平主要原因是我部未购置车辆</w:t>
      </w:r>
      <w:r>
        <w:rPr>
          <w:rFonts w:hint="eastAsia" w:ascii="Times New Roman" w:hAnsi="Times New Roman" w:eastAsia="仿宋_GB2312"/>
          <w:sz w:val="32"/>
          <w:szCs w:val="32"/>
        </w:rPr>
        <w:t>。</w:t>
      </w:r>
    </w:p>
    <w:p w14:paraId="11641CD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11.98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74.88</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厉行节约</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8.35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41.07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减少的主要原因</w:t>
      </w:r>
      <w:r>
        <w:rPr>
          <w:rFonts w:hint="eastAsia" w:ascii="Times New Roman" w:hAnsi="Times New Roman" w:eastAsia="仿宋_GB2312"/>
          <w:sz w:val="32"/>
          <w:szCs w:val="32"/>
          <w:lang w:eastAsia="zh-CN"/>
        </w:rPr>
        <w:t>一是厉行节约，二是财政压减资金</w:t>
      </w:r>
      <w:r>
        <w:rPr>
          <w:rFonts w:hint="eastAsia" w:ascii="Times New Roman" w:hAnsi="Times New Roman" w:eastAsia="仿宋_GB2312"/>
          <w:sz w:val="32"/>
          <w:szCs w:val="32"/>
        </w:rPr>
        <w:t>。</w:t>
      </w:r>
    </w:p>
    <w:p w14:paraId="15BFFD4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529366A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0.79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6.19</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11.98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93.81</w:t>
      </w:r>
      <w:r>
        <w:rPr>
          <w:rFonts w:hint="eastAsia" w:ascii="Times New Roman" w:hAnsi="Times New Roman" w:eastAsia="仿宋_GB2312"/>
          <w:sz w:val="32"/>
          <w:szCs w:val="32"/>
        </w:rPr>
        <w:t>%。其中：</w:t>
      </w:r>
    </w:p>
    <w:p w14:paraId="7CB3760B">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，无</w:t>
      </w:r>
      <w:r>
        <w:rPr>
          <w:rFonts w:hint="eastAsia" w:ascii="Times New Roman" w:hAnsi="Times New Roman" w:eastAsia="仿宋_GB2312"/>
          <w:sz w:val="32"/>
          <w:szCs w:val="32"/>
        </w:rPr>
        <w:t>开支内容</w:t>
      </w:r>
      <w:r>
        <w:rPr>
          <w:rFonts w:hint="eastAsia" w:ascii="Times New Roman" w:hAnsi="Times New Roman" w:eastAsia="仿宋_GB2312"/>
          <w:sz w:val="32"/>
          <w:szCs w:val="32"/>
          <w:lang w:eastAsia="zh-CN"/>
        </w:rPr>
        <w:t>。</w:t>
      </w:r>
    </w:p>
    <w:p w14:paraId="39EF1C6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rPr>
        <w:t>2、</w:t>
      </w:r>
      <w:r>
        <w:rPr>
          <w:rFonts w:hint="eastAsia" w:ascii="Times New Roman" w:hAnsi="Times New Roman" w:eastAsia="仿宋_GB2312"/>
          <w:sz w:val="32"/>
          <w:szCs w:val="32"/>
          <w:highlight w:val="none"/>
        </w:rPr>
        <w:t>公务接待费支出决算为</w:t>
      </w:r>
      <w:r>
        <w:rPr>
          <w:rFonts w:hint="eastAsia" w:ascii="Times New Roman" w:hAnsi="Times New Roman" w:eastAsia="仿宋_GB2312"/>
          <w:sz w:val="32"/>
          <w:szCs w:val="32"/>
          <w:highlight w:val="none"/>
          <w:lang w:val="en-US" w:eastAsia="zh-CN"/>
        </w:rPr>
        <w:t>0.79</w:t>
      </w:r>
      <w:r>
        <w:rPr>
          <w:rFonts w:hint="eastAsia" w:ascii="Times New Roman" w:hAnsi="Times New Roman" w:eastAsia="仿宋_GB2312"/>
          <w:sz w:val="32"/>
          <w:szCs w:val="32"/>
          <w:highlight w:val="none"/>
        </w:rPr>
        <w:t>万元，全年共接待来访团组</w:t>
      </w:r>
      <w:r>
        <w:rPr>
          <w:rFonts w:hint="eastAsia" w:ascii="Times New Roman" w:hAnsi="Times New Roman" w:eastAsia="仿宋_GB2312"/>
          <w:sz w:val="32"/>
          <w:szCs w:val="32"/>
          <w:highlight w:val="none"/>
          <w:lang w:val="en-US" w:eastAsia="zh-CN"/>
        </w:rPr>
        <w:t>12</w:t>
      </w:r>
      <w:r>
        <w:rPr>
          <w:rFonts w:hint="eastAsia" w:ascii="Times New Roman" w:hAnsi="Times New Roman" w:eastAsia="仿宋_GB2312"/>
          <w:sz w:val="32"/>
          <w:szCs w:val="32"/>
          <w:highlight w:val="none"/>
        </w:rPr>
        <w:t>个、来宾</w:t>
      </w:r>
      <w:r>
        <w:rPr>
          <w:rFonts w:hint="eastAsia" w:ascii="Times New Roman" w:hAnsi="Times New Roman" w:eastAsia="仿宋_GB2312"/>
          <w:sz w:val="32"/>
          <w:szCs w:val="32"/>
          <w:highlight w:val="none"/>
          <w:lang w:val="en-US" w:eastAsia="zh-CN"/>
        </w:rPr>
        <w:t>39</w:t>
      </w:r>
      <w:r>
        <w:rPr>
          <w:rFonts w:hint="eastAsia" w:ascii="Times New Roman" w:hAnsi="Times New Roman" w:eastAsia="仿宋_GB2312"/>
          <w:sz w:val="32"/>
          <w:szCs w:val="32"/>
          <w:highlight w:val="none"/>
        </w:rPr>
        <w:t>人次，主要是</w:t>
      </w:r>
      <w:r>
        <w:rPr>
          <w:rFonts w:hint="eastAsia" w:ascii="Times New Roman" w:hAnsi="Times New Roman" w:eastAsia="仿宋_GB2312"/>
          <w:sz w:val="32"/>
          <w:szCs w:val="32"/>
          <w:highlight w:val="none"/>
          <w:lang w:eastAsia="zh-CN"/>
        </w:rPr>
        <w:t>干部考察、调研、指导工作</w:t>
      </w:r>
      <w:r>
        <w:rPr>
          <w:rFonts w:hint="eastAsia" w:ascii="Times New Roman" w:hAnsi="Times New Roman" w:eastAsia="仿宋_GB2312"/>
          <w:sz w:val="32"/>
          <w:szCs w:val="32"/>
          <w:highlight w:val="none"/>
        </w:rPr>
        <w:t>发生的接待支出。</w:t>
      </w:r>
    </w:p>
    <w:p w14:paraId="05E6E18F">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11.98</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组织部本级</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11.98</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车辆加油费、维修费、保险费、通行费等支出</w:t>
      </w:r>
      <w:r>
        <w:rPr>
          <w:rFonts w:hint="eastAsia" w:ascii="Times New Roman" w:hAnsi="Times New Roman" w:eastAsia="仿宋_GB2312"/>
          <w:sz w:val="32"/>
          <w:szCs w:val="32"/>
        </w:rPr>
        <w:t>，截止202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辆。</w:t>
      </w:r>
    </w:p>
    <w:p w14:paraId="15C0E24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7F23291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仿宋_GB2312"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eastAsia="zh-CN"/>
        </w:rPr>
        <w:t>我部无</w:t>
      </w:r>
      <w:r>
        <w:rPr>
          <w:rFonts w:hint="eastAsia" w:ascii="Times New Roman" w:hAnsi="Times New Roman" w:eastAsia="仿宋_GB2312"/>
          <w:sz w:val="32"/>
          <w:szCs w:val="32"/>
        </w:rPr>
        <w:t>政府性基金预算财政拨款</w:t>
      </w:r>
      <w:r>
        <w:rPr>
          <w:rFonts w:hint="eastAsia" w:ascii="Times New Roman" w:hAnsi="Times New Roman" w:eastAsia="仿宋_GB2312"/>
          <w:sz w:val="32"/>
          <w:szCs w:val="32"/>
          <w:lang w:eastAsia="zh-CN"/>
        </w:rPr>
        <w:t>收支。</w:t>
      </w:r>
    </w:p>
    <w:p w14:paraId="4E9EC0D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r>
        <w:rPr>
          <w:rFonts w:hint="eastAsia" w:ascii="黑体" w:hAnsi="黑体" w:eastAsia="黑体" w:cs="黑体"/>
          <w:b w:val="0"/>
          <w:bCs/>
          <w:sz w:val="32"/>
          <w:szCs w:val="32"/>
        </w:rPr>
        <w:t>九、</w:t>
      </w:r>
      <w:r>
        <w:rPr>
          <w:rFonts w:hint="eastAsia" w:ascii="黑体" w:hAnsi="黑体" w:eastAsia="黑体" w:cs="黑体"/>
          <w:b w:val="0"/>
          <w:bCs/>
          <w:sz w:val="32"/>
          <w:szCs w:val="32"/>
          <w:lang w:eastAsia="zh-CN"/>
        </w:rPr>
        <w:t>国有资本经营预算财政拨款收入支出决算情况说明</w:t>
      </w:r>
    </w:p>
    <w:p w14:paraId="1FAF2E2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eastAsia="zh-CN"/>
        </w:rPr>
        <w:t>我部无国有资本经营预算财政拨款收入支出。</w:t>
      </w:r>
    </w:p>
    <w:p w14:paraId="61D352F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黑体" w:hAnsi="黑体" w:eastAsia="黑体" w:cs="黑体"/>
          <w:b w:val="0"/>
          <w:bCs/>
          <w:sz w:val="32"/>
          <w:szCs w:val="32"/>
        </w:rPr>
        <w:t>十、</w:t>
      </w:r>
      <w:r>
        <w:rPr>
          <w:rFonts w:hint="eastAsia" w:ascii="Times New Roman" w:hAnsi="Times New Roman" w:eastAsia="仿宋_GB2312"/>
          <w:b/>
          <w:color w:val="auto"/>
          <w:sz w:val="32"/>
          <w:szCs w:val="32"/>
        </w:rPr>
        <w:t>关于机关运行经费支出说明</w:t>
      </w:r>
    </w:p>
    <w:p w14:paraId="214F4F4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897.32</w:t>
      </w:r>
      <w:r>
        <w:rPr>
          <w:rFonts w:hint="eastAsia" w:ascii="Times New Roman" w:hAnsi="Times New Roman" w:eastAsia="仿宋_GB2312"/>
          <w:sz w:val="32"/>
          <w:szCs w:val="32"/>
        </w:rPr>
        <w:t>万元，比上年决算数增加</w:t>
      </w:r>
      <w:r>
        <w:rPr>
          <w:rFonts w:hint="eastAsia" w:ascii="Times New Roman" w:hAnsi="Times New Roman" w:eastAsia="仿宋_GB2312"/>
          <w:sz w:val="32"/>
          <w:szCs w:val="32"/>
          <w:lang w:val="en-US" w:eastAsia="zh-CN"/>
        </w:rPr>
        <w:t>349.42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63.77</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考察调研、异培等工作任务增加，费用增加</w:t>
      </w:r>
      <w:r>
        <w:rPr>
          <w:rFonts w:hint="eastAsia" w:ascii="Times New Roman" w:hAnsi="Times New Roman" w:eastAsia="仿宋_GB2312"/>
          <w:sz w:val="32"/>
          <w:szCs w:val="32"/>
        </w:rPr>
        <w:t>。</w:t>
      </w:r>
    </w:p>
    <w:p w14:paraId="3566B42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十一、一般性支出情况说明</w:t>
      </w:r>
    </w:p>
    <w:p w14:paraId="154B8D3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29.25</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主要</w:t>
      </w:r>
      <w:r>
        <w:rPr>
          <w:rFonts w:hint="eastAsia" w:ascii="Times New Roman" w:hAnsi="Times New Roman" w:eastAsia="仿宋_GB2312"/>
          <w:sz w:val="32"/>
          <w:szCs w:val="32"/>
        </w:rPr>
        <w:t>用于</w:t>
      </w:r>
      <w:r>
        <w:rPr>
          <w:rFonts w:hint="eastAsia" w:ascii="Times New Roman" w:hAnsi="Times New Roman" w:eastAsia="仿宋_GB2312"/>
          <w:sz w:val="32"/>
          <w:szCs w:val="32"/>
          <w:lang w:eastAsia="zh-CN"/>
        </w:rPr>
        <w:t>人才日活动，人数</w:t>
      </w:r>
      <w:r>
        <w:rPr>
          <w:rFonts w:hint="eastAsia" w:ascii="Times New Roman" w:hAnsi="Times New Roman" w:eastAsia="仿宋_GB2312"/>
          <w:sz w:val="32"/>
          <w:szCs w:val="32"/>
          <w:lang w:val="en-US" w:eastAsia="zh-CN"/>
        </w:rPr>
        <w:t>162人，内容为人才交流等</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用于调研部署会，人数</w:t>
      </w:r>
      <w:r>
        <w:rPr>
          <w:rFonts w:hint="eastAsia" w:ascii="Times New Roman" w:hAnsi="Times New Roman" w:eastAsia="仿宋_GB2312"/>
          <w:sz w:val="32"/>
          <w:szCs w:val="32"/>
          <w:lang w:val="en-US" w:eastAsia="zh-CN"/>
        </w:rPr>
        <w:t>125人，内容为分组部署及工作布置</w:t>
      </w:r>
      <w:r>
        <w:rPr>
          <w:rFonts w:hint="eastAsia" w:ascii="Times New Roman" w:hAnsi="Times New Roman" w:eastAsia="仿宋_GB2312"/>
          <w:sz w:val="32"/>
          <w:szCs w:val="32"/>
          <w:lang w:eastAsia="zh-CN"/>
        </w:rPr>
        <w:t>；用于两新书记述职会，人数</w:t>
      </w:r>
      <w:r>
        <w:rPr>
          <w:rFonts w:hint="eastAsia" w:ascii="Times New Roman" w:hAnsi="Times New Roman" w:eastAsia="仿宋_GB2312"/>
          <w:sz w:val="32"/>
          <w:szCs w:val="32"/>
          <w:lang w:val="en-US" w:eastAsia="zh-CN"/>
        </w:rPr>
        <w:t>53人，内容为述职评议；用于抓基层党建工作述职评议会，人数90人，内容为述职评议；用于全市基层党建年度总结会，人数260人，内容为工作总结及部署；用于全市组织工作会议，人数200人，内容为工作总结及部署；用于“一报告两评议”会议，人数204人，内容为领导班子及领导干部年度测评；用于全市组织工作部署会，人数144人，内容为工作部署；</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485.95</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主要用于开展全市农产品精深加工专题培训班，人数</w:t>
      </w:r>
      <w:r>
        <w:rPr>
          <w:rFonts w:hint="eastAsia" w:ascii="Times New Roman" w:hAnsi="Times New Roman" w:eastAsia="仿宋_GB2312"/>
          <w:sz w:val="32"/>
          <w:szCs w:val="32"/>
          <w:lang w:val="en-US" w:eastAsia="zh-CN"/>
        </w:rPr>
        <w:t>60人，内容为农产品精深加工相关</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用于开展鹤中一体化发展专题培训班，人数</w:t>
      </w:r>
      <w:r>
        <w:rPr>
          <w:rFonts w:hint="eastAsia" w:ascii="Times New Roman" w:hAnsi="Times New Roman" w:eastAsia="仿宋_GB2312"/>
          <w:sz w:val="32"/>
          <w:szCs w:val="32"/>
          <w:lang w:val="en-US" w:eastAsia="zh-CN"/>
        </w:rPr>
        <w:t>60人，内容为</w:t>
      </w:r>
      <w:r>
        <w:rPr>
          <w:rFonts w:hint="eastAsia" w:ascii="Times New Roman" w:hAnsi="Times New Roman" w:eastAsia="仿宋_GB2312"/>
          <w:sz w:val="32"/>
          <w:szCs w:val="32"/>
          <w:lang w:eastAsia="zh-CN"/>
        </w:rPr>
        <w:t>鹤中一体化发展相关；用于开展“</w:t>
      </w:r>
      <w:r>
        <w:rPr>
          <w:rFonts w:hint="eastAsia" w:ascii="Times New Roman" w:hAnsi="Times New Roman" w:eastAsia="仿宋_GB2312"/>
          <w:sz w:val="32"/>
          <w:szCs w:val="32"/>
          <w:lang w:val="en-US" w:eastAsia="zh-CN"/>
        </w:rPr>
        <w:t>5+N”现代化产业新体系建设能力提升专题培训班，人数50人，内容为现代化产业新体系建设；用于开展党员发展对象培训，人数92人，内容为两新组织党员发展对象培训；用于开展公务员初任培训，人数94人，内容为新录用公务员培训；用于怀化市文旅融合发展专题培训班，人数51人，内容为文旅发展相关；用于中青年人才专题研修班，人数50人，内容为人才专项培训；用于基层党建业务培训，人数60人，内容为业务培训；用于外经外贸发展专题培训班，人数50人，内容为外经外贸知识能力提升；2023年度未举办</w:t>
      </w:r>
      <w:r>
        <w:rPr>
          <w:rFonts w:hint="eastAsia" w:ascii="Times New Roman" w:hAnsi="Times New Roman" w:eastAsia="仿宋_GB2312"/>
          <w:sz w:val="32"/>
          <w:szCs w:val="32"/>
        </w:rPr>
        <w:t>节庆、晚会、论坛、赛事活动。</w:t>
      </w:r>
    </w:p>
    <w:p w14:paraId="18F864C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color w:val="auto"/>
          <w:sz w:val="32"/>
          <w:szCs w:val="32"/>
        </w:rPr>
        <w:t>十二、</w:t>
      </w:r>
      <w:r>
        <w:rPr>
          <w:rFonts w:hint="eastAsia" w:ascii="黑体" w:hAnsi="黑体" w:eastAsia="黑体" w:cs="黑体"/>
          <w:b w:val="0"/>
          <w:bCs/>
          <w:sz w:val="32"/>
          <w:szCs w:val="32"/>
        </w:rPr>
        <w:t>关于政府采购支出说明</w:t>
      </w:r>
    </w:p>
    <w:p w14:paraId="048EA7C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139BC40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十三、关于国有资产占用情况说明</w:t>
      </w:r>
    </w:p>
    <w:p w14:paraId="743302A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0"/>
          <w:szCs w:val="30"/>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辆，其他用车主要是</w:t>
      </w:r>
      <w:r>
        <w:rPr>
          <w:rFonts w:hint="eastAsia" w:ascii="Times New Roman" w:hAnsi="Times New Roman" w:eastAsia="仿宋_GB2312"/>
          <w:color w:val="auto"/>
          <w:sz w:val="32"/>
          <w:szCs w:val="32"/>
          <w:lang w:eastAsia="zh-CN"/>
        </w:rPr>
        <w:t>普通公务用车</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30275F59">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hAnsi="黑体" w:cs="黑体"/>
          <w:b w:val="0"/>
          <w:bCs/>
          <w:color w:val="auto"/>
          <w:sz w:val="32"/>
          <w:szCs w:val="32"/>
          <w:lang w:eastAsia="zh-CN"/>
        </w:rPr>
        <w:t>十四、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112EDB62">
      <w:pPr>
        <w:pStyle w:val="13"/>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我部按照财政局相关文件要求认真开展绩效自评工作。自评报告详见附件。</w:t>
      </w:r>
    </w:p>
    <w:p w14:paraId="7E8EE4BF">
      <w:pPr>
        <w:rPr>
          <w:sz w:val="72"/>
          <w:szCs w:val="72"/>
        </w:rPr>
      </w:pPr>
      <w:r>
        <w:rPr>
          <w:sz w:val="72"/>
          <w:szCs w:val="72"/>
        </w:rPr>
        <w:br w:type="page"/>
      </w:r>
    </w:p>
    <w:p w14:paraId="6DACDE0C">
      <w:pPr>
        <w:pStyle w:val="13"/>
        <w:jc w:val="both"/>
        <w:rPr>
          <w:sz w:val="72"/>
          <w:szCs w:val="72"/>
        </w:rPr>
      </w:pPr>
    </w:p>
    <w:p w14:paraId="658BADA5">
      <w:pPr>
        <w:pStyle w:val="13"/>
        <w:jc w:val="center"/>
        <w:rPr>
          <w:sz w:val="72"/>
          <w:szCs w:val="72"/>
        </w:rPr>
      </w:pPr>
    </w:p>
    <w:p w14:paraId="0E839B64">
      <w:pPr>
        <w:pStyle w:val="13"/>
        <w:jc w:val="center"/>
        <w:rPr>
          <w:sz w:val="72"/>
          <w:szCs w:val="72"/>
        </w:rPr>
      </w:pPr>
    </w:p>
    <w:p w14:paraId="130CADBA">
      <w:pPr>
        <w:pStyle w:val="13"/>
        <w:jc w:val="both"/>
        <w:rPr>
          <w:rFonts w:hint="eastAsia" w:ascii="方正小标宋_GBK" w:hAnsi="方正小标宋_GBK" w:eastAsia="方正小标宋_GBK" w:cs="方正小标宋_GBK"/>
          <w:sz w:val="72"/>
          <w:szCs w:val="72"/>
        </w:rPr>
      </w:pPr>
    </w:p>
    <w:p w14:paraId="05B1D4CC">
      <w:pPr>
        <w:pStyle w:val="13"/>
        <w:jc w:val="center"/>
        <w:rPr>
          <w:rFonts w:hint="eastAsia" w:ascii="方正小标宋_GBK" w:hAnsi="方正小标宋_GBK" w:eastAsia="方正小标宋_GBK" w:cs="方正小标宋_GBK"/>
          <w:sz w:val="72"/>
          <w:szCs w:val="72"/>
        </w:rPr>
      </w:pPr>
    </w:p>
    <w:p w14:paraId="5EDBFF8C">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596B08A7">
      <w:pPr>
        <w:jc w:val="center"/>
        <w:rPr>
          <w:rFonts w:hint="eastAsia" w:ascii="方正小标宋_GBK" w:hAnsi="方正小标宋_GBK" w:eastAsia="方正小标宋_GBK" w:cs="方正小标宋_GBK"/>
          <w:color w:val="000000"/>
          <w:kern w:val="0"/>
          <w:sz w:val="70"/>
          <w:szCs w:val="70"/>
        </w:rPr>
      </w:pPr>
    </w:p>
    <w:p w14:paraId="4E7615E0">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5AD2F6B5">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4722EF01">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一、基本支出：指单位为保障其机构正常运转、完成日常工作任务而发生的人员支出和公用支出。</w:t>
      </w:r>
    </w:p>
    <w:p w14:paraId="75BB45A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二、项目支出：指单位为完成特定行政任务和事业发展目标在基本支出之外所发生的支出。</w:t>
      </w:r>
    </w:p>
    <w:p w14:paraId="77F7CA9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三、“三公”经费：纳入财政预决算管理的“三公”经费，是指用财政拨款安排的因公出国（境）费、公务用车购置及运行费和公务接待费，是党政机关维持运转或完成特定工作任务所开支的相关支出，是政府行政开支的一部分。其中，因公出国（境）费反映单位公务出国（境）的国际旅费、国外城市间交通费、住宿费、伙食费、培训费、公杂费等支出；公务用车购置及运行费反映单位公务用车车辆购置支出（含车辆购置税）及燃料费、维修费、过桥过路费、保险费、安全奖励费用等支出；公务接待费反映单位按规定开支的各类公务接待（含外宾接待）支出。</w:t>
      </w:r>
    </w:p>
    <w:p w14:paraId="1AB1182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四、机关运行经费：指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2E9ED5A">
      <w:pPr>
        <w:pStyle w:val="13"/>
        <w:jc w:val="center"/>
        <w:rPr>
          <w:sz w:val="72"/>
          <w:szCs w:val="72"/>
        </w:rPr>
      </w:pPr>
    </w:p>
    <w:p w14:paraId="75713452">
      <w:pPr>
        <w:pStyle w:val="13"/>
        <w:jc w:val="center"/>
        <w:rPr>
          <w:sz w:val="72"/>
          <w:szCs w:val="72"/>
        </w:rPr>
      </w:pPr>
    </w:p>
    <w:p w14:paraId="7837212F">
      <w:pPr>
        <w:rPr>
          <w:sz w:val="72"/>
          <w:szCs w:val="72"/>
        </w:rPr>
      </w:pPr>
      <w:r>
        <w:rPr>
          <w:sz w:val="72"/>
          <w:szCs w:val="72"/>
        </w:rPr>
        <w:br w:type="page"/>
      </w:r>
    </w:p>
    <w:p w14:paraId="0971B30A">
      <w:pPr>
        <w:pStyle w:val="13"/>
        <w:jc w:val="center"/>
        <w:rPr>
          <w:rFonts w:hint="eastAsia" w:ascii="方正小标宋_GBK" w:hAnsi="方正小标宋_GBK" w:eastAsia="方正小标宋_GBK" w:cs="方正小标宋_GBK"/>
          <w:sz w:val="72"/>
          <w:szCs w:val="72"/>
        </w:rPr>
      </w:pPr>
    </w:p>
    <w:p w14:paraId="43CEE01F">
      <w:pPr>
        <w:pStyle w:val="13"/>
        <w:jc w:val="center"/>
        <w:rPr>
          <w:rFonts w:hint="eastAsia" w:ascii="方正小标宋_GBK" w:hAnsi="方正小标宋_GBK" w:eastAsia="方正小标宋_GBK" w:cs="方正小标宋_GBK"/>
          <w:sz w:val="72"/>
          <w:szCs w:val="72"/>
        </w:rPr>
      </w:pPr>
    </w:p>
    <w:p w14:paraId="1ECA0CA2">
      <w:pPr>
        <w:pStyle w:val="13"/>
        <w:jc w:val="center"/>
        <w:rPr>
          <w:rFonts w:hint="eastAsia" w:ascii="方正小标宋_GBK" w:hAnsi="方正小标宋_GBK" w:eastAsia="方正小标宋_GBK" w:cs="方正小标宋_GBK"/>
          <w:sz w:val="72"/>
          <w:szCs w:val="72"/>
        </w:rPr>
      </w:pPr>
    </w:p>
    <w:p w14:paraId="2A7EACAD">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0CE1EEEA">
      <w:pPr>
        <w:pStyle w:val="13"/>
        <w:jc w:val="center"/>
        <w:rPr>
          <w:rFonts w:hint="eastAsia" w:ascii="方正小标宋_GBK" w:hAnsi="方正小标宋_GBK" w:eastAsia="方正小标宋_GBK" w:cs="方正小标宋_GBK"/>
          <w:sz w:val="70"/>
          <w:szCs w:val="70"/>
        </w:rPr>
      </w:pPr>
    </w:p>
    <w:p w14:paraId="58DA0AF1">
      <w:pPr>
        <w:pStyle w:val="13"/>
        <w:jc w:val="center"/>
        <w:rPr>
          <w:rFonts w:hint="eastAsia" w:ascii="方正小标宋_GBK" w:hAnsi="方正小标宋_GBK" w:eastAsia="方正小标宋_GBK" w:cs="方正小标宋_GBK"/>
          <w:sz w:val="70"/>
          <w:szCs w:val="70"/>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58BB0E8D">
      <w:pPr>
        <w:pStyle w:val="13"/>
        <w:jc w:val="center"/>
        <w:rPr>
          <w:rFonts w:hint="eastAsia" w:ascii="方正小标宋_GBK" w:hAnsi="方正小标宋_GBK" w:eastAsia="方正小标宋_GBK" w:cs="方正小标宋_GBK"/>
          <w:sz w:val="70"/>
          <w:szCs w:val="70"/>
          <w:lang w:eastAsia="zh-CN"/>
        </w:rPr>
      </w:pPr>
    </w:p>
    <w:p w14:paraId="77CF5C5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eastAsia="zh-CN"/>
        </w:rPr>
        <w:t>附件</w:t>
      </w:r>
      <w:r>
        <w:rPr>
          <w:rFonts w:hint="eastAsia" w:ascii="Times New Roman" w:hAnsi="Times New Roman" w:eastAsia="仿宋_GB2312"/>
          <w:sz w:val="32"/>
          <w:szCs w:val="32"/>
          <w:lang w:val="en-US" w:eastAsia="zh-CN"/>
        </w:rPr>
        <w:t>1：2023年度部门(单位)整体支出绩效自评报告</w:t>
      </w:r>
    </w:p>
    <w:p w14:paraId="3E11AF2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lang w:val="en-US" w:eastAsia="zh-CN"/>
        </w:rPr>
        <w:t>附件2：2023年度决算公开表</w:t>
      </w:r>
    </w:p>
    <w:p w14:paraId="2763414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p>
    <w:p w14:paraId="1443B071">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zOWQzOGFlMDNjN2UzMmZiY2JlYjNjNzlmY2UyYTE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8A2D98"/>
    <w:rsid w:val="02CC4B77"/>
    <w:rsid w:val="02FB01D2"/>
    <w:rsid w:val="043B2184"/>
    <w:rsid w:val="072D4D2F"/>
    <w:rsid w:val="08E720CC"/>
    <w:rsid w:val="08E9737B"/>
    <w:rsid w:val="0B1356ED"/>
    <w:rsid w:val="0B3E51AB"/>
    <w:rsid w:val="0C6C4250"/>
    <w:rsid w:val="0E1F6F93"/>
    <w:rsid w:val="10380796"/>
    <w:rsid w:val="153E3EDD"/>
    <w:rsid w:val="1C7E7B6F"/>
    <w:rsid w:val="1D97DEFF"/>
    <w:rsid w:val="1DFF72E5"/>
    <w:rsid w:val="1EFC6F07"/>
    <w:rsid w:val="2155607D"/>
    <w:rsid w:val="24F96249"/>
    <w:rsid w:val="27B56975"/>
    <w:rsid w:val="28B848E7"/>
    <w:rsid w:val="2A704DAF"/>
    <w:rsid w:val="2B1C0A93"/>
    <w:rsid w:val="2B2C172B"/>
    <w:rsid w:val="2BB71B0C"/>
    <w:rsid w:val="2C150EFE"/>
    <w:rsid w:val="2DC41CF0"/>
    <w:rsid w:val="2FDF85B8"/>
    <w:rsid w:val="2FFFEE04"/>
    <w:rsid w:val="32975D72"/>
    <w:rsid w:val="32BC69A9"/>
    <w:rsid w:val="32BD1692"/>
    <w:rsid w:val="32CC5088"/>
    <w:rsid w:val="33164C7B"/>
    <w:rsid w:val="332A5328"/>
    <w:rsid w:val="33BE6B8B"/>
    <w:rsid w:val="34DF85B0"/>
    <w:rsid w:val="36F73447"/>
    <w:rsid w:val="37CC4867"/>
    <w:rsid w:val="38172D0E"/>
    <w:rsid w:val="3B8F36BC"/>
    <w:rsid w:val="3CEA7FFA"/>
    <w:rsid w:val="3EB25C6D"/>
    <w:rsid w:val="3EB525E6"/>
    <w:rsid w:val="3F4F0FDF"/>
    <w:rsid w:val="41C37D0E"/>
    <w:rsid w:val="41C77552"/>
    <w:rsid w:val="43D110E1"/>
    <w:rsid w:val="47F61EB9"/>
    <w:rsid w:val="491FF225"/>
    <w:rsid w:val="4E8850A6"/>
    <w:rsid w:val="4FFD214C"/>
    <w:rsid w:val="511A4304"/>
    <w:rsid w:val="53C820AB"/>
    <w:rsid w:val="54444C6A"/>
    <w:rsid w:val="56151906"/>
    <w:rsid w:val="56262642"/>
    <w:rsid w:val="57462B59"/>
    <w:rsid w:val="5777D4F5"/>
    <w:rsid w:val="59DD8326"/>
    <w:rsid w:val="5B9C5154"/>
    <w:rsid w:val="5DB81EF7"/>
    <w:rsid w:val="5DEF592A"/>
    <w:rsid w:val="5E5A37D0"/>
    <w:rsid w:val="5FC6BB1E"/>
    <w:rsid w:val="5FF720F1"/>
    <w:rsid w:val="615A5099"/>
    <w:rsid w:val="62F51723"/>
    <w:rsid w:val="65293587"/>
    <w:rsid w:val="67DB285E"/>
    <w:rsid w:val="67FF5C0B"/>
    <w:rsid w:val="6CB16C0A"/>
    <w:rsid w:val="6D940381"/>
    <w:rsid w:val="6EFC0924"/>
    <w:rsid w:val="6F9F2AA8"/>
    <w:rsid w:val="6FB74722"/>
    <w:rsid w:val="6FE729EA"/>
    <w:rsid w:val="6FEF8B7E"/>
    <w:rsid w:val="71796D5E"/>
    <w:rsid w:val="71A6591B"/>
    <w:rsid w:val="737D59BA"/>
    <w:rsid w:val="74E14BC9"/>
    <w:rsid w:val="76800184"/>
    <w:rsid w:val="778136DC"/>
    <w:rsid w:val="77C37683"/>
    <w:rsid w:val="79FF515B"/>
    <w:rsid w:val="7C7D2F74"/>
    <w:rsid w:val="7DFE484C"/>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widowControl/>
      <w:spacing w:before="100" w:beforeAutospacing="1" w:after="100" w:afterAutospacing="1"/>
      <w:jc w:val="left"/>
    </w:pPr>
    <w:rPr>
      <w:rFonts w:ascii="宋体" w:cs="宋体"/>
      <w:kern w:val="0"/>
      <w:sz w:val="24"/>
      <w:lang w:bidi="ar-SA"/>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17</Pages>
  <Words>6147</Words>
  <Characters>6639</Characters>
  <Lines>63</Lines>
  <Paragraphs>18</Paragraphs>
  <TotalTime>4</TotalTime>
  <ScaleCrop>false</ScaleCrop>
  <LinksUpToDate>false</LinksUpToDate>
  <CharactersWithSpaces>6648</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WPS_1697591619</cp:lastModifiedBy>
  <cp:lastPrinted>2024-09-24T09:06:00Z</cp:lastPrinted>
  <dcterms:modified xsi:type="dcterms:W3CDTF">2024-09-24T13:28:18Z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99DB0C24C07847C09BD7E8C38956C532_12</vt:lpwstr>
  </property>
</Properties>
</file>