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F30E0D">
      <w:pPr>
        <w:pStyle w:val="16"/>
        <w:jc w:val="both"/>
        <w:rPr>
          <w:rFonts w:hAnsi="黑体"/>
          <w:sz w:val="36"/>
          <w:szCs w:val="36"/>
        </w:rPr>
      </w:pPr>
    </w:p>
    <w:p w14:paraId="0D74DC62">
      <w:pPr>
        <w:pStyle w:val="16"/>
        <w:jc w:val="center"/>
        <w:rPr>
          <w:rFonts w:ascii="Times New Roman" w:hAnsi="Times New Roman" w:cs="Times New Roman"/>
          <w:sz w:val="56"/>
          <w:szCs w:val="56"/>
        </w:rPr>
      </w:pPr>
    </w:p>
    <w:p w14:paraId="22F1DB9E">
      <w:pPr>
        <w:pStyle w:val="16"/>
        <w:jc w:val="center"/>
        <w:rPr>
          <w:rFonts w:ascii="Times New Roman" w:hAnsi="Times New Roman" w:cs="Times New Roman"/>
          <w:sz w:val="84"/>
          <w:szCs w:val="84"/>
        </w:rPr>
      </w:pPr>
    </w:p>
    <w:p w14:paraId="329A0171">
      <w:pPr>
        <w:pStyle w:val="16"/>
        <w:jc w:val="center"/>
        <w:rPr>
          <w:rFonts w:ascii="Times New Roman" w:hAnsi="Times New Roman" w:cs="Times New Roman"/>
          <w:sz w:val="84"/>
          <w:szCs w:val="84"/>
        </w:rPr>
      </w:pPr>
    </w:p>
    <w:p w14:paraId="1A70BAB4">
      <w:pPr>
        <w:pStyle w:val="16"/>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24F973E">
      <w:pPr>
        <w:pStyle w:val="16"/>
        <w:jc w:val="center"/>
        <w:rPr>
          <w:rFonts w:hint="eastAsia" w:ascii="Times New Roman" w:hAnsi="Times New Roman" w:eastAsia="方正小标宋简体" w:cs="Times New Roman"/>
          <w:sz w:val="72"/>
          <w:szCs w:val="72"/>
          <w:lang w:eastAsia="zh-CN"/>
        </w:rPr>
      </w:pPr>
      <w:r>
        <w:rPr>
          <w:rFonts w:hint="eastAsia" w:ascii="Times New Roman" w:hAnsi="Times New Roman" w:eastAsia="方正小标宋简体" w:cs="Times New Roman"/>
          <w:sz w:val="72"/>
          <w:szCs w:val="72"/>
          <w:lang w:eastAsia="zh-CN"/>
        </w:rPr>
        <w:t>中共怀化市委组织部</w:t>
      </w:r>
    </w:p>
    <w:p w14:paraId="7199F7F8">
      <w:pPr>
        <w:pStyle w:val="16"/>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eastAsia="zh-CN"/>
        </w:rPr>
        <w:t>部门</w:t>
      </w:r>
      <w:r>
        <w:rPr>
          <w:rFonts w:ascii="Times New Roman" w:hAnsi="Times New Roman" w:eastAsia="方正小标宋简体" w:cs="Times New Roman"/>
          <w:sz w:val="72"/>
          <w:szCs w:val="72"/>
        </w:rPr>
        <w:t>决算</w:t>
      </w:r>
    </w:p>
    <w:p w14:paraId="483210C0">
      <w:pPr>
        <w:pStyle w:val="16"/>
        <w:jc w:val="center"/>
        <w:rPr>
          <w:rFonts w:ascii="Times New Roman" w:hAnsi="Times New Roman" w:eastAsia="方正小标宋_GBK" w:cs="Times New Roman"/>
          <w:sz w:val="56"/>
          <w:szCs w:val="56"/>
        </w:rPr>
      </w:pPr>
    </w:p>
    <w:p w14:paraId="5BA79DA5">
      <w:pPr>
        <w:pStyle w:val="16"/>
        <w:jc w:val="center"/>
        <w:rPr>
          <w:rFonts w:ascii="Times New Roman" w:hAnsi="Times New Roman" w:cs="Times New Roman"/>
          <w:sz w:val="56"/>
          <w:szCs w:val="56"/>
        </w:rPr>
      </w:pPr>
    </w:p>
    <w:p w14:paraId="2701D177">
      <w:pPr>
        <w:pStyle w:val="16"/>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6DD64D6D">
      <w:pPr>
        <w:pStyle w:val="16"/>
        <w:spacing w:line="600" w:lineRule="exact"/>
        <w:jc w:val="both"/>
        <w:rPr>
          <w:rFonts w:ascii="Times New Roman" w:hAnsi="Times New Roman" w:cs="Times New Roman"/>
          <w:b/>
          <w:sz w:val="36"/>
          <w:szCs w:val="28"/>
        </w:rPr>
      </w:pPr>
    </w:p>
    <w:p w14:paraId="7F4C934D">
      <w:pPr>
        <w:pStyle w:val="16"/>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3A50C9F9">
      <w:pPr>
        <w:pStyle w:val="16"/>
        <w:spacing w:line="600" w:lineRule="exact"/>
        <w:jc w:val="center"/>
        <w:rPr>
          <w:rFonts w:ascii="Times New Roman" w:hAnsi="Times New Roman" w:cs="Times New Roman"/>
          <w:b/>
          <w:sz w:val="36"/>
          <w:szCs w:val="28"/>
        </w:rPr>
      </w:pPr>
    </w:p>
    <w:p w14:paraId="16CA5905">
      <w:pPr>
        <w:pStyle w:val="16"/>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 xml:space="preserve">第一部分 </w:t>
      </w:r>
      <w:r>
        <w:rPr>
          <w:rFonts w:hint="eastAsia" w:ascii="Times New Roman" w:hAnsi="Times New Roman" w:cs="Times New Roman"/>
          <w:bCs/>
          <w:sz w:val="32"/>
          <w:szCs w:val="32"/>
          <w:lang w:eastAsia="zh-CN"/>
        </w:rPr>
        <w:t>部门</w:t>
      </w:r>
      <w:r>
        <w:rPr>
          <w:rFonts w:ascii="Times New Roman" w:hAnsi="Times New Roman" w:cs="Times New Roman"/>
          <w:bCs/>
          <w:sz w:val="32"/>
          <w:szCs w:val="32"/>
        </w:rPr>
        <w:t>概况</w:t>
      </w:r>
    </w:p>
    <w:p w14:paraId="610A399F">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3343012">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5FD3B938">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18C61E3E">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B089B03">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2B5BB2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60FED2B1">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081D84B">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6DBFB6BD">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39131079">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16EA8AEE">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38E17E21">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19BD15F">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2A2146D1">
      <w:pPr>
        <w:pStyle w:val="16"/>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1CCAFEE">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788A830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36005E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2B0A4A7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0E58A81">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7044A1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7E041454">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CF1A32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1529CBDD">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eastAsia="zh-CN"/>
        </w:rPr>
      </w:pPr>
      <w:r>
        <w:rPr>
          <w:rFonts w:hint="eastAsia" w:ascii="Times New Roman" w:hAnsi="Times New Roman" w:eastAsia="仿宋_GB2312" w:cs="Times New Roman"/>
          <w:color w:val="000000"/>
          <w:kern w:val="0"/>
          <w:sz w:val="32"/>
          <w:szCs w:val="32"/>
        </w:rPr>
        <w:t>九、</w:t>
      </w:r>
      <w:r>
        <w:rPr>
          <w:rFonts w:hint="eastAsia" w:ascii="Times New Roman" w:hAnsi="Times New Roman" w:eastAsia="仿宋_GB2312" w:cs="Times New Roman"/>
          <w:color w:val="000000"/>
          <w:kern w:val="0"/>
          <w:sz w:val="32"/>
          <w:szCs w:val="32"/>
          <w:lang w:eastAsia="zh-CN"/>
        </w:rPr>
        <w:t>国有资本经营预算财政拨款收入支出决算情况说明</w:t>
      </w:r>
    </w:p>
    <w:p w14:paraId="00D52050">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十、关于机关运行经费支出说明</w:t>
      </w:r>
    </w:p>
    <w:p w14:paraId="348C603C">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十一、一般性支出情况说明</w:t>
      </w:r>
    </w:p>
    <w:p w14:paraId="1FE2A77F">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十二、关于政府采购支出说明</w:t>
      </w:r>
    </w:p>
    <w:p w14:paraId="1385C816">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十三、关于国有资产占用情况说明</w:t>
      </w:r>
    </w:p>
    <w:p w14:paraId="00A9370D">
      <w:pPr>
        <w:autoSpaceDE w:val="0"/>
        <w:autoSpaceDN w:val="0"/>
        <w:adjustRightInd w:val="0"/>
        <w:spacing w:line="600" w:lineRule="exact"/>
        <w:jc w:val="left"/>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eastAsia="zh-CN"/>
        </w:rPr>
        <w:t>十四、</w:t>
      </w:r>
      <w:r>
        <w:rPr>
          <w:rFonts w:hint="eastAsia" w:ascii="Times New Roman" w:hAnsi="Times New Roman" w:eastAsia="仿宋_GB2312" w:cs="Times New Roman"/>
          <w:color w:val="000000"/>
          <w:kern w:val="0"/>
          <w:sz w:val="32"/>
          <w:szCs w:val="32"/>
        </w:rPr>
        <w:t>关于</w:t>
      </w: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3</w:t>
      </w:r>
      <w:r>
        <w:rPr>
          <w:rFonts w:hint="eastAsia" w:ascii="Times New Roman" w:hAnsi="Times New Roman" w:eastAsia="仿宋_GB2312" w:cs="Times New Roman"/>
          <w:color w:val="000000"/>
          <w:kern w:val="0"/>
          <w:sz w:val="32"/>
          <w:szCs w:val="32"/>
        </w:rPr>
        <w:t>年度</w:t>
      </w:r>
      <w:r>
        <w:rPr>
          <w:rFonts w:hint="eastAsia" w:ascii="Times New Roman" w:hAnsi="Times New Roman" w:eastAsia="仿宋_GB2312" w:cs="Times New Roman"/>
          <w:color w:val="000000"/>
          <w:kern w:val="0"/>
          <w:sz w:val="32"/>
          <w:szCs w:val="32"/>
          <w:lang w:eastAsia="zh-CN"/>
        </w:rPr>
        <w:t>预算</w:t>
      </w:r>
      <w:r>
        <w:rPr>
          <w:rFonts w:hint="eastAsia" w:ascii="Times New Roman" w:hAnsi="Times New Roman" w:eastAsia="仿宋_GB2312" w:cs="Times New Roman"/>
          <w:color w:val="000000"/>
          <w:kern w:val="0"/>
          <w:sz w:val="32"/>
          <w:szCs w:val="32"/>
        </w:rPr>
        <w:t>绩效情况的说明</w:t>
      </w:r>
    </w:p>
    <w:p w14:paraId="0DB447B4">
      <w:pPr>
        <w:pStyle w:val="16"/>
        <w:spacing w:line="600" w:lineRule="exact"/>
        <w:rPr>
          <w:rFonts w:ascii="Times New Roman" w:hAnsi="Times New Roman" w:eastAsia="仿宋_GB2312" w:cs="Times New Roman"/>
          <w:sz w:val="32"/>
          <w:szCs w:val="32"/>
        </w:rPr>
      </w:pPr>
    </w:p>
    <w:p w14:paraId="6645E819">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710A813">
      <w:pPr>
        <w:pStyle w:val="16"/>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DB251BB">
      <w:pPr>
        <w:pStyle w:val="16"/>
        <w:spacing w:line="600" w:lineRule="exact"/>
        <w:rPr>
          <w:rFonts w:ascii="Times New Roman" w:hAnsi="Times New Roman" w:cs="Times New Roman"/>
          <w:bCs/>
          <w:sz w:val="28"/>
          <w:szCs w:val="28"/>
        </w:rPr>
      </w:pPr>
    </w:p>
    <w:p w14:paraId="6296B126">
      <w:pPr>
        <w:jc w:val="center"/>
        <w:rPr>
          <w:rFonts w:ascii="Times New Roman" w:hAnsi="Times New Roman" w:cs="Times New Roman"/>
          <w:sz w:val="72"/>
          <w:szCs w:val="72"/>
        </w:rPr>
      </w:pPr>
    </w:p>
    <w:p w14:paraId="2323A6CE">
      <w:pPr>
        <w:pStyle w:val="9"/>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2F9C5359">
      <w:pPr>
        <w:pStyle w:val="16"/>
        <w:jc w:val="center"/>
        <w:rPr>
          <w:rFonts w:ascii="Times New Roman" w:hAnsi="Times New Roman" w:cs="Times New Roman"/>
          <w:sz w:val="72"/>
          <w:szCs w:val="72"/>
        </w:rPr>
      </w:pPr>
    </w:p>
    <w:p w14:paraId="4D090C90">
      <w:pPr>
        <w:pStyle w:val="16"/>
        <w:jc w:val="center"/>
        <w:rPr>
          <w:rFonts w:ascii="Times New Roman" w:hAnsi="Times New Roman" w:cs="Times New Roman"/>
          <w:sz w:val="72"/>
          <w:szCs w:val="72"/>
        </w:rPr>
      </w:pPr>
    </w:p>
    <w:p w14:paraId="4738783B">
      <w:pPr>
        <w:pStyle w:val="16"/>
        <w:jc w:val="center"/>
        <w:rPr>
          <w:rFonts w:ascii="Times New Roman" w:hAnsi="Times New Roman" w:cs="Times New Roman"/>
          <w:sz w:val="72"/>
          <w:szCs w:val="72"/>
        </w:rPr>
      </w:pPr>
    </w:p>
    <w:p w14:paraId="43695F25">
      <w:pPr>
        <w:pStyle w:val="16"/>
        <w:jc w:val="both"/>
        <w:rPr>
          <w:rFonts w:ascii="Times New Roman" w:hAnsi="Times New Roman" w:cs="Times New Roman"/>
          <w:sz w:val="72"/>
          <w:szCs w:val="72"/>
        </w:rPr>
      </w:pPr>
    </w:p>
    <w:p w14:paraId="3104807C">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434353D1">
      <w:pPr>
        <w:pStyle w:val="16"/>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中共怀化市委组织部</w:t>
      </w:r>
      <w:r>
        <w:rPr>
          <w:rFonts w:ascii="Times New Roman" w:hAnsi="Times New Roman" w:eastAsia="方正小标宋_GBK" w:cs="Times New Roman"/>
          <w:sz w:val="52"/>
          <w:szCs w:val="52"/>
        </w:rPr>
        <w:t>概况</w:t>
      </w:r>
    </w:p>
    <w:p w14:paraId="7397CA3A">
      <w:r>
        <w:rPr>
          <w:rFonts w:ascii="Times New Roman" w:hAnsi="Times New Roman" w:cs="Times New Roman"/>
        </w:rPr>
        <w:br w:type="page"/>
      </w:r>
    </w:p>
    <w:p w14:paraId="1E185D36">
      <w:pPr>
        <w:pStyle w:val="17"/>
        <w:keepNext w:val="0"/>
        <w:keepLines w:val="0"/>
        <w:pageBreakBefore w:val="0"/>
        <w:kinsoku/>
        <w:wordWrap/>
        <w:overflowPunct/>
        <w:topLinePunct w:val="0"/>
        <w:autoSpaceDE/>
        <w:autoSpaceDN/>
        <w:bidi w:val="0"/>
        <w:adjustRightInd/>
        <w:snapToGrid/>
        <w:spacing w:line="600" w:lineRule="exact"/>
        <w:ind w:firstLine="640" w:firstLineChars="200"/>
        <w:jc w:val="left"/>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497B96D0">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1、负责研究和指导党组织建设，制订加强党的工作制度、党内生活制度的规定和意见；会同有关部门对县（市、区）委和市委管理的企事业单位党委换届选举，以及对县（市、区）、市直单位、中央和省在怀单位党委（党组）民主生活会进行指导；研究指导党的基层组织建设以及党组织的设置原则、隶属关系和活动内容、工作方式；研究、指导党员队伍建设，主管党员管理和发展工作，指导、协调党员教育工作；组织和开展新时期党的建设的理论研究。</w:t>
      </w:r>
    </w:p>
    <w:p w14:paraId="0CCA4D57">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2、负责干部队伍建设的宏观管理，制订和参与制订组织、干部、人事工作的重要政策、法规、制度，并对重要经验进行总结推介；会同有关部门研究制订适应现代企业制度要求的国有企业领导班子和企业经营管理者队伍建设的政策和措施，提出加强宏观指导的意见和建议。</w:t>
      </w:r>
    </w:p>
    <w:p w14:paraId="7587B215">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3、提出县（市、区）和市直部委办局及其他市委管理的领导班子调整、配备的意见的建议；负责市委管理干部的考察、任免、工资、待遇、出国（境）、退（离）休审批手续的办理；负责市级领导班子换届选举和届中调整的有关工作；负责县（市、区）和市直部委办局有关科级干部职务任免的备案和宏观管理工作；承办部分干部的调配、交流及安置工作；负责全市干部公开选拔工作的宏观指导、承办处级干部选拔的具体工作；负责团职军转干部安置和干部援藏援疆的有关工作；指导国家公务员制度的实施，负责全市党委、人大、政协、群众团体和民主党派等机关参照国家公务员制度管理的宏观指导；组织落实培养选拔中青年干部、女干部、少数民族干部、党外干部的有关规划和方案；指导县（市、区）和市直部委办局等部门领导班子的思想作风建设。</w:t>
      </w:r>
    </w:p>
    <w:p w14:paraId="7850A62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4、研究制订全市组织管理信息系统建设规划，指导全市组织系统信息网络建设；负责全市干部人事档案、党内统计、干部统计工作的宏观指导。</w:t>
      </w:r>
    </w:p>
    <w:p w14:paraId="20ABB5DC">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5、负责干部监督工作的宏观指导，负责组织工作和干部工作的督促检查，及时向上级组织部门和市委反映重要情况，对反映领导班子和领导干部的重要问题进行调查了解和督办；负责对市委管理干部和干部选拔任用工作进行监督，对有关监督制度的落实情况进行督查，对省委和市委管理干部的历史遗留问题进行初审和审查。</w:t>
      </w:r>
    </w:p>
    <w:p w14:paraId="01CB3BB9">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6、制订干部教育工作的政策、规划、指导、协调、检查县（市、区）和市直部委办局的干部教育工作；组织、协调省委、市委管理干部和部分中青年干部的培训；承担市委干部教育工作领导小组日常工作，负责市直部委办局组织干部教育培训班次审查备案工作。</w:t>
      </w:r>
    </w:p>
    <w:p w14:paraId="0FE6A64E">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7、牵头抓总全市人才工作和人才队伍建设，负责人才资源的开发和管理，做好培养、吸引和用好各方面人才的工作，研究制定人才队伍建设规划、政策、规定，指导、协调、检查全市人才工作；指导各行业杰出专家和学者开展有关活动。</w:t>
      </w:r>
    </w:p>
    <w:p w14:paraId="14DB1836">
      <w:pPr>
        <w:keepNext w:val="0"/>
        <w:keepLines w:val="0"/>
        <w:pageBreakBefore w:val="0"/>
        <w:widowControl/>
        <w:kinsoku/>
        <w:wordWrap/>
        <w:overflowPunct/>
        <w:topLinePunct w:val="0"/>
        <w:autoSpaceDE/>
        <w:autoSpaceDN/>
        <w:bidi w:val="0"/>
        <w:adjustRightInd/>
        <w:snapToGrid/>
        <w:spacing w:line="500" w:lineRule="auto"/>
        <w:ind w:left="0" w:leftChars="0" w:right="0" w:rightChars="0" w:firstLine="640" w:firstLineChars="200"/>
        <w:jc w:val="left"/>
        <w:textAlignment w:val="auto"/>
        <w:outlineLvl w:val="9"/>
        <w:rPr>
          <w:rFonts w:hint="eastAsia" w:eastAsia="仿宋_GB2312" w:cs="Times New Roman"/>
          <w:sz w:val="32"/>
          <w:szCs w:val="32"/>
          <w:lang w:eastAsia="zh-CN"/>
        </w:rPr>
      </w:pPr>
      <w:r>
        <w:rPr>
          <w:rFonts w:hint="eastAsia" w:eastAsia="仿宋_GB2312" w:cs="Times New Roman"/>
          <w:sz w:val="32"/>
          <w:szCs w:val="32"/>
          <w:lang w:eastAsia="zh-CN"/>
        </w:rPr>
        <w:t>8、承办市委和上级组织部门交办的其他事项。</w:t>
      </w:r>
    </w:p>
    <w:p w14:paraId="04B9C24D">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4DA56FE">
      <w:pPr>
        <w:pStyle w:val="2"/>
        <w:keepNext w:val="0"/>
        <w:keepLines w:val="0"/>
        <w:pageBreakBefore w:val="0"/>
        <w:kinsoku/>
        <w:wordWrap/>
        <w:overflowPunct/>
        <w:topLinePunct w:val="0"/>
        <w:autoSpaceDE/>
        <w:autoSpaceDN/>
        <w:bidi w:val="0"/>
        <w:adjustRightInd/>
        <w:snapToGrid/>
        <w:ind w:firstLine="640" w:firstLineChars="200"/>
        <w:textAlignment w:val="auto"/>
        <w:rPr>
          <w:rFonts w:hint="default" w:ascii="Times New Roman" w:hAnsi="Times New Roman" w:eastAsia="仿宋_GB2312" w:cs="Times New Roman"/>
          <w:sz w:val="32"/>
          <w:szCs w:val="32"/>
        </w:rPr>
      </w:pPr>
      <w:r>
        <w:rPr>
          <w:rFonts w:ascii="Times New Roman" w:hAnsi="Times New Roman" w:eastAsia="仿宋_GB2312" w:cs="Times New Roman"/>
          <w:bCs/>
          <w:kern w:val="0"/>
          <w:sz w:val="32"/>
          <w:szCs w:val="32"/>
        </w:rPr>
        <w:t>（一）内设机构设置。</w:t>
      </w:r>
      <w:r>
        <w:rPr>
          <w:rFonts w:hint="default" w:ascii="Times New Roman" w:hAnsi="Times New Roman" w:eastAsia="仿宋_GB2312" w:cs="Times New Roman"/>
          <w:sz w:val="32"/>
          <w:szCs w:val="32"/>
          <w:lang w:eastAsia="zh-CN"/>
        </w:rPr>
        <w:t>中共怀化市委组织部内设科（室、中心）</w:t>
      </w:r>
      <w:r>
        <w:rPr>
          <w:rFonts w:hint="eastAsia" w:eastAsia="仿宋_GB2312" w:cs="Times New Roman"/>
          <w:sz w:val="32"/>
          <w:szCs w:val="32"/>
          <w:lang w:eastAsia="zh-CN"/>
        </w:rPr>
        <w:t>构成</w:t>
      </w:r>
      <w:r>
        <w:rPr>
          <w:rFonts w:hint="default" w:ascii="Times New Roman" w:hAnsi="Times New Roman" w:eastAsia="仿宋_GB2312" w:cs="Times New Roman"/>
          <w:sz w:val="32"/>
          <w:szCs w:val="32"/>
          <w:lang w:eastAsia="zh-CN"/>
        </w:rPr>
        <w:t>：办公室、研究室、人事科、机关党委、基层办、组织指导科、党代表联络办、党员管理科、干部一科、干部二科、干部三科、干部规划办、公务员一科、公务员二科、公务员三科、干部信息科、干部监督科、举报中心、干部教育科、人才科、党员教育中心（信息化建设中心）、考核评价科、人才发展服务中心、通道转兵红色资源教育中心。</w:t>
      </w:r>
    </w:p>
    <w:p w14:paraId="77A032C2">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eastAsia="zh-CN"/>
        </w:rPr>
        <w:t>中共怀化市委组织部</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eastAsia="zh-CN"/>
        </w:rPr>
        <w:t>中共怀化市委组织部</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07724FC5">
      <w:pPr>
        <w:jc w:val="left"/>
        <w:rPr>
          <w:rFonts w:ascii="Times New Roman" w:hAnsi="Times New Roman" w:eastAsia="仿宋_GB2312" w:cs="Times New Roman"/>
          <w:sz w:val="28"/>
          <w:szCs w:val="32"/>
        </w:rPr>
      </w:pPr>
    </w:p>
    <w:p w14:paraId="4D5D8288">
      <w:pPr>
        <w:jc w:val="center"/>
        <w:rPr>
          <w:rFonts w:ascii="Times New Roman" w:hAnsi="Times New Roman" w:eastAsia="黑体" w:cs="Times New Roman"/>
          <w:sz w:val="28"/>
          <w:szCs w:val="28"/>
        </w:rPr>
      </w:pPr>
    </w:p>
    <w:p w14:paraId="4A9F1BB9">
      <w:pPr>
        <w:jc w:val="center"/>
        <w:rPr>
          <w:rFonts w:ascii="Times New Roman" w:hAnsi="Times New Roman" w:eastAsia="黑体" w:cs="Times New Roman"/>
          <w:sz w:val="28"/>
          <w:szCs w:val="28"/>
        </w:rPr>
      </w:pPr>
    </w:p>
    <w:p w14:paraId="7ED44A12">
      <w:pPr>
        <w:jc w:val="center"/>
        <w:rPr>
          <w:rFonts w:ascii="Times New Roman" w:hAnsi="Times New Roman" w:eastAsia="黑体" w:cs="Times New Roman"/>
          <w:sz w:val="28"/>
          <w:szCs w:val="28"/>
        </w:rPr>
      </w:pPr>
    </w:p>
    <w:p w14:paraId="075E7B9C">
      <w:pPr>
        <w:jc w:val="center"/>
        <w:rPr>
          <w:rFonts w:ascii="Times New Roman" w:hAnsi="Times New Roman" w:eastAsia="黑体" w:cs="Times New Roman"/>
          <w:sz w:val="28"/>
          <w:szCs w:val="28"/>
        </w:rPr>
      </w:pPr>
    </w:p>
    <w:p w14:paraId="43E7ADBD">
      <w:pPr>
        <w:pStyle w:val="9"/>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2C023E25">
      <w:pPr>
        <w:pStyle w:val="16"/>
        <w:jc w:val="center"/>
        <w:rPr>
          <w:rFonts w:ascii="Times New Roman" w:hAnsi="Times New Roman" w:cs="Times New Roman"/>
          <w:sz w:val="72"/>
          <w:szCs w:val="72"/>
        </w:rPr>
      </w:pPr>
    </w:p>
    <w:p w14:paraId="499E55DC">
      <w:pPr>
        <w:pStyle w:val="16"/>
        <w:jc w:val="center"/>
        <w:rPr>
          <w:rFonts w:ascii="Times New Roman" w:hAnsi="Times New Roman" w:cs="Times New Roman"/>
          <w:sz w:val="72"/>
          <w:szCs w:val="72"/>
        </w:rPr>
      </w:pPr>
    </w:p>
    <w:p w14:paraId="671C9936">
      <w:pPr>
        <w:pStyle w:val="16"/>
        <w:jc w:val="center"/>
        <w:rPr>
          <w:rFonts w:ascii="Times New Roman" w:hAnsi="Times New Roman" w:cs="Times New Roman"/>
          <w:sz w:val="72"/>
          <w:szCs w:val="72"/>
        </w:rPr>
      </w:pPr>
    </w:p>
    <w:p w14:paraId="007169A7">
      <w:pPr>
        <w:pStyle w:val="16"/>
        <w:jc w:val="both"/>
        <w:rPr>
          <w:rFonts w:ascii="Times New Roman" w:hAnsi="Times New Roman" w:cs="Times New Roman"/>
          <w:sz w:val="72"/>
          <w:szCs w:val="72"/>
        </w:rPr>
      </w:pPr>
    </w:p>
    <w:p w14:paraId="08E7781D">
      <w:pPr>
        <w:pStyle w:val="16"/>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eastAsia="zh-CN"/>
        </w:rPr>
        <w:t>第二部分</w:t>
      </w:r>
      <w:r>
        <w:rPr>
          <w:rFonts w:ascii="Times New Roman" w:hAnsi="Times New Roman" w:eastAsia="方正小标宋_GBK" w:cs="Times New Roman"/>
          <w:sz w:val="52"/>
          <w:szCs w:val="52"/>
        </w:rPr>
        <w:t xml:space="preserve">   部门决算表</w:t>
      </w:r>
    </w:p>
    <w:p w14:paraId="2A99F24A">
      <w:pPr>
        <w:pStyle w:val="16"/>
        <w:spacing w:line="360" w:lineRule="auto"/>
        <w:jc w:val="center"/>
        <w:rPr>
          <w:rFonts w:ascii="Times New Roman" w:hAnsi="Times New Roman" w:eastAsia="方正小标宋_GBK" w:cs="Times New Roman"/>
          <w:sz w:val="52"/>
          <w:szCs w:val="52"/>
          <w:lang w:val="en-US" w:eastAsia="zh-CN"/>
        </w:rPr>
      </w:pPr>
      <w:r>
        <w:rPr>
          <w:rFonts w:hint="eastAsia" w:ascii="Times New Roman" w:hAnsi="Times New Roman" w:eastAsia="方正小标宋_GBK" w:cs="Times New Roman"/>
          <w:sz w:val="52"/>
          <w:szCs w:val="52"/>
          <w:lang w:val="en-US" w:eastAsia="zh-CN"/>
        </w:rPr>
        <w:t>（详见附表）</w:t>
      </w:r>
    </w:p>
    <w:p w14:paraId="6F52548B">
      <w:pPr>
        <w:rPr>
          <w:rFonts w:ascii="Times New Roman" w:hAnsi="Times New Roman" w:cs="Times New Roman"/>
          <w:sz w:val="72"/>
          <w:szCs w:val="72"/>
        </w:rPr>
      </w:pPr>
      <w:r>
        <w:rPr>
          <w:rFonts w:ascii="Times New Roman" w:hAnsi="Times New Roman" w:cs="Times New Roman"/>
          <w:sz w:val="72"/>
          <w:szCs w:val="72"/>
        </w:rPr>
        <w:br w:type="page"/>
      </w:r>
    </w:p>
    <w:p w14:paraId="7A3F85B9">
      <w:pPr>
        <w:pStyle w:val="16"/>
        <w:jc w:val="center"/>
        <w:rPr>
          <w:rFonts w:ascii="Times New Roman" w:hAnsi="Times New Roman" w:cs="Times New Roman"/>
          <w:sz w:val="72"/>
          <w:szCs w:val="72"/>
        </w:rPr>
      </w:pPr>
    </w:p>
    <w:p w14:paraId="3E880CC9">
      <w:pPr>
        <w:pStyle w:val="16"/>
        <w:jc w:val="center"/>
        <w:rPr>
          <w:rFonts w:ascii="Times New Roman" w:hAnsi="Times New Roman" w:cs="Times New Roman"/>
          <w:sz w:val="72"/>
          <w:szCs w:val="72"/>
        </w:rPr>
      </w:pPr>
    </w:p>
    <w:p w14:paraId="0DD8D8B3">
      <w:pPr>
        <w:pStyle w:val="16"/>
        <w:jc w:val="center"/>
        <w:rPr>
          <w:rFonts w:ascii="Times New Roman" w:hAnsi="Times New Roman" w:cs="Times New Roman"/>
          <w:sz w:val="72"/>
          <w:szCs w:val="72"/>
        </w:rPr>
      </w:pPr>
    </w:p>
    <w:p w14:paraId="70FE828D">
      <w:pPr>
        <w:pStyle w:val="16"/>
        <w:jc w:val="both"/>
        <w:rPr>
          <w:rFonts w:ascii="Times New Roman" w:hAnsi="Times New Roman" w:cs="Times New Roman"/>
          <w:sz w:val="72"/>
          <w:szCs w:val="72"/>
        </w:rPr>
      </w:pPr>
    </w:p>
    <w:p w14:paraId="11C2490B">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C2FAA4D">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43316797">
      <w:pPr>
        <w:widowControl/>
        <w:jc w:val="left"/>
        <w:rPr>
          <w:rFonts w:ascii="Times New Roman" w:hAnsi="Times New Roman" w:cs="Times New Roman"/>
          <w:sz w:val="32"/>
          <w:szCs w:val="32"/>
        </w:rPr>
      </w:pPr>
      <w:r>
        <w:br w:type="page"/>
      </w:r>
    </w:p>
    <w:p w14:paraId="48CCC704">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7E9E4D4F">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red"/>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2760.18</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lang w:val="en-US" w:eastAsia="zh-CN"/>
        </w:rPr>
        <w:t>96.86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3.39</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eastAsia="zh-CN"/>
        </w:rPr>
        <w:t>厉行节约。</w:t>
      </w:r>
    </w:p>
    <w:p w14:paraId="38E125C8">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52BA55BF">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2760.18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2733.45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26.72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0.97</w:t>
      </w:r>
      <w:r>
        <w:rPr>
          <w:rFonts w:ascii="Times New Roman" w:hAnsi="Times New Roman" w:eastAsia="仿宋_GB2312" w:cs="Times New Roman"/>
          <w:sz w:val="32"/>
          <w:szCs w:val="32"/>
        </w:rPr>
        <w:t>%。</w:t>
      </w:r>
    </w:p>
    <w:p w14:paraId="0E7C1E8D">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9931D92">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2760.18</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1923.4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69.68</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836.77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30.32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39E561AD">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3D53440F">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red"/>
          <w:lang w:eastAsia="zh-CN"/>
        </w:rPr>
      </w:pPr>
      <w:r>
        <w:rPr>
          <w:rFonts w:ascii="Times New Roman" w:hAnsi="Times New Roman" w:eastAsia="仿宋_GB2312" w:cs="Times New Roman"/>
          <w:sz w:val="32"/>
          <w:szCs w:val="32"/>
        </w:rPr>
        <w:t>2024年度财政拨款收</w:t>
      </w:r>
      <w:r>
        <w:rPr>
          <w:rFonts w:ascii="Times New Roman" w:hAnsi="Times New Roman" w:eastAsia="仿宋_GB2312" w:cs="Times New Roman"/>
          <w:sz w:val="32"/>
          <w:szCs w:val="32"/>
          <w:highlight w:val="none"/>
        </w:rPr>
        <w:t>、支总计</w:t>
      </w:r>
      <w:r>
        <w:rPr>
          <w:rFonts w:hint="eastAsia" w:ascii="Times New Roman" w:hAnsi="Times New Roman" w:eastAsia="仿宋_GB2312" w:cs="Times New Roman"/>
          <w:sz w:val="32"/>
          <w:szCs w:val="32"/>
          <w:highlight w:val="none"/>
          <w:lang w:val="en-US" w:eastAsia="zh-CN"/>
        </w:rPr>
        <w:t>2760.18</w:t>
      </w:r>
      <w:r>
        <w:rPr>
          <w:rFonts w:ascii="Times New Roman" w:hAnsi="Times New Roman" w:eastAsia="仿宋_GB2312" w:cs="Times New Roman"/>
          <w:sz w:val="32"/>
          <w:szCs w:val="32"/>
          <w:highlight w:val="none"/>
        </w:rPr>
        <w:t>万元，与上年相比，减少</w:t>
      </w:r>
      <w:r>
        <w:rPr>
          <w:rFonts w:hint="eastAsia" w:ascii="Times New Roman" w:hAnsi="Times New Roman" w:eastAsia="仿宋_GB2312" w:cs="Times New Roman"/>
          <w:sz w:val="32"/>
          <w:szCs w:val="32"/>
          <w:highlight w:val="none"/>
          <w:lang w:val="en-US" w:eastAsia="zh-CN"/>
        </w:rPr>
        <w:t>96.86</w:t>
      </w:r>
      <w:r>
        <w:rPr>
          <w:rFonts w:ascii="Times New Roman" w:hAnsi="Times New Roman" w:eastAsia="仿宋_GB2312" w:cs="Times New Roman"/>
          <w:sz w:val="32"/>
          <w:szCs w:val="32"/>
          <w:highlight w:val="none"/>
        </w:rPr>
        <w:t>万元,降低</w:t>
      </w:r>
      <w:r>
        <w:rPr>
          <w:rFonts w:hint="eastAsia" w:ascii="Times New Roman" w:hAnsi="Times New Roman" w:eastAsia="仿宋_GB2312" w:cs="Times New Roman"/>
          <w:sz w:val="32"/>
          <w:szCs w:val="32"/>
          <w:highlight w:val="none"/>
          <w:lang w:val="en-US" w:eastAsia="zh-CN"/>
        </w:rPr>
        <w:t>3.39</w:t>
      </w:r>
      <w:r>
        <w:rPr>
          <w:rFonts w:ascii="Times New Roman" w:hAnsi="Times New Roman" w:eastAsia="仿宋_GB2312" w:cs="Times New Roman"/>
          <w:sz w:val="32"/>
          <w:szCs w:val="32"/>
          <w:highlight w:val="none"/>
        </w:rPr>
        <w:t>%，主要是因</w:t>
      </w:r>
      <w:r>
        <w:rPr>
          <w:rFonts w:hint="eastAsia" w:ascii="Times New Roman" w:hAnsi="Times New Roman" w:eastAsia="仿宋_GB2312" w:cs="Times New Roman"/>
          <w:sz w:val="32"/>
          <w:szCs w:val="32"/>
          <w:highlight w:val="none"/>
          <w:lang w:eastAsia="zh-CN"/>
        </w:rPr>
        <w:t>为厉行节约。</w:t>
      </w:r>
    </w:p>
    <w:p w14:paraId="7B9F306A">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644E2518">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06989572">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2733.45</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99.03</w:t>
      </w:r>
      <w:r>
        <w:rPr>
          <w:rFonts w:ascii="Times New Roman" w:hAnsi="Times New Roman" w:eastAsia="仿宋_GB2312" w:cs="Times New Roman"/>
          <w:sz w:val="32"/>
          <w:szCs w:val="32"/>
        </w:rPr>
        <w:t>%，与上年相比，财政拨款支出减</w:t>
      </w:r>
      <w:r>
        <w:rPr>
          <w:rFonts w:hint="eastAsia" w:ascii="Times New Roman" w:hAnsi="Times New Roman" w:eastAsia="仿宋_GB2312" w:cs="Times New Roman"/>
          <w:sz w:val="32"/>
          <w:szCs w:val="32"/>
          <w:lang w:eastAsia="zh-CN"/>
        </w:rPr>
        <w:t>少</w:t>
      </w:r>
      <w:r>
        <w:rPr>
          <w:rFonts w:hint="eastAsia" w:ascii="Times New Roman" w:hAnsi="Times New Roman" w:eastAsia="仿宋_GB2312" w:cs="Times New Roman"/>
          <w:sz w:val="32"/>
          <w:szCs w:val="32"/>
          <w:lang w:val="en-US" w:eastAsia="zh-CN"/>
        </w:rPr>
        <w:t>123.59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4.33</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主要是因为</w:t>
      </w:r>
      <w:r>
        <w:rPr>
          <w:rFonts w:hint="eastAsia" w:ascii="Times New Roman" w:hAnsi="Times New Roman" w:eastAsia="仿宋_GB2312" w:cs="Times New Roman"/>
          <w:sz w:val="32"/>
          <w:szCs w:val="32"/>
          <w:highlight w:val="none"/>
          <w:lang w:eastAsia="zh-CN"/>
        </w:rPr>
        <w:t>厉行节约</w:t>
      </w:r>
    </w:p>
    <w:p w14:paraId="1365AF32">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54727F2">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2733.45</w:t>
      </w:r>
      <w:r>
        <w:rPr>
          <w:rFonts w:ascii="Times New Roman" w:hAnsi="Times New Roman" w:eastAsia="仿宋_GB2312" w:cs="Times New Roman"/>
          <w:sz w:val="32"/>
          <w:szCs w:val="32"/>
        </w:rPr>
        <w:t>万元，主要用于以下方面：</w:t>
      </w:r>
      <w:r>
        <w:rPr>
          <w:rFonts w:hint="eastAsia" w:ascii="Times New Roman" w:hAnsi="Times New Roman" w:eastAsia="仿宋_GB2312"/>
          <w:sz w:val="32"/>
          <w:szCs w:val="32"/>
        </w:rPr>
        <w:t>一般公共服务（类）支出2461.22万元，占</w:t>
      </w:r>
      <w:r>
        <w:rPr>
          <w:rFonts w:hint="eastAsia" w:ascii="Times New Roman" w:hAnsi="Times New Roman" w:eastAsia="仿宋_GB2312"/>
          <w:sz w:val="32"/>
          <w:szCs w:val="32"/>
          <w:lang w:val="en-US" w:eastAsia="zh-CN"/>
        </w:rPr>
        <w:t>90.04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lang w:val="en-US" w:eastAsia="zh-CN"/>
        </w:rPr>
        <w:t>136.52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4.99</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；卫生健康支出42.53</w:t>
      </w:r>
      <w:r>
        <w:rPr>
          <w:rFonts w:hint="eastAsia" w:ascii="Times New Roman" w:hAnsi="Times New Roman" w:eastAsia="仿宋_GB2312"/>
          <w:sz w:val="32"/>
          <w:szCs w:val="32"/>
          <w:lang w:val="en-US" w:eastAsia="zh-CN"/>
        </w:rPr>
        <w:t>万元，占1.56%；农林水支出89.58万元，占3.28%；</w:t>
      </w:r>
      <w:r>
        <w:rPr>
          <w:rFonts w:hint="eastAsia" w:ascii="Times New Roman" w:hAnsi="Times New Roman" w:eastAsia="仿宋_GB2312"/>
          <w:sz w:val="32"/>
          <w:szCs w:val="32"/>
          <w:lang w:eastAsia="zh-CN"/>
        </w:rPr>
        <w:t>住房保障支出支出</w:t>
      </w:r>
      <w:r>
        <w:rPr>
          <w:rFonts w:hint="eastAsia" w:ascii="Times New Roman" w:hAnsi="Times New Roman" w:eastAsia="仿宋_GB2312"/>
          <w:sz w:val="32"/>
          <w:szCs w:val="32"/>
          <w:lang w:val="en-US" w:eastAsia="zh-CN"/>
        </w:rPr>
        <w:t>3.61万元，占0.13%；</w:t>
      </w:r>
    </w:p>
    <w:p w14:paraId="4865FA5E">
      <w:pPr>
        <w:pStyle w:val="16"/>
        <w:overflowPunct w:val="0"/>
        <w:autoSpaceDE/>
        <w:autoSpaceDN/>
        <w:spacing w:line="600" w:lineRule="exact"/>
        <w:ind w:firstLine="640" w:firstLineChars="200"/>
        <w:jc w:val="both"/>
        <w:rPr>
          <w:rFonts w:ascii="Times New Roman" w:hAnsi="Times New Roman" w:eastAsia="楷体_GB2312" w:cs="Times New Roman"/>
          <w:b/>
          <w:sz w:val="32"/>
          <w:szCs w:val="32"/>
          <w:highlight w:val="none"/>
        </w:rPr>
      </w:pPr>
      <w:r>
        <w:rPr>
          <w:rFonts w:ascii="Times New Roman" w:hAnsi="Times New Roman" w:eastAsia="楷体_GB2312" w:cs="Times New Roman"/>
          <w:b/>
          <w:sz w:val="32"/>
          <w:szCs w:val="32"/>
          <w:highlight w:val="none"/>
        </w:rPr>
        <w:t>（三）一般公共预算财政拨款支出决算具体情况</w:t>
      </w:r>
    </w:p>
    <w:p w14:paraId="31142BE6">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2024年度财政拨款支出年初预算数为</w:t>
      </w:r>
      <w:r>
        <w:rPr>
          <w:rFonts w:hint="eastAsia" w:ascii="Times New Roman" w:hAnsi="Times New Roman" w:eastAsia="仿宋_GB2312" w:cs="Times New Roman"/>
          <w:sz w:val="32"/>
          <w:szCs w:val="32"/>
          <w:highlight w:val="none"/>
          <w:lang w:val="en-US" w:eastAsia="zh-CN"/>
        </w:rPr>
        <w:t>2136.98</w:t>
      </w:r>
      <w:r>
        <w:rPr>
          <w:rFonts w:ascii="Times New Roman" w:hAnsi="Times New Roman" w:eastAsia="仿宋_GB2312" w:cs="Times New Roman"/>
          <w:sz w:val="32"/>
          <w:szCs w:val="32"/>
          <w:highlight w:val="none"/>
        </w:rPr>
        <w:t>万元，支出决算数为</w:t>
      </w:r>
      <w:r>
        <w:rPr>
          <w:rFonts w:hint="eastAsia" w:ascii="Times New Roman" w:hAnsi="Times New Roman" w:eastAsia="仿宋_GB2312" w:cs="Times New Roman"/>
          <w:sz w:val="32"/>
          <w:szCs w:val="32"/>
          <w:highlight w:val="none"/>
          <w:lang w:val="en-US" w:eastAsia="zh-CN"/>
        </w:rPr>
        <w:t>2733.45</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127.91</w:t>
      </w:r>
      <w:r>
        <w:rPr>
          <w:rFonts w:ascii="Times New Roman" w:hAnsi="Times New Roman" w:eastAsia="仿宋_GB2312" w:cs="Times New Roman"/>
          <w:sz w:val="32"/>
          <w:szCs w:val="32"/>
          <w:highlight w:val="none"/>
        </w:rPr>
        <w:t>%，其中：</w:t>
      </w:r>
    </w:p>
    <w:p w14:paraId="18ABF0C8">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1、一般公共服务（类）</w:t>
      </w:r>
      <w:r>
        <w:rPr>
          <w:rFonts w:hint="eastAsia" w:ascii="Times New Roman" w:hAnsi="Times New Roman" w:eastAsia="仿宋_GB2312" w:cs="Times New Roman"/>
          <w:sz w:val="32"/>
          <w:szCs w:val="32"/>
          <w:highlight w:val="none"/>
          <w:lang w:eastAsia="zh-CN"/>
        </w:rPr>
        <w:t>组织事务</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行政运行</w:t>
      </w:r>
      <w:r>
        <w:rPr>
          <w:rFonts w:ascii="Times New Roman" w:hAnsi="Times New Roman" w:eastAsia="仿宋_GB2312" w:cs="Times New Roman"/>
          <w:sz w:val="32"/>
          <w:szCs w:val="32"/>
          <w:highlight w:val="none"/>
        </w:rPr>
        <w:t>（项）。</w:t>
      </w:r>
    </w:p>
    <w:p w14:paraId="722336CC">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1747.79</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1680.32</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96.14</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eastAsia="zh-CN"/>
        </w:rPr>
        <w:t>厉行节约</w:t>
      </w:r>
    </w:p>
    <w:p w14:paraId="0D5A2845">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2、一般公共服务（类）</w:t>
      </w:r>
      <w:r>
        <w:rPr>
          <w:rFonts w:hint="eastAsia" w:ascii="Times New Roman" w:hAnsi="Times New Roman" w:eastAsia="仿宋_GB2312" w:cs="Times New Roman"/>
          <w:sz w:val="32"/>
          <w:szCs w:val="32"/>
          <w:highlight w:val="none"/>
          <w:lang w:eastAsia="zh-CN"/>
        </w:rPr>
        <w:t>组织事务</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公务员事务</w:t>
      </w:r>
      <w:r>
        <w:rPr>
          <w:rFonts w:ascii="Times New Roman" w:hAnsi="Times New Roman" w:eastAsia="仿宋_GB2312" w:cs="Times New Roman"/>
          <w:sz w:val="32"/>
          <w:szCs w:val="32"/>
          <w:highlight w:val="none"/>
        </w:rPr>
        <w:t>（项）。</w:t>
      </w:r>
    </w:p>
    <w:p w14:paraId="787D5208">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57.5</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54.41</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94.63</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eastAsia="zh-CN"/>
        </w:rPr>
        <w:t>厉行节约</w:t>
      </w:r>
    </w:p>
    <w:p w14:paraId="39E56AA1">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组织事务支出</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其他组织事务支出</w:t>
      </w:r>
      <w:r>
        <w:rPr>
          <w:rFonts w:ascii="Times New Roman" w:hAnsi="Times New Roman" w:eastAsia="仿宋_GB2312" w:cs="Times New Roman"/>
          <w:sz w:val="32"/>
          <w:szCs w:val="32"/>
          <w:highlight w:val="none"/>
        </w:rPr>
        <w:t>（项）。</w:t>
      </w:r>
    </w:p>
    <w:p w14:paraId="3DCF4574">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150</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663.7</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442.47</w:t>
      </w:r>
      <w:r>
        <w:rPr>
          <w:rFonts w:ascii="Times New Roman" w:hAnsi="Times New Roman" w:eastAsia="仿宋_GB2312" w:cs="Times New Roman"/>
          <w:sz w:val="32"/>
          <w:szCs w:val="32"/>
          <w:highlight w:val="none"/>
        </w:rPr>
        <w:t>%，决算数大于年初预算数的主要原因是：</w:t>
      </w:r>
      <w:r>
        <w:rPr>
          <w:rFonts w:hint="eastAsia" w:ascii="Times New Roman" w:hAnsi="Times New Roman" w:eastAsia="仿宋_GB2312"/>
          <w:sz w:val="32"/>
          <w:szCs w:val="32"/>
          <w:lang w:eastAsia="zh-CN"/>
        </w:rPr>
        <w:t>一是基层组织服务群众经费、人才资源开发专项经费、部分人员支出由财政统筹，不属于部机关年初预算范围。二是主题教育等临时工作下拨的经费计在该科目。</w:t>
      </w:r>
    </w:p>
    <w:p w14:paraId="0DA7FF84">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4</w:t>
      </w:r>
      <w:r>
        <w:rPr>
          <w:rFonts w:ascii="Times New Roman" w:hAnsi="Times New Roman" w:eastAsia="仿宋_GB2312" w:cs="Times New Roman"/>
          <w:sz w:val="32"/>
          <w:szCs w:val="32"/>
          <w:highlight w:val="none"/>
        </w:rPr>
        <w:t>、一般公共服务（类）</w:t>
      </w:r>
      <w:r>
        <w:rPr>
          <w:rFonts w:hint="eastAsia" w:ascii="Times New Roman" w:hAnsi="Times New Roman" w:eastAsia="仿宋_GB2312" w:cs="Times New Roman"/>
          <w:sz w:val="32"/>
          <w:szCs w:val="32"/>
          <w:highlight w:val="none"/>
          <w:lang w:eastAsia="zh-CN"/>
        </w:rPr>
        <w:t>组织事务支出</w:t>
      </w:r>
      <w:r>
        <w:rPr>
          <w:rFonts w:ascii="Times New Roman" w:hAnsi="Times New Roman" w:eastAsia="仿宋_GB2312" w:cs="Times New Roman"/>
          <w:sz w:val="32"/>
          <w:szCs w:val="32"/>
          <w:highlight w:val="none"/>
        </w:rPr>
        <w:t>（款）</w:t>
      </w:r>
      <w:r>
        <w:rPr>
          <w:rFonts w:hint="eastAsia" w:ascii="Times New Roman" w:hAnsi="Times New Roman" w:eastAsia="仿宋_GB2312" w:cs="Times New Roman"/>
          <w:sz w:val="32"/>
          <w:szCs w:val="32"/>
          <w:highlight w:val="none"/>
          <w:lang w:eastAsia="zh-CN"/>
        </w:rPr>
        <w:t>其他一般公共服务支出</w:t>
      </w:r>
      <w:r>
        <w:rPr>
          <w:rFonts w:ascii="Times New Roman" w:hAnsi="Times New Roman" w:eastAsia="仿宋_GB2312" w:cs="Times New Roman"/>
          <w:sz w:val="32"/>
          <w:szCs w:val="32"/>
          <w:highlight w:val="none"/>
        </w:rPr>
        <w:t>（项）。</w:t>
      </w:r>
    </w:p>
    <w:p w14:paraId="578D99B7">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62.78</w:t>
      </w:r>
      <w:r>
        <w:rPr>
          <w:rFonts w:ascii="Times New Roman" w:hAnsi="Times New Roman" w:eastAsia="仿宋_GB2312" w:cs="Times New Roman"/>
          <w:sz w:val="32"/>
          <w:szCs w:val="32"/>
          <w:highlight w:val="none"/>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该项支出是其他单位拨来的款项，不属于部机关年初预算。</w:t>
      </w:r>
    </w:p>
    <w:p w14:paraId="274ED292">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hint="eastAsia" w:ascii="Times New Roman" w:hAnsi="Times New Roman" w:eastAsia="仿宋_GB2312" w:cs="Times New Roman"/>
          <w:sz w:val="32"/>
          <w:szCs w:val="32"/>
          <w:highlight w:val="none"/>
          <w:lang w:val="en-US" w:eastAsia="zh-CN"/>
        </w:rPr>
        <w:t>5、</w:t>
      </w:r>
      <w:r>
        <w:rPr>
          <w:rFonts w:hint="eastAsia" w:ascii="Times New Roman" w:hAnsi="Times New Roman" w:eastAsia="仿宋_GB2312"/>
          <w:sz w:val="32"/>
          <w:szCs w:val="32"/>
          <w:lang w:val="en-US"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行政单位离退休</w:t>
      </w:r>
      <w:r>
        <w:rPr>
          <w:rFonts w:hint="eastAsia" w:ascii="Times New Roman" w:hAnsi="Times New Roman" w:eastAsia="仿宋_GB2312"/>
          <w:sz w:val="32"/>
          <w:szCs w:val="32"/>
        </w:rPr>
        <w:t>（项）</w:t>
      </w:r>
      <w:r>
        <w:rPr>
          <w:rFonts w:ascii="Times New Roman" w:hAnsi="Times New Roman" w:eastAsia="仿宋_GB2312" w:cs="Times New Roman"/>
          <w:sz w:val="32"/>
          <w:szCs w:val="32"/>
          <w:highlight w:val="none"/>
        </w:rPr>
        <w:t>。</w:t>
      </w:r>
    </w:p>
    <w:p w14:paraId="766B7016">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28.94</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28.64</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98.96</w:t>
      </w:r>
      <w:r>
        <w:rPr>
          <w:rFonts w:ascii="Times New Roman" w:hAnsi="Times New Roman" w:eastAsia="仿宋_GB2312" w:cs="Times New Roman"/>
          <w:sz w:val="32"/>
          <w:szCs w:val="32"/>
          <w:highlight w:val="none"/>
        </w:rPr>
        <w:t>%，决算数小于年初预算数的主要原因是：</w:t>
      </w:r>
      <w:r>
        <w:rPr>
          <w:rFonts w:hint="eastAsia" w:ascii="Times New Roman" w:hAnsi="Times New Roman" w:eastAsia="仿宋_GB2312" w:cs="Times New Roman"/>
          <w:sz w:val="32"/>
          <w:szCs w:val="32"/>
          <w:highlight w:val="none"/>
          <w:lang w:eastAsia="zh-CN"/>
        </w:rPr>
        <w:t>单位人员异动。</w:t>
      </w:r>
    </w:p>
    <w:p w14:paraId="15A43E23">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14:paraId="03372394">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107.87</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107.87</w:t>
      </w:r>
      <w:r>
        <w:rPr>
          <w:rFonts w:ascii="Times New Roman" w:hAnsi="Times New Roman" w:eastAsia="仿宋_GB2312" w:cs="Times New Roman"/>
          <w:sz w:val="32"/>
          <w:szCs w:val="32"/>
          <w:highlight w:val="none"/>
        </w:rPr>
        <w:t>万元，完成年初预算的</w:t>
      </w:r>
      <w:r>
        <w:rPr>
          <w:rFonts w:hint="eastAsia" w:ascii="Times New Roman" w:hAnsi="Times New Roman" w:eastAsia="仿宋_GB2312" w:cs="Times New Roman"/>
          <w:sz w:val="32"/>
          <w:szCs w:val="32"/>
          <w:highlight w:val="none"/>
          <w:lang w:val="en-US" w:eastAsia="zh-CN"/>
        </w:rPr>
        <w:t>100</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w:t>
      </w:r>
    </w:p>
    <w:p w14:paraId="520EA244">
      <w:pPr>
        <w:pStyle w:val="16"/>
        <w:numPr>
          <w:ilvl w:val="0"/>
          <w:numId w:val="0"/>
        </w:numPr>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cs="黑体"/>
          <w:color w:val="000000"/>
          <w:sz w:val="32"/>
          <w:szCs w:val="32"/>
          <w:lang w:val="en-US" w:eastAsia="zh-CN" w:bidi="ar-SA"/>
        </w:rPr>
        <w:t>7、</w:t>
      </w:r>
      <w:r>
        <w:rPr>
          <w:rFonts w:hint="eastAsia" w:ascii="Times New Roman" w:hAnsi="Times New Roman" w:eastAsia="仿宋_GB2312"/>
          <w:sz w:val="32"/>
          <w:szCs w:val="32"/>
          <w:lang w:val="en-US"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7020399B">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highlight w:val="none"/>
        </w:rPr>
        <w:t>年初预算为</w:t>
      </w:r>
      <w:r>
        <w:rPr>
          <w:rFonts w:hint="eastAsia" w:ascii="Times New Roman" w:hAnsi="Times New Roman" w:eastAsia="仿宋_GB2312" w:cs="Times New Roman"/>
          <w:sz w:val="32"/>
          <w:szCs w:val="32"/>
          <w:highlight w:val="none"/>
          <w:lang w:val="en-US" w:eastAsia="zh-CN"/>
        </w:rPr>
        <w:t>44.87</w:t>
      </w:r>
      <w:r>
        <w:rPr>
          <w:rFonts w:ascii="Times New Roman" w:hAnsi="Times New Roman" w:eastAsia="仿宋_GB2312" w:cs="Times New Roman"/>
          <w:sz w:val="32"/>
          <w:szCs w:val="32"/>
          <w:highlight w:val="none"/>
        </w:rPr>
        <w:t>万元，支出决算为</w:t>
      </w:r>
      <w:r>
        <w:rPr>
          <w:rFonts w:hint="eastAsia" w:ascii="Times New Roman" w:hAnsi="Times New Roman" w:eastAsia="仿宋_GB2312" w:cs="Times New Roman"/>
          <w:sz w:val="32"/>
          <w:szCs w:val="32"/>
          <w:highlight w:val="none"/>
          <w:lang w:val="en-US" w:eastAsia="zh-CN"/>
        </w:rPr>
        <w:t>42.53</w:t>
      </w:r>
      <w:r>
        <w:rPr>
          <w:rFonts w:ascii="Times New Roman" w:hAnsi="Times New Roman" w:eastAsia="仿宋_GB2312" w:cs="Times New Roman"/>
          <w:sz w:val="32"/>
          <w:szCs w:val="32"/>
          <w:highlight w:val="none"/>
        </w:rPr>
        <w:t>万元，完成年初预算的%，决算数小于年初预算数的主要原因是：</w:t>
      </w:r>
      <w:r>
        <w:rPr>
          <w:rFonts w:hint="eastAsia" w:ascii="Times New Roman" w:hAnsi="Times New Roman" w:eastAsia="仿宋_GB2312" w:cs="Times New Roman"/>
          <w:sz w:val="32"/>
          <w:szCs w:val="32"/>
          <w:highlight w:val="none"/>
          <w:lang w:eastAsia="zh-CN"/>
        </w:rPr>
        <w:t>单位人员异动。</w:t>
      </w:r>
    </w:p>
    <w:p w14:paraId="59C584CD">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8、农林水支出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巩固脱贫攻坚成果衔接乡村振兴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其他巩固脱贫攻坚成果衔接乡村振兴支出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14:paraId="4F39FDBB">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95.51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由于预算数为</w:t>
      </w:r>
      <w:r>
        <w:rPr>
          <w:rFonts w:hint="eastAsia" w:ascii="Times New Roman" w:hAnsi="Times New Roman" w:eastAsia="仿宋_GB2312"/>
          <w:sz w:val="32"/>
          <w:szCs w:val="32"/>
          <w:lang w:val="en-US" w:eastAsia="zh-CN"/>
        </w:rPr>
        <w:t>0，无法计算百分比</w:t>
      </w:r>
      <w:r>
        <w:rPr>
          <w:rFonts w:hint="eastAsia" w:ascii="Times New Roman" w:hAnsi="Times New Roman" w:eastAsia="仿宋_GB2312"/>
          <w:sz w:val="32"/>
          <w:szCs w:val="32"/>
        </w:rPr>
        <w:t>，决算数大于年初预算数的主要原因是：</w:t>
      </w:r>
      <w:r>
        <w:rPr>
          <w:rFonts w:hint="eastAsia" w:ascii="Times New Roman" w:hAnsi="Times New Roman" w:eastAsia="仿宋_GB2312"/>
          <w:sz w:val="32"/>
          <w:szCs w:val="32"/>
          <w:lang w:eastAsia="zh-CN"/>
        </w:rPr>
        <w:t>驻村办工作经费为财政预算，不属于部机关年初预算范围。</w:t>
      </w:r>
    </w:p>
    <w:p w14:paraId="31724CE2">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219F08FC">
      <w:pPr>
        <w:pStyle w:val="16"/>
        <w:overflowPunct w:val="0"/>
        <w:autoSpaceDE/>
        <w:autoSpaceDN/>
        <w:spacing w:line="600" w:lineRule="exact"/>
        <w:ind w:firstLine="640" w:firstLineChars="200"/>
        <w:jc w:val="both"/>
        <w:rPr>
          <w:rFonts w:hint="eastAsia" w:ascii="Times New Roman" w:hAnsi="Times New Roman" w:eastAsia="仿宋_GB2312"/>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1923.4</w:t>
      </w:r>
      <w:r>
        <w:rPr>
          <w:rFonts w:ascii="Times New Roman" w:hAnsi="Times New Roman" w:eastAsia="仿宋_GB2312" w:cs="Times New Roman"/>
          <w:sz w:val="32"/>
          <w:szCs w:val="32"/>
        </w:rPr>
        <w:t>万元，其中：</w:t>
      </w:r>
      <w:r>
        <w:rPr>
          <w:rFonts w:hint="eastAsia" w:ascii="Times New Roman" w:hAnsi="Times New Roman" w:eastAsia="仿宋_GB2312"/>
          <w:sz w:val="32"/>
          <w:szCs w:val="32"/>
        </w:rPr>
        <w:t>人员经费</w:t>
      </w:r>
      <w:r>
        <w:rPr>
          <w:rFonts w:hint="eastAsia" w:ascii="Times New Roman" w:hAnsi="Times New Roman" w:eastAsia="仿宋_GB2312"/>
          <w:sz w:val="32"/>
          <w:szCs w:val="32"/>
          <w:lang w:val="en-US" w:eastAsia="zh-CN"/>
        </w:rPr>
        <w:t>1173.21</w:t>
      </w:r>
      <w:r>
        <w:rPr>
          <w:rFonts w:hint="eastAsia" w:ascii="Times New Roman" w:hAnsi="Times New Roman" w:eastAsia="仿宋_GB2312"/>
          <w:sz w:val="32"/>
          <w:szCs w:val="32"/>
        </w:rPr>
        <w:t>万</w:t>
      </w:r>
      <w:r>
        <w:rPr>
          <w:rFonts w:ascii="Times New Roman" w:hAnsi="Times New Roman" w:eastAsia="仿宋_GB2312" w:cs="Times New Roman"/>
          <w:sz w:val="32"/>
          <w:szCs w:val="32"/>
        </w:rPr>
        <w:t>元，占基本支出的</w:t>
      </w:r>
      <w:r>
        <w:rPr>
          <w:rFonts w:hint="eastAsia" w:ascii="Times New Roman" w:hAnsi="Times New Roman" w:eastAsia="仿宋_GB2312" w:cs="Times New Roman"/>
          <w:sz w:val="32"/>
          <w:szCs w:val="32"/>
          <w:lang w:val="en-US" w:eastAsia="zh-CN"/>
        </w:rPr>
        <w:t>61</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、机关事业单位基本养老保险缴费、职工基本医疗保险缴费、其他社会保障缴费、退休费、奖励金。</w:t>
      </w:r>
      <w:r>
        <w:rPr>
          <w:rFonts w:hint="eastAsia" w:ascii="Times New Roman" w:hAnsi="Times New Roman" w:eastAsia="仿宋_GB2312"/>
          <w:sz w:val="32"/>
          <w:szCs w:val="32"/>
        </w:rPr>
        <w:t>公用经费</w:t>
      </w:r>
      <w:r>
        <w:rPr>
          <w:rFonts w:hint="eastAsia" w:ascii="Times New Roman" w:hAnsi="Times New Roman" w:eastAsia="仿宋_GB2312"/>
          <w:sz w:val="32"/>
          <w:szCs w:val="32"/>
          <w:lang w:val="en-US" w:eastAsia="zh-CN"/>
        </w:rPr>
        <w:t>750.19</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3</w:t>
      </w:r>
      <w:r>
        <w:rPr>
          <w:rFonts w:hint="eastAsia" w:ascii="Times New Roman" w:hAnsi="Times New Roman" w:eastAsia="仿宋_GB2312" w:cs="Times New Roman"/>
          <w:sz w:val="32"/>
          <w:szCs w:val="32"/>
          <w:lang w:val="en-US" w:eastAsia="zh-CN"/>
        </w:rPr>
        <w:t>9</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w:t>
      </w:r>
      <w:r>
        <w:rPr>
          <w:rFonts w:hint="eastAsia" w:ascii="Times New Roman" w:hAnsi="Times New Roman" w:eastAsia="仿宋_GB2312"/>
          <w:sz w:val="32"/>
          <w:szCs w:val="32"/>
          <w:lang w:eastAsia="zh-CN"/>
        </w:rPr>
        <w:t>邮电费、差旅费、维修（护）费、租赁费、会议费、培训费、公务接待费、劳务费、工会经费、公务用车运行维护费、其他交通费用、其他商品和服务支出、办公设备购置</w:t>
      </w:r>
      <w:r>
        <w:rPr>
          <w:rFonts w:hint="eastAsia" w:ascii="Times New Roman" w:hAnsi="Times New Roman" w:eastAsia="仿宋_GB2312"/>
          <w:sz w:val="32"/>
          <w:szCs w:val="32"/>
        </w:rPr>
        <w:t>。</w:t>
      </w:r>
    </w:p>
    <w:p w14:paraId="7FD8EEB9">
      <w:pPr>
        <w:pStyle w:val="16"/>
        <w:numPr>
          <w:ilvl w:val="0"/>
          <w:numId w:val="1"/>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财政拨款“三公”经费支出决算情况说明</w:t>
      </w:r>
    </w:p>
    <w:p w14:paraId="2D826873">
      <w:pPr>
        <w:pStyle w:val="16"/>
        <w:numPr>
          <w:ilvl w:val="0"/>
          <w:numId w:val="0"/>
        </w:numPr>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48DFD074">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16.03</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89.06</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3.26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25.53</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lang w:eastAsia="zh-CN"/>
        </w:rPr>
        <w:t>厉行节约</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本年度出差任务增加</w:t>
      </w:r>
      <w:r>
        <w:rPr>
          <w:rFonts w:ascii="Times New Roman" w:hAnsi="Times New Roman" w:eastAsia="仿宋_GB2312" w:cs="Times New Roman"/>
          <w:sz w:val="32"/>
          <w:szCs w:val="32"/>
        </w:rPr>
        <w:t>。</w:t>
      </w:r>
    </w:p>
    <w:p w14:paraId="574B45BD">
      <w:pPr>
        <w:pStyle w:val="16"/>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71969FA7">
      <w:pPr>
        <w:pStyle w:val="16"/>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w:t>
      </w:r>
      <w:r>
        <w:rPr>
          <w:rFonts w:hint="eastAsia" w:ascii="Times New Roman" w:hAnsi="Times New Roman" w:eastAsia="仿宋_GB2312"/>
          <w:sz w:val="32"/>
          <w:szCs w:val="32"/>
          <w:lang w:eastAsia="zh-CN"/>
        </w:rPr>
        <w:t>决算数等于预算数的主要原因是我部无</w:t>
      </w:r>
      <w:r>
        <w:rPr>
          <w:rFonts w:hint="eastAsia" w:ascii="Times New Roman" w:hAnsi="Times New Roman" w:eastAsia="仿宋_GB2312"/>
          <w:sz w:val="32"/>
          <w:szCs w:val="32"/>
        </w:rPr>
        <w:t>因公出国（境）费</w:t>
      </w:r>
      <w:r>
        <w:rPr>
          <w:rFonts w:hint="eastAsia" w:ascii="Times New Roman" w:hAnsi="Times New Roman" w:eastAsia="仿宋_GB2312"/>
          <w:sz w:val="32"/>
          <w:szCs w:val="32"/>
          <w:lang w:eastAsia="zh-CN"/>
        </w:rPr>
        <w:t>，决算数与上年持平主要原因是我部无</w:t>
      </w:r>
      <w:r>
        <w:rPr>
          <w:rFonts w:hint="eastAsia" w:ascii="Times New Roman" w:hAnsi="Times New Roman" w:eastAsia="仿宋_GB2312"/>
          <w:sz w:val="32"/>
          <w:szCs w:val="32"/>
        </w:rPr>
        <w:t>因公出国（境）费。</w:t>
      </w:r>
    </w:p>
    <w:p w14:paraId="765B5D44">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15.42</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96.38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28.71</w:t>
      </w:r>
      <w:r>
        <w:rPr>
          <w:rFonts w:ascii="Times New Roman" w:hAnsi="Times New Roman" w:eastAsia="仿宋_GB2312" w:cs="Times New Roman"/>
          <w:sz w:val="32"/>
          <w:szCs w:val="32"/>
        </w:rPr>
        <w:t>%。其中：</w:t>
      </w:r>
    </w:p>
    <w:p w14:paraId="69F72982">
      <w:pPr>
        <w:pStyle w:val="16"/>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16</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15.42</w:t>
      </w:r>
      <w:r>
        <w:rPr>
          <w:rFonts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公车维修维护费、加油费、过路费、保险费</w:t>
      </w:r>
      <w:r>
        <w:rPr>
          <w:rFonts w:ascii="Times New Roman" w:hAnsi="Times New Roman" w:eastAsia="仿宋_GB2312" w:cs="Times New Roman"/>
          <w:sz w:val="32"/>
          <w:szCs w:val="32"/>
        </w:rPr>
        <w:t>，完成预算的</w:t>
      </w:r>
      <w:r>
        <w:rPr>
          <w:rFonts w:hint="eastAsia" w:ascii="Times New Roman" w:hAnsi="Times New Roman" w:eastAsia="仿宋_GB2312" w:cs="Times New Roman"/>
          <w:sz w:val="32"/>
          <w:szCs w:val="32"/>
          <w:lang w:val="en-US" w:eastAsia="zh-CN"/>
        </w:rPr>
        <w:t>96.38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3.44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28.71</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lang w:eastAsia="zh-CN"/>
        </w:rPr>
        <w:t>厉行节约</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lang w:eastAsia="zh-CN"/>
        </w:rPr>
        <w:t>本年度出差任务增加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3</w:t>
      </w:r>
      <w:r>
        <w:rPr>
          <w:rFonts w:ascii="Times New Roman" w:hAnsi="Times New Roman" w:eastAsia="仿宋_GB2312" w:cs="Times New Roman"/>
          <w:sz w:val="32"/>
          <w:szCs w:val="32"/>
        </w:rPr>
        <w:t>辆。</w:t>
      </w:r>
    </w:p>
    <w:p w14:paraId="0E1CC133">
      <w:pPr>
        <w:pStyle w:val="16"/>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0.61</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30.5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0.18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22.78</w:t>
      </w:r>
      <w:r>
        <w:rPr>
          <w:rFonts w:ascii="Times New Roman" w:hAnsi="Times New Roman" w:eastAsia="仿宋_GB2312" w:cs="Times New Roman"/>
          <w:sz w:val="32"/>
          <w:szCs w:val="32"/>
        </w:rPr>
        <w:t>%。决算数小于预算数的</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eastAsia="zh-CN"/>
        </w:rPr>
        <w:t>厉行节约</w:t>
      </w:r>
      <w:r>
        <w:rPr>
          <w:rFonts w:ascii="Times New Roman" w:hAnsi="Times New Roman" w:eastAsia="仿宋_GB2312" w:cs="Times New Roman"/>
          <w:sz w:val="32"/>
          <w:szCs w:val="32"/>
          <w:highlight w:val="none"/>
        </w:rPr>
        <w:t>。</w:t>
      </w:r>
      <w:r>
        <w:rPr>
          <w:rFonts w:ascii="Times New Roman" w:hAnsi="Times New Roman" w:eastAsia="仿宋_GB2312" w:cs="Times New Roman"/>
          <w:sz w:val="32"/>
          <w:szCs w:val="32"/>
        </w:rPr>
        <w:t>决算数小于上年数的主</w:t>
      </w:r>
      <w:r>
        <w:rPr>
          <w:rFonts w:ascii="Times New Roman" w:hAnsi="Times New Roman" w:eastAsia="仿宋_GB2312" w:cs="Times New Roman"/>
          <w:sz w:val="32"/>
          <w:szCs w:val="32"/>
          <w:highlight w:val="none"/>
        </w:rPr>
        <w:t>要原因是</w:t>
      </w:r>
      <w:r>
        <w:rPr>
          <w:rFonts w:hint="eastAsia" w:ascii="Times New Roman" w:hAnsi="Times New Roman" w:eastAsia="仿宋_GB2312" w:cs="Times New Roman"/>
          <w:sz w:val="32"/>
          <w:szCs w:val="32"/>
          <w:highlight w:val="none"/>
          <w:lang w:eastAsia="zh-CN"/>
        </w:rPr>
        <w:t>公务接待人次减少</w:t>
      </w:r>
      <w:r>
        <w:rPr>
          <w:rFonts w:ascii="Times New Roman" w:hAnsi="Times New Roman" w:eastAsia="仿宋_GB2312" w:cs="Times New Roman"/>
          <w:sz w:val="32"/>
          <w:szCs w:val="32"/>
          <w:highlight w:val="none"/>
        </w:rPr>
        <w:t>。2024年度共接待来访团组</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rPr>
        <w:t>个、来宾</w:t>
      </w:r>
      <w:r>
        <w:rPr>
          <w:rFonts w:hint="eastAsia" w:ascii="Times New Roman" w:hAnsi="Times New Roman" w:eastAsia="仿宋_GB2312" w:cs="Times New Roman"/>
          <w:sz w:val="32"/>
          <w:szCs w:val="32"/>
          <w:highlight w:val="none"/>
          <w:lang w:val="en-US" w:eastAsia="zh-CN"/>
        </w:rPr>
        <w:t>33</w:t>
      </w:r>
      <w:r>
        <w:rPr>
          <w:rFonts w:ascii="Times New Roman" w:hAnsi="Times New Roman" w:eastAsia="仿宋_GB2312" w:cs="Times New Roman"/>
          <w:sz w:val="32"/>
          <w:szCs w:val="32"/>
          <w:highlight w:val="none"/>
        </w:rPr>
        <w:t>人次，主要是</w:t>
      </w:r>
      <w:r>
        <w:rPr>
          <w:rFonts w:hint="eastAsia" w:ascii="Times New Roman" w:hAnsi="Times New Roman" w:eastAsia="仿宋_GB2312"/>
          <w:sz w:val="32"/>
          <w:szCs w:val="32"/>
          <w:highlight w:val="none"/>
          <w:lang w:eastAsia="zh-CN"/>
        </w:rPr>
        <w:t>干部考察、调研、指导工作</w:t>
      </w:r>
      <w:r>
        <w:rPr>
          <w:rFonts w:hint="eastAsia" w:ascii="Times New Roman" w:hAnsi="Times New Roman" w:eastAsia="仿宋_GB2312"/>
          <w:sz w:val="32"/>
          <w:szCs w:val="32"/>
          <w:highlight w:val="none"/>
        </w:rPr>
        <w:t>发生的接待支出</w:t>
      </w:r>
      <w:r>
        <w:rPr>
          <w:rFonts w:ascii="Times New Roman" w:hAnsi="Times New Roman" w:eastAsia="仿宋_GB2312" w:cs="Times New Roman"/>
          <w:sz w:val="32"/>
          <w:szCs w:val="32"/>
          <w:highlight w:val="none"/>
        </w:rPr>
        <w:t>。</w:t>
      </w:r>
    </w:p>
    <w:p w14:paraId="6C6FF00A">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2B5165FA">
      <w:pPr>
        <w:pStyle w:val="16"/>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我部无</w:t>
      </w:r>
      <w:r>
        <w:rPr>
          <w:rFonts w:hint="eastAsia" w:ascii="Times New Roman" w:hAnsi="Times New Roman" w:eastAsia="仿宋_GB2312"/>
          <w:sz w:val="32"/>
          <w:szCs w:val="32"/>
        </w:rPr>
        <w:t>政府性基金预算财政拨款</w:t>
      </w:r>
      <w:r>
        <w:rPr>
          <w:rFonts w:hint="eastAsia" w:ascii="Times New Roman" w:hAnsi="Times New Roman" w:eastAsia="仿宋_GB2312"/>
          <w:sz w:val="32"/>
          <w:szCs w:val="32"/>
          <w:lang w:eastAsia="zh-CN"/>
        </w:rPr>
        <w:t>收支。</w:t>
      </w:r>
    </w:p>
    <w:p w14:paraId="4E9EC0D3">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ascii="Times New Roman" w:hAnsi="Times New Roman" w:cs="Times New Roman"/>
          <w:bCs/>
          <w:sz w:val="32"/>
          <w:szCs w:val="32"/>
        </w:rPr>
        <w:t>九、</w:t>
      </w:r>
      <w:r>
        <w:rPr>
          <w:rFonts w:hint="eastAsia" w:ascii="黑体" w:hAnsi="黑体" w:eastAsia="黑体" w:cs="黑体"/>
          <w:b w:val="0"/>
          <w:bCs/>
          <w:sz w:val="32"/>
          <w:szCs w:val="32"/>
          <w:lang w:eastAsia="zh-CN"/>
        </w:rPr>
        <w:t>国有资本经营预算财政拨款收入支出决算情况说明</w:t>
      </w:r>
    </w:p>
    <w:p w14:paraId="35D1CBD6">
      <w:pPr>
        <w:pStyle w:val="16"/>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w:t>
      </w:r>
      <w:r>
        <w:rPr>
          <w:rFonts w:hint="eastAsia" w:ascii="Times New Roman" w:hAnsi="Times New Roman" w:eastAsia="仿宋_GB2312"/>
          <w:sz w:val="32"/>
          <w:szCs w:val="32"/>
          <w:lang w:eastAsia="zh-CN"/>
        </w:rPr>
        <w:t>我部无国有资本经营预算财政拨款收入支出。</w:t>
      </w:r>
    </w:p>
    <w:p w14:paraId="487009B1">
      <w:pPr>
        <w:pStyle w:val="16"/>
        <w:numPr>
          <w:ilvl w:val="0"/>
          <w:numId w:val="2"/>
        </w:numPr>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关于机关运行经费支出说明</w:t>
      </w:r>
    </w:p>
    <w:p w14:paraId="5FABADC0">
      <w:pPr>
        <w:pStyle w:val="16"/>
        <w:overflowPunct w:val="0"/>
        <w:autoSpaceDE/>
        <w:autoSpaceDN/>
        <w:spacing w:line="600" w:lineRule="exact"/>
        <w:ind w:firstLine="640" w:firstLineChars="200"/>
        <w:jc w:val="both"/>
        <w:rPr>
          <w:rFonts w:hint="eastAsia" w:ascii="Times New Roman" w:hAnsi="Times New Roman" w:eastAsia="仿宋_GB2312" w:cs="Times New Roman"/>
          <w:sz w:val="32"/>
          <w:szCs w:val="32"/>
          <w:highlight w:val="none"/>
          <w:lang w:eastAsia="zh-CN"/>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lang w:val="en-US" w:eastAsia="zh-CN"/>
        </w:rPr>
        <w:t>750.19</w:t>
      </w:r>
      <w:r>
        <w:rPr>
          <w:rFonts w:ascii="Times New Roman" w:hAnsi="Times New Roman" w:eastAsia="仿宋_GB2312" w:cs="Times New Roman"/>
          <w:sz w:val="32"/>
          <w:szCs w:val="32"/>
        </w:rPr>
        <w:t>万元，比上年决算数增加减少</w:t>
      </w:r>
      <w:r>
        <w:rPr>
          <w:rFonts w:hint="eastAsia" w:ascii="Times New Roman" w:hAnsi="Times New Roman" w:eastAsia="仿宋_GB2312" w:cs="Times New Roman"/>
          <w:sz w:val="32"/>
          <w:szCs w:val="32"/>
          <w:lang w:val="en-US" w:eastAsia="zh-CN"/>
        </w:rPr>
        <w:t>147.13</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16.39</w:t>
      </w:r>
      <w:r>
        <w:rPr>
          <w:rFonts w:ascii="Times New Roman" w:hAnsi="Times New Roman" w:eastAsia="仿宋_GB2312" w:cs="Times New Roman"/>
          <w:sz w:val="32"/>
          <w:szCs w:val="32"/>
        </w:rPr>
        <w:t>%。</w:t>
      </w:r>
      <w:r>
        <w:rPr>
          <w:rFonts w:ascii="Times New Roman" w:hAnsi="Times New Roman" w:eastAsia="仿宋_GB2312" w:cs="Times New Roman"/>
          <w:sz w:val="32"/>
          <w:szCs w:val="32"/>
          <w:highlight w:val="none"/>
        </w:rPr>
        <w:t>主要原因是：</w:t>
      </w:r>
      <w:r>
        <w:rPr>
          <w:rFonts w:hint="eastAsia" w:ascii="Times New Roman" w:hAnsi="Times New Roman" w:eastAsia="仿宋_GB2312" w:cs="Times New Roman"/>
          <w:sz w:val="32"/>
          <w:szCs w:val="32"/>
          <w:highlight w:val="none"/>
          <w:lang w:eastAsia="zh-CN"/>
        </w:rPr>
        <w:t>厉行节约。</w:t>
      </w:r>
    </w:p>
    <w:p w14:paraId="3547DE2B">
      <w:pPr>
        <w:pStyle w:val="16"/>
        <w:overflowPunct w:val="0"/>
        <w:autoSpaceDE/>
        <w:autoSpaceDN/>
        <w:spacing w:line="600" w:lineRule="exact"/>
        <w:ind w:firstLine="640" w:firstLineChars="200"/>
        <w:jc w:val="both"/>
        <w:rPr>
          <w:rFonts w:ascii="Times New Roman" w:hAnsi="Times New Roman" w:cs="Times New Roman"/>
          <w:bCs/>
          <w:sz w:val="32"/>
          <w:szCs w:val="32"/>
          <w:highlight w:val="none"/>
        </w:rPr>
      </w:pPr>
      <w:r>
        <w:rPr>
          <w:rFonts w:ascii="Times New Roman" w:hAnsi="Times New Roman" w:cs="Times New Roman"/>
          <w:bCs/>
          <w:sz w:val="32"/>
          <w:szCs w:val="32"/>
          <w:highlight w:val="none"/>
        </w:rPr>
        <w:t>十</w:t>
      </w:r>
      <w:r>
        <w:rPr>
          <w:rFonts w:hint="eastAsia" w:ascii="Times New Roman" w:hAnsi="Times New Roman" w:cs="Times New Roman"/>
          <w:bCs/>
          <w:sz w:val="32"/>
          <w:szCs w:val="32"/>
          <w:highlight w:val="none"/>
          <w:lang w:eastAsia="zh-CN"/>
        </w:rPr>
        <w:t>一</w:t>
      </w:r>
      <w:r>
        <w:rPr>
          <w:rFonts w:ascii="Times New Roman" w:hAnsi="Times New Roman" w:cs="Times New Roman"/>
          <w:bCs/>
          <w:sz w:val="32"/>
          <w:szCs w:val="32"/>
          <w:highlight w:val="none"/>
        </w:rPr>
        <w:t>、一般性支出情况说明</w:t>
      </w:r>
    </w:p>
    <w:p w14:paraId="154B8D38">
      <w:pPr>
        <w:pStyle w:val="16"/>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lang w:val="en-US" w:eastAsia="zh-CN"/>
        </w:rPr>
        <w:t>11.48</w:t>
      </w:r>
      <w:r>
        <w:rPr>
          <w:rFonts w:ascii="Times New Roman" w:hAnsi="Times New Roman" w:eastAsia="仿宋_GB2312" w:cs="Times New Roman"/>
          <w:sz w:val="32"/>
          <w:szCs w:val="32"/>
          <w:highlight w:val="none"/>
        </w:rPr>
        <w:t>万元，</w:t>
      </w:r>
      <w:r>
        <w:rPr>
          <w:rFonts w:hint="eastAsia" w:ascii="Times New Roman" w:hAnsi="Times New Roman" w:eastAsia="仿宋_GB2312"/>
          <w:sz w:val="32"/>
          <w:szCs w:val="32"/>
          <w:lang w:val="en-US" w:eastAsia="zh-CN"/>
        </w:rPr>
        <w:t>用于抓基层党建工作述职评议会，人数102人，内容为述职评议；</w:t>
      </w:r>
      <w:r>
        <w:rPr>
          <w:rFonts w:ascii="Times New Roman" w:hAnsi="Times New Roman" w:eastAsia="仿宋_GB2312" w:cs="Times New Roman"/>
          <w:sz w:val="32"/>
          <w:szCs w:val="32"/>
          <w:highlight w:val="none"/>
        </w:rPr>
        <w:t>用于召开</w:t>
      </w:r>
      <w:r>
        <w:rPr>
          <w:rFonts w:hint="eastAsia" w:ascii="Times New Roman" w:hAnsi="Times New Roman" w:eastAsia="仿宋_GB2312" w:cs="Times New Roman"/>
          <w:sz w:val="32"/>
          <w:szCs w:val="32"/>
          <w:highlight w:val="none"/>
          <w:lang w:eastAsia="zh-CN"/>
        </w:rPr>
        <w:t>考核招聘部署</w:t>
      </w:r>
      <w:r>
        <w:rPr>
          <w:rFonts w:ascii="Times New Roman" w:hAnsi="Times New Roman" w:eastAsia="仿宋_GB2312" w:cs="Times New Roman"/>
          <w:sz w:val="32"/>
          <w:szCs w:val="32"/>
          <w:highlight w:val="none"/>
        </w:rPr>
        <w:t>会，人数</w:t>
      </w:r>
      <w:r>
        <w:rPr>
          <w:rFonts w:hint="eastAsia" w:ascii="Times New Roman" w:hAnsi="Times New Roman" w:eastAsia="仿宋_GB2312" w:cs="Times New Roman"/>
          <w:sz w:val="32"/>
          <w:szCs w:val="32"/>
          <w:highlight w:val="none"/>
          <w:lang w:val="en-US" w:eastAsia="zh-CN"/>
        </w:rPr>
        <w:t>45</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工作部署</w:t>
      </w:r>
      <w:r>
        <w:rPr>
          <w:rFonts w:ascii="Times New Roman" w:hAnsi="Times New Roman" w:eastAsia="仿宋_GB2312" w:cs="Times New Roman"/>
          <w:sz w:val="32"/>
          <w:szCs w:val="32"/>
          <w:highlight w:val="none"/>
        </w:rPr>
        <w:t>；</w:t>
      </w:r>
      <w:r>
        <w:rPr>
          <w:rFonts w:hint="eastAsia" w:ascii="Times New Roman" w:hAnsi="Times New Roman" w:eastAsia="仿宋_GB2312"/>
          <w:sz w:val="32"/>
          <w:szCs w:val="32"/>
          <w:lang w:val="en-US" w:eastAsia="zh-CN"/>
        </w:rPr>
        <w:t>用于破解乡村治理小马拉大车突出问题工作推进会，人数60人，内容为工作总结及部署；用于“一报告两评议”会议，人数207人，内容为领导班子及领导干部年度测评；用于全市组织工作部署会，人数144人，内容为工作部署；</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lang w:val="en-US" w:eastAsia="zh-CN"/>
        </w:rPr>
        <w:t>347.57</w:t>
      </w:r>
      <w:r>
        <w:rPr>
          <w:rFonts w:ascii="Times New Roman" w:hAnsi="Times New Roman" w:eastAsia="仿宋_GB2312" w:cs="Times New Roman"/>
          <w:sz w:val="32"/>
          <w:szCs w:val="32"/>
          <w:highlight w:val="none"/>
        </w:rPr>
        <w:t>万元，用于</w:t>
      </w:r>
      <w:r>
        <w:rPr>
          <w:rFonts w:hint="eastAsia" w:ascii="Times New Roman" w:hAnsi="Times New Roman" w:eastAsia="仿宋_GB2312" w:cs="Times New Roman"/>
          <w:sz w:val="32"/>
          <w:szCs w:val="32"/>
          <w:highlight w:val="none"/>
          <w:lang w:eastAsia="zh-CN"/>
        </w:rPr>
        <w:t>推动高质量发展能力提升</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120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推动高质量发展能力提升</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怀化人才工作者培训班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50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人才专项培训；</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服务西部陆海新通道建设能力提升专题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55</w:t>
      </w:r>
      <w:r>
        <w:rPr>
          <w:rFonts w:ascii="Times New Roman" w:hAnsi="Times New Roman" w:eastAsia="仿宋_GB2312" w:cs="Times New Roman"/>
          <w:sz w:val="32"/>
          <w:szCs w:val="32"/>
          <w:highlight w:val="none"/>
        </w:rPr>
        <w:t>人，内容</w:t>
      </w:r>
      <w:r>
        <w:rPr>
          <w:rFonts w:hint="eastAsia" w:ascii="Times New Roman" w:hAnsi="Times New Roman" w:eastAsia="仿宋_GB2312" w:cs="Times New Roman"/>
          <w:sz w:val="32"/>
          <w:szCs w:val="32"/>
          <w:highlight w:val="none"/>
          <w:lang w:eastAsia="zh-CN"/>
        </w:rPr>
        <w:t>为提升服务西部陆海新通道建设能力；</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全国党员教育提质增效</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50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党员教育</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怀化市“</w:t>
      </w:r>
      <w:r>
        <w:rPr>
          <w:rFonts w:hint="eastAsia" w:ascii="Times New Roman" w:hAnsi="Times New Roman" w:eastAsia="仿宋_GB2312" w:cs="Times New Roman"/>
          <w:sz w:val="32"/>
          <w:szCs w:val="32"/>
          <w:highlight w:val="none"/>
          <w:lang w:val="en-US" w:eastAsia="zh-CN"/>
        </w:rPr>
        <w:t>5+10”现代化产业体系建设专题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63</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val="en-US" w:eastAsia="zh-CN"/>
        </w:rPr>
        <w:t>现代化产业体系建设能力提升</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防范化解金融风险能力提升</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60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提升防范化解金融风险能力</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招商引资发展专题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60</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招商引资业务</w:t>
      </w:r>
      <w:bookmarkStart w:id="0" w:name="_GoBack"/>
      <w:bookmarkEnd w:id="0"/>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文旅产业发展专题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64</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文旅产业发展培训</w:t>
      </w:r>
      <w:r>
        <w:rPr>
          <w:rFonts w:ascii="Times New Roman" w:hAnsi="Times New Roman" w:eastAsia="仿宋_GB2312" w:cs="Times New Roman"/>
          <w:sz w:val="32"/>
          <w:szCs w:val="32"/>
          <w:highlight w:val="none"/>
        </w:rPr>
        <w:t>；用于</w:t>
      </w:r>
      <w:r>
        <w:rPr>
          <w:rFonts w:hint="eastAsia" w:ascii="Times New Roman" w:hAnsi="Times New Roman" w:eastAsia="仿宋_GB2312" w:cs="Times New Roman"/>
          <w:sz w:val="32"/>
          <w:szCs w:val="32"/>
          <w:highlight w:val="none"/>
          <w:lang w:eastAsia="zh-CN"/>
        </w:rPr>
        <w:t>加强和创新基层治理专题</w:t>
      </w:r>
      <w:r>
        <w:rPr>
          <w:rFonts w:ascii="Times New Roman" w:hAnsi="Times New Roman" w:eastAsia="仿宋_GB2312" w:cs="Times New Roman"/>
          <w:sz w:val="32"/>
          <w:szCs w:val="32"/>
          <w:highlight w:val="none"/>
        </w:rPr>
        <w:t>培训</w:t>
      </w:r>
      <w:r>
        <w:rPr>
          <w:rFonts w:hint="eastAsia" w:ascii="Times New Roman" w:hAnsi="Times New Roman" w:eastAsia="仿宋_GB2312" w:cs="Times New Roman"/>
          <w:sz w:val="32"/>
          <w:szCs w:val="32"/>
          <w:highlight w:val="none"/>
          <w:lang w:eastAsia="zh-CN"/>
        </w:rPr>
        <w:t>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59</w:t>
      </w:r>
      <w:r>
        <w:rPr>
          <w:rFonts w:ascii="Times New Roman" w:hAnsi="Times New Roman" w:eastAsia="仿宋_GB2312" w:cs="Times New Roman"/>
          <w:sz w:val="32"/>
          <w:szCs w:val="32"/>
          <w:highlight w:val="none"/>
        </w:rPr>
        <w:t>人，内容为</w:t>
      </w:r>
      <w:r>
        <w:rPr>
          <w:rFonts w:hint="eastAsia" w:ascii="Times New Roman" w:hAnsi="Times New Roman" w:eastAsia="仿宋_GB2312" w:cs="Times New Roman"/>
          <w:sz w:val="32"/>
          <w:szCs w:val="32"/>
          <w:highlight w:val="none"/>
          <w:lang w:eastAsia="zh-CN"/>
        </w:rPr>
        <w:t>业务培训</w:t>
      </w:r>
      <w:r>
        <w:rPr>
          <w:rFonts w:ascii="Times New Roman" w:hAnsi="Times New Roman" w:eastAsia="仿宋_GB2312" w:cs="Times New Roman"/>
          <w:sz w:val="32"/>
          <w:szCs w:val="32"/>
          <w:highlight w:val="none"/>
        </w:rPr>
        <w:t>；</w:t>
      </w:r>
      <w:r>
        <w:rPr>
          <w:rFonts w:hint="eastAsia" w:ascii="Times New Roman" w:hAnsi="Times New Roman" w:eastAsia="仿宋_GB2312"/>
          <w:sz w:val="32"/>
          <w:szCs w:val="32"/>
          <w:lang w:val="en-US" w:eastAsia="zh-CN"/>
        </w:rPr>
        <w:t>2024年度未举办</w:t>
      </w:r>
      <w:r>
        <w:rPr>
          <w:rFonts w:hint="eastAsia" w:ascii="Times New Roman" w:hAnsi="Times New Roman" w:eastAsia="仿宋_GB2312"/>
          <w:sz w:val="32"/>
          <w:szCs w:val="32"/>
        </w:rPr>
        <w:t>节庆、晚会、论坛、赛事活动。</w:t>
      </w:r>
    </w:p>
    <w:p w14:paraId="7E191E76">
      <w:pPr>
        <w:pStyle w:val="16"/>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eastAsia="zh-CN"/>
        </w:rPr>
        <w:t>二</w:t>
      </w:r>
      <w:r>
        <w:rPr>
          <w:rFonts w:ascii="Times New Roman" w:hAnsi="Times New Roman" w:cs="Times New Roman"/>
          <w:bCs/>
          <w:sz w:val="32"/>
          <w:szCs w:val="32"/>
        </w:rPr>
        <w:t>、关于政府采购支出说明</w:t>
      </w:r>
    </w:p>
    <w:p w14:paraId="78CE3618">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w:t>
      </w:r>
    </w:p>
    <w:p w14:paraId="046A71EB">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三</w:t>
      </w:r>
      <w:r>
        <w:rPr>
          <w:rFonts w:ascii="Times New Roman" w:hAnsi="Times New Roman" w:cs="Times New Roman"/>
          <w:bCs/>
          <w:color w:val="auto"/>
          <w:sz w:val="32"/>
          <w:szCs w:val="32"/>
        </w:rPr>
        <w:t>、关于国有资产占用情况说明</w:t>
      </w:r>
    </w:p>
    <w:p w14:paraId="5B0E1EBA">
      <w:pPr>
        <w:pStyle w:val="16"/>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3</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olor w:val="auto"/>
          <w:sz w:val="32"/>
          <w:szCs w:val="32"/>
          <w:lang w:eastAsia="zh-CN"/>
        </w:rPr>
        <w:t>普通公务用车</w:t>
      </w:r>
      <w:r>
        <w:rPr>
          <w:rFonts w:ascii="Times New Roman" w:hAnsi="Times New Roman" w:eastAsia="仿宋_GB2312" w:cs="Times New Roman"/>
          <w:color w:val="auto"/>
          <w:sz w:val="32"/>
          <w:szCs w:val="32"/>
        </w:rPr>
        <w:t>；单位价值100万元以上设备（不含车辆）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3DA3C5B4">
      <w:pPr>
        <w:pStyle w:val="16"/>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12EDB62">
      <w:pPr>
        <w:pStyle w:val="16"/>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我部按照财政局相关文件要求认真开展绩效自评工作。自评报告详见附件。</w:t>
      </w:r>
    </w:p>
    <w:p w14:paraId="6174019D">
      <w:pPr>
        <w:pStyle w:val="16"/>
        <w:jc w:val="center"/>
        <w:rPr>
          <w:rFonts w:ascii="Times New Roman" w:hAnsi="Times New Roman" w:cs="Times New Roman"/>
          <w:sz w:val="72"/>
          <w:szCs w:val="72"/>
        </w:rPr>
      </w:pPr>
    </w:p>
    <w:p w14:paraId="4949CF5A">
      <w:pPr>
        <w:pStyle w:val="16"/>
        <w:jc w:val="center"/>
        <w:rPr>
          <w:rFonts w:ascii="Times New Roman" w:hAnsi="Times New Roman" w:cs="Times New Roman"/>
          <w:sz w:val="72"/>
          <w:szCs w:val="72"/>
        </w:rPr>
      </w:pPr>
    </w:p>
    <w:p w14:paraId="4587E95A">
      <w:pPr>
        <w:pStyle w:val="16"/>
        <w:jc w:val="center"/>
        <w:rPr>
          <w:rFonts w:ascii="Times New Roman" w:hAnsi="Times New Roman" w:cs="Times New Roman"/>
          <w:sz w:val="72"/>
          <w:szCs w:val="72"/>
        </w:rPr>
      </w:pPr>
    </w:p>
    <w:p w14:paraId="054976D9">
      <w:pPr>
        <w:pStyle w:val="16"/>
        <w:jc w:val="center"/>
        <w:rPr>
          <w:rFonts w:ascii="Times New Roman" w:hAnsi="Times New Roman" w:cs="Times New Roman"/>
          <w:sz w:val="72"/>
          <w:szCs w:val="72"/>
        </w:rPr>
      </w:pPr>
    </w:p>
    <w:p w14:paraId="4C0920F0">
      <w:pPr>
        <w:pStyle w:val="16"/>
        <w:jc w:val="center"/>
        <w:rPr>
          <w:rFonts w:ascii="Times New Roman" w:hAnsi="Times New Roman" w:cs="Times New Roman"/>
          <w:sz w:val="72"/>
          <w:szCs w:val="72"/>
        </w:rPr>
      </w:pPr>
    </w:p>
    <w:p w14:paraId="426480DF">
      <w:pPr>
        <w:pStyle w:val="16"/>
        <w:jc w:val="center"/>
        <w:rPr>
          <w:rFonts w:ascii="Times New Roman" w:hAnsi="Times New Roman" w:cs="Times New Roman"/>
          <w:sz w:val="72"/>
          <w:szCs w:val="72"/>
        </w:rPr>
      </w:pPr>
    </w:p>
    <w:p w14:paraId="3F32ED03">
      <w:pPr>
        <w:pStyle w:val="16"/>
        <w:jc w:val="center"/>
        <w:rPr>
          <w:rFonts w:ascii="Times New Roman" w:hAnsi="Times New Roman" w:cs="Times New Roman"/>
          <w:sz w:val="72"/>
          <w:szCs w:val="72"/>
        </w:rPr>
      </w:pPr>
    </w:p>
    <w:p w14:paraId="0A818AA9">
      <w:pPr>
        <w:pStyle w:val="16"/>
        <w:jc w:val="center"/>
        <w:rPr>
          <w:rFonts w:ascii="Times New Roman" w:hAnsi="Times New Roman" w:cs="Times New Roman"/>
          <w:sz w:val="72"/>
          <w:szCs w:val="72"/>
        </w:rPr>
      </w:pPr>
    </w:p>
    <w:p w14:paraId="08CB54A4">
      <w:pPr>
        <w:pStyle w:val="16"/>
        <w:jc w:val="center"/>
        <w:rPr>
          <w:rFonts w:ascii="Times New Roman" w:hAnsi="Times New Roman" w:cs="Times New Roman"/>
          <w:sz w:val="72"/>
          <w:szCs w:val="72"/>
        </w:rPr>
      </w:pPr>
    </w:p>
    <w:p w14:paraId="4630EAA7">
      <w:pPr>
        <w:pStyle w:val="16"/>
        <w:jc w:val="center"/>
        <w:rPr>
          <w:rFonts w:ascii="Times New Roman" w:hAnsi="Times New Roman" w:cs="Times New Roman"/>
          <w:sz w:val="72"/>
          <w:szCs w:val="72"/>
        </w:rPr>
      </w:pPr>
    </w:p>
    <w:p w14:paraId="5B2DDBA3">
      <w:pPr>
        <w:pStyle w:val="16"/>
        <w:jc w:val="both"/>
        <w:rPr>
          <w:rFonts w:ascii="Times New Roman" w:hAnsi="Times New Roman" w:cs="Times New Roman"/>
          <w:sz w:val="72"/>
          <w:szCs w:val="72"/>
        </w:rPr>
      </w:pPr>
    </w:p>
    <w:p w14:paraId="161E74D7">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4F71353C">
      <w:pPr>
        <w:widowControl/>
        <w:jc w:val="left"/>
        <w:rPr>
          <w:rFonts w:ascii="Times New Roman" w:hAnsi="Times New Roman" w:cs="Times New Roman"/>
          <w:color w:val="000000"/>
          <w:kern w:val="0"/>
          <w:sz w:val="32"/>
          <w:szCs w:val="32"/>
        </w:rPr>
      </w:pPr>
    </w:p>
    <w:p w14:paraId="7A9A1DDA">
      <w:pPr>
        <w:rPr>
          <w:rFonts w:ascii="Times New Roman" w:hAnsi="Times New Roman" w:cs="Times New Roman"/>
          <w:sz w:val="72"/>
          <w:szCs w:val="72"/>
        </w:rPr>
      </w:pPr>
      <w:r>
        <w:rPr>
          <w:rFonts w:ascii="Times New Roman" w:hAnsi="Times New Roman" w:cs="Times New Roman"/>
          <w:sz w:val="72"/>
          <w:szCs w:val="72"/>
        </w:rPr>
        <w:br w:type="page"/>
      </w:r>
    </w:p>
    <w:p w14:paraId="4722EF01">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一、基本支出：指单位为保障其机构正常运转、完成日常工作任务而发生的人员支出和公用支出。</w:t>
      </w:r>
    </w:p>
    <w:p w14:paraId="75BB45AA">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二、项目支出：指单位为完成特定行政任务和事业发展目标在基本支出之外所发生的支出。</w:t>
      </w:r>
    </w:p>
    <w:p w14:paraId="77F7CA94">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三、“三公”经费：纳入财政预决算管理的“三公”经费，是指用财政拨款安排的因公出国（境）费、公务用车购置及运行费和公务接待费，是党政机关维持运转或完成特定工作任务所开支的相关支出，是政府行政开支的一部分。其中，因公出国（境）费反映单位公务出国（境）的国际旅费、国外城市间交通费、住宿费、伙食费、培训费、公杂费等支出；公务用车购置及运行费反映单位公务用车车辆购置支出（含车辆购置税）及燃料费、维修费、过桥过路费、保险费、安全奖励费用等支出；公务接待费反映单位按规定开支的各类公务接待（含外宾接待）支出。</w:t>
      </w:r>
    </w:p>
    <w:p w14:paraId="1AB11829">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en-US" w:eastAsia="zh-CN" w:bidi="ar-SA"/>
        </w:rPr>
        <w:t>四、机关运行经费：指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2E9ED5A">
      <w:pPr>
        <w:pStyle w:val="16"/>
        <w:jc w:val="center"/>
        <w:rPr>
          <w:sz w:val="72"/>
          <w:szCs w:val="72"/>
        </w:rPr>
      </w:pPr>
    </w:p>
    <w:p w14:paraId="75713452">
      <w:pPr>
        <w:pStyle w:val="16"/>
        <w:jc w:val="center"/>
        <w:rPr>
          <w:sz w:val="72"/>
          <w:szCs w:val="72"/>
        </w:rPr>
      </w:pPr>
    </w:p>
    <w:p w14:paraId="70D98ED9">
      <w:pPr>
        <w:pStyle w:val="16"/>
        <w:jc w:val="center"/>
        <w:rPr>
          <w:rFonts w:ascii="Times New Roman" w:hAnsi="Times New Roman" w:cs="Times New Roman"/>
          <w:sz w:val="72"/>
          <w:szCs w:val="72"/>
        </w:rPr>
      </w:pPr>
    </w:p>
    <w:p w14:paraId="5E72E383">
      <w:pPr>
        <w:pStyle w:val="16"/>
        <w:jc w:val="center"/>
        <w:rPr>
          <w:rFonts w:ascii="Times New Roman" w:hAnsi="Times New Roman" w:cs="Times New Roman"/>
          <w:sz w:val="72"/>
          <w:szCs w:val="72"/>
        </w:rPr>
      </w:pPr>
    </w:p>
    <w:p w14:paraId="093731B7">
      <w:pPr>
        <w:pStyle w:val="16"/>
        <w:jc w:val="center"/>
        <w:rPr>
          <w:rFonts w:ascii="Times New Roman" w:hAnsi="Times New Roman" w:cs="Times New Roman"/>
          <w:sz w:val="72"/>
          <w:szCs w:val="72"/>
        </w:rPr>
      </w:pPr>
    </w:p>
    <w:p w14:paraId="1BAD56E7">
      <w:pPr>
        <w:pStyle w:val="16"/>
        <w:jc w:val="both"/>
        <w:rPr>
          <w:rFonts w:ascii="Times New Roman" w:hAnsi="Times New Roman" w:cs="Times New Roman"/>
          <w:sz w:val="72"/>
          <w:szCs w:val="72"/>
        </w:rPr>
      </w:pPr>
    </w:p>
    <w:p w14:paraId="72722763">
      <w:pPr>
        <w:pStyle w:val="16"/>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434DE72">
      <w:pPr>
        <w:rPr>
          <w:rFonts w:ascii="Times New Roman" w:hAnsi="Times New Roman" w:cs="Times New Roman"/>
          <w:sz w:val="72"/>
          <w:szCs w:val="72"/>
        </w:rPr>
      </w:pPr>
    </w:p>
    <w:p w14:paraId="77CF5C5D">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eastAsia="zh-CN"/>
        </w:rPr>
        <w:t>附件</w:t>
      </w:r>
      <w:r>
        <w:rPr>
          <w:rFonts w:hint="eastAsia" w:ascii="Times New Roman" w:hAnsi="Times New Roman" w:eastAsia="仿宋_GB2312"/>
          <w:sz w:val="32"/>
          <w:szCs w:val="32"/>
          <w:lang w:val="en-US" w:eastAsia="zh-CN"/>
        </w:rPr>
        <w:t>1：2024年度部门(单位)整体支出绩效自评报告</w:t>
      </w:r>
    </w:p>
    <w:p w14:paraId="3E11AF2E">
      <w:pPr>
        <w:pStyle w:val="16"/>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lang w:val="en-US" w:eastAsia="zh-CN"/>
        </w:rPr>
        <w:t>附件2：2024年度决算公开表</w:t>
      </w:r>
    </w:p>
    <w:p w14:paraId="03C80EC3">
      <w:pPr>
        <w:pStyle w:val="16"/>
        <w:spacing w:line="600" w:lineRule="exact"/>
        <w:ind w:firstLine="640" w:firstLineChars="200"/>
        <w:rPr>
          <w:rFonts w:ascii="Times New Roman" w:hAnsi="Times New Roman" w:eastAsia="仿宋_GB2312" w:cs="Times New Roman"/>
          <w:sz w:val="32"/>
          <w:szCs w:val="32"/>
        </w:rPr>
      </w:pPr>
    </w:p>
    <w:p w14:paraId="220F72C4">
      <w:pPr>
        <w:pStyle w:val="16"/>
        <w:spacing w:line="600" w:lineRule="exact"/>
        <w:ind w:firstLine="640" w:firstLineChars="200"/>
        <w:rPr>
          <w:rFonts w:ascii="Times New Roman" w:hAnsi="Times New Roman" w:eastAsia="仿宋_GB2312" w:cs="Times New Roman"/>
          <w:sz w:val="32"/>
          <w:szCs w:val="32"/>
        </w:rPr>
      </w:pPr>
    </w:p>
    <w:p w14:paraId="33091003">
      <w:pPr>
        <w:pStyle w:val="16"/>
        <w:jc w:val="center"/>
        <w:rPr>
          <w:rFonts w:ascii="Times New Roman" w:hAnsi="Times New Roman" w:cs="Times New Roman"/>
          <w:sz w:val="72"/>
          <w:szCs w:val="72"/>
        </w:rPr>
      </w:pPr>
    </w:p>
    <w:p w14:paraId="7B866FEF">
      <w:pPr>
        <w:pStyle w:val="16"/>
        <w:jc w:val="center"/>
        <w:rPr>
          <w:rFonts w:ascii="Times New Roman" w:hAnsi="Times New Roman" w:cs="Times New Roman"/>
          <w:sz w:val="72"/>
          <w:szCs w:val="72"/>
        </w:rPr>
      </w:pPr>
    </w:p>
    <w:p w14:paraId="60782281">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A3D51">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0C5BE3">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A49E7">
    <w:pPr>
      <w:pStyle w:val="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2CB80">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5D2F3722">
                          <w:pPr>
                            <w:pStyle w:val="7"/>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BantMZAgAANwQAAA4AAABkcnMvZTJvRG9jLnhtbK1TwY7TMBC9I/EP&#10;lu80bRGoipquVlsVIVVspYUPcB2nsYg9lsdtUj4A/oATF+58134HYyfpsguHPXCxxjPjN/PejJdX&#10;nWnYSXnUYAs+m0w5U1ZCqe2h4J8+bl4tOMMgbCkasKrgZ4X8avXyxbJ1uZpDDU2pPCMQi3nrCl6H&#10;4PIsQ1krI3ACTlkKVuCNCHT1h6z0oiV002Tz6fRt1oIvnQepEMm77oN8QPTPAYSq0lKtQR6NsqFH&#10;9aoRgShhrR3yVeq2qpQMt1WFKrCm4MQ0pJOKkL2PZ7Zaivzghau1HFoQz2nhCScjtKWiF6i1CIId&#10;vf4LymjpAaEKEwkm64kkRYjFbPpEm7taOJW4kNToLqLj/4OVH047z3RJm/B6zpkVhkZ+//3b/Y9f&#10;9z+/sjdRoNZhTnl3bucjRXRbkJ+RWbiphT2oa3QkMwHE3OxRcrzg8KyrvInPiTPr0gDOlwGoLjBJ&#10;ztlivlhMaTaSYuMloop8fO48hncKDItGwT2VTsKL0xZDnzqmxGoWNrppyC/yxj5yEGb0pIb7HmO3&#10;odt3lB3NPZRn0sZDvzTo5EZTza3AsBOetoT6pH8UbumoGmgLDoPFWQ3+y7/8MZ+GR1HOWtq6glv6&#10;ZJw17y0NNS7oaPjR2I+GPZoboDWeceZDk0x6IKwkuIIHzo7O60Oduo1M0V0fA9FPqjwQGijTPiVd&#10;h92PC/vnPWU9/PfV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l1uVLQAAAABQEAAA8AAAAAAAAA&#10;AQAgAAAAIgAAAGRycy9kb3ducmV2LnhtbFBLAQIUABQAAAAIAIdO4kAQWp7TGQIAADcEAAAOAAAA&#10;AAAAAAEAIAAAAB8BAABkcnMvZTJvRG9jLnhtbFBLBQYAAAAABgAGAFkBAACqBQAAAAA=&#10;">
              <v:fill on="f" focussize="0,0"/>
              <v:stroke on="f"/>
              <v:imagedata o:title=""/>
              <o:lock v:ext="edit" aspectratio="t"/>
              <v:textbox inset="0mm,0mm,0mm,0mm" style="mso-fit-shape-to-text:t;">
                <w:txbxContent>
                  <w:p w14:paraId="5D2F3722">
                    <w:pPr>
                      <w:pStyle w:val="7"/>
                    </w:pPr>
                    <w:r>
                      <w:fldChar w:fldCharType="begin"/>
                    </w:r>
                    <w:r>
                      <w:instrText xml:space="preserve"> PAGE  \* MERGEFORMAT </w:instrText>
                    </w:r>
                    <w:r>
                      <w:fldChar w:fldCharType="separate"/>
                    </w:r>
                    <w:r>
                      <w:t>20</w:t>
                    </w:r>
                    <w: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A5B6B7"/>
    <w:multiLevelType w:val="singleLevel"/>
    <w:tmpl w:val="F7A5B6B7"/>
    <w:lvl w:ilvl="0" w:tentative="0">
      <w:start w:val="10"/>
      <w:numFmt w:val="chineseCounting"/>
      <w:suff w:val="nothing"/>
      <w:lvlText w:val="%1、"/>
      <w:lvlJc w:val="left"/>
      <w:rPr>
        <w:rFonts w:hint="eastAsia"/>
      </w:rPr>
    </w:lvl>
  </w:abstractNum>
  <w:abstractNum w:abstractNumId="1">
    <w:nsid w:val="5819CDEB"/>
    <w:multiLevelType w:val="singleLevel"/>
    <w:tmpl w:val="5819CDEB"/>
    <w:lvl w:ilvl="0" w:tentative="0">
      <w:start w:val="7"/>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65A50"/>
    <w:rsid w:val="028C11CF"/>
    <w:rsid w:val="03373831"/>
    <w:rsid w:val="05EB59DD"/>
    <w:rsid w:val="07027CB2"/>
    <w:rsid w:val="07660241"/>
    <w:rsid w:val="0A40746F"/>
    <w:rsid w:val="0B093D05"/>
    <w:rsid w:val="0BC35C62"/>
    <w:rsid w:val="0DDF6F9F"/>
    <w:rsid w:val="0E8F2773"/>
    <w:rsid w:val="1092654A"/>
    <w:rsid w:val="13D33102"/>
    <w:rsid w:val="147811E8"/>
    <w:rsid w:val="173D7210"/>
    <w:rsid w:val="18316649"/>
    <w:rsid w:val="18602A8A"/>
    <w:rsid w:val="1B603264"/>
    <w:rsid w:val="22462CF1"/>
    <w:rsid w:val="28E21994"/>
    <w:rsid w:val="28E514B5"/>
    <w:rsid w:val="2C11611D"/>
    <w:rsid w:val="2F4D56BE"/>
    <w:rsid w:val="32313075"/>
    <w:rsid w:val="337B4EF0"/>
    <w:rsid w:val="35E25379"/>
    <w:rsid w:val="3A687850"/>
    <w:rsid w:val="3BAE5737"/>
    <w:rsid w:val="3E0B50C2"/>
    <w:rsid w:val="3EDE27D7"/>
    <w:rsid w:val="413E57AF"/>
    <w:rsid w:val="43087C09"/>
    <w:rsid w:val="44A37D34"/>
    <w:rsid w:val="47013507"/>
    <w:rsid w:val="474349B2"/>
    <w:rsid w:val="4BEB208F"/>
    <w:rsid w:val="4D8B1D7C"/>
    <w:rsid w:val="4DBC3CE3"/>
    <w:rsid w:val="51782617"/>
    <w:rsid w:val="55E97640"/>
    <w:rsid w:val="5C9C18B0"/>
    <w:rsid w:val="5D245401"/>
    <w:rsid w:val="5D9702C9"/>
    <w:rsid w:val="5ED54C05"/>
    <w:rsid w:val="5ED82947"/>
    <w:rsid w:val="60CF38D6"/>
    <w:rsid w:val="60FD0443"/>
    <w:rsid w:val="636522D0"/>
    <w:rsid w:val="64D836A1"/>
    <w:rsid w:val="68660FC4"/>
    <w:rsid w:val="6E337B9A"/>
    <w:rsid w:val="73137F9A"/>
    <w:rsid w:val="78EF0B61"/>
    <w:rsid w:val="7A49604F"/>
    <w:rsid w:val="7DB06B11"/>
    <w:rsid w:val="7EAF501B"/>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lang w:val="en-US" w:eastAsia="zh-CN"/>
    </w:rPr>
  </w:style>
  <w:style w:type="paragraph" w:styleId="4">
    <w:name w:val="Body Text Indent"/>
    <w:basedOn w:val="1"/>
    <w:next w:val="5"/>
    <w:unhideWhenUsed/>
    <w:qFormat/>
    <w:uiPriority w:val="99"/>
    <w:pPr>
      <w:widowControl/>
      <w:spacing w:after="120"/>
      <w:ind w:left="420" w:leftChars="200"/>
      <w:jc w:val="left"/>
    </w:pPr>
    <w:rPr>
      <w:rFonts w:ascii="宋体" w:hAnsi="宋体" w:eastAsia="宋体" w:cs="宋体"/>
      <w:kern w:val="0"/>
      <w:sz w:val="24"/>
    </w:rPr>
  </w:style>
  <w:style w:type="paragraph" w:styleId="5">
    <w:name w:val="Body Text First Indent 2"/>
    <w:basedOn w:val="4"/>
    <w:next w:val="1"/>
    <w:unhideWhenUsed/>
    <w:qFormat/>
    <w:uiPriority w:val="99"/>
    <w:pPr>
      <w:ind w:firstLine="420" w:firstLineChars="200"/>
    </w:pPr>
  </w:style>
  <w:style w:type="paragraph" w:styleId="6">
    <w:name w:val="Balloon Text"/>
    <w:basedOn w:val="1"/>
    <w:link w:val="18"/>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footnote text"/>
    <w:basedOn w:val="1"/>
    <w:next w:val="5"/>
    <w:semiHidden/>
    <w:qFormat/>
    <w:uiPriority w:val="0"/>
    <w:pPr>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cs="宋体"/>
      <w:kern w:val="0"/>
      <w:sz w:val="24"/>
      <w:lang w:bidi="ar-SA"/>
    </w:rPr>
  </w:style>
  <w:style w:type="table" w:styleId="12">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页眉 Char"/>
    <w:basedOn w:val="13"/>
    <w:link w:val="8"/>
    <w:qFormat/>
    <w:uiPriority w:val="99"/>
    <w:rPr>
      <w:sz w:val="18"/>
      <w:szCs w:val="18"/>
    </w:rPr>
  </w:style>
  <w:style w:type="character" w:customStyle="1" w:styleId="15">
    <w:name w:val="页脚 Char"/>
    <w:basedOn w:val="13"/>
    <w:link w:val="7"/>
    <w:qFormat/>
    <w:uiPriority w:val="99"/>
    <w:rPr>
      <w:sz w:val="18"/>
      <w:szCs w:val="18"/>
    </w:rPr>
  </w:style>
  <w:style w:type="paragraph" w:customStyle="1" w:styleId="16">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7">
    <w:name w:val="List Paragraph"/>
    <w:basedOn w:val="1"/>
    <w:qFormat/>
    <w:uiPriority w:val="34"/>
    <w:pPr>
      <w:ind w:firstLine="420" w:firstLineChars="200"/>
    </w:pPr>
  </w:style>
  <w:style w:type="character" w:customStyle="1" w:styleId="18">
    <w:name w:val="批注框文本 Char"/>
    <w:basedOn w:val="13"/>
    <w:link w:val="6"/>
    <w:semiHidden/>
    <w:qFormat/>
    <w:uiPriority w:val="99"/>
    <w:rPr>
      <w:sz w:val="18"/>
      <w:szCs w:val="18"/>
    </w:rPr>
  </w:style>
  <w:style w:type="character" w:customStyle="1" w:styleId="19">
    <w:name w:val="font01"/>
    <w:basedOn w:val="13"/>
    <w:qFormat/>
    <w:uiPriority w:val="0"/>
    <w:rPr>
      <w:rFonts w:hint="eastAsia" w:ascii="宋体" w:hAnsi="宋体" w:eastAsia="宋体" w:cs="宋体"/>
      <w:color w:val="000000"/>
      <w:sz w:val="22"/>
      <w:szCs w:val="22"/>
      <w:u w:val="none"/>
    </w:rPr>
  </w:style>
  <w:style w:type="character" w:customStyle="1" w:styleId="20">
    <w:name w:val="font21"/>
    <w:basedOn w:val="13"/>
    <w:qFormat/>
    <w:uiPriority w:val="0"/>
    <w:rPr>
      <w:rFonts w:hint="eastAsia" w:ascii="宋体" w:hAnsi="宋体" w:eastAsia="宋体" w:cs="宋体"/>
      <w:color w:val="000000"/>
      <w:sz w:val="24"/>
      <w:szCs w:val="24"/>
      <w:u w:val="none"/>
    </w:rPr>
  </w:style>
  <w:style w:type="character" w:customStyle="1" w:styleId="21">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BB7B6AA21D207914D6FDA268992A22D6</vt:lpwstr>
  </property>
</Properties>
</file>

<file path=customXml/item3.xml><?xml version="1.0" encoding="utf-8"?>
<Properties xmlns="http://schemas.openxmlformats.org/officeDocument/2006/extended-properties" xmlns:vt="http://schemas.openxmlformats.org/officeDocument/2006/docPropsVTypes">
  <Template>Normal</Template>
  <TotalTime>1</TotalTime>
  <Pages>25</Pages>
  <Words>1463</Words>
  <Characters>8342</Characters>
  <Application>Microsoft Office Word</Application>
  <DocSecurity>0</DocSecurity>
  <Lines>69</Lines>
  <Paragraphs>19</Paragraphs>
  <ScaleCrop>false</ScaleCrop>
  <Company>Microsoft</Company>
  <LinksUpToDate>false</LinksUpToDate>
  <CharactersWithSpaces>9786</CharactersWithSpaces>
  <SharedDoc>false</SharedDoc>
  <HyperlinksChanged>false</HyperlinksChanged>
  <AppVersion>14.0000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creator>李航 null</dc:creator>
  <cp:lastModifiedBy>周亮辉 null</cp:lastModifiedBy>
  <cp:revision>2</cp:revision>
  <cp:lastPrinted>2024-08-08T18:20:00Z</cp:lastPrinted>
  <dcterms:created xsi:type="dcterms:W3CDTF">2025-08-18T10:17:00Z</dcterms:created>
  <dcterms:modified xsi:type="dcterms:W3CDTF">2025-08-18T10:17:00Z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394d38-4ed2-401e-a163-33be523c0e7c}">
  <ds:schemaRefs/>
</ds:datastoreItem>
</file>

<file path=customXml/itemProps3.xml><?xml version="1.0" encoding="utf-8"?>
<ds:datastoreItem xmlns:ds="http://schemas.openxmlformats.org/officeDocument/2006/customXml" ds:itemID="{71e4fb56-5bce-4c51-8424-e6b41bf3a128}">
  <ds:schemaRefs/>
</ds:datastoreItem>
</file>

<file path=customXml/itemProps4.xml><?xml version="1.0" encoding="utf-8"?>
<ds:datastoreItem xmlns:ds="http://schemas.openxmlformats.org/officeDocument/2006/customXml" ds:itemID="{8ef06a5f-a89e-4b34-80e0-18389136e081}">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19</Pages>
  <Words>5586</Words>
  <Characters>6071</Characters>
  <Lines>69</Lines>
  <Paragraphs>19</Paragraphs>
  <TotalTime>38</TotalTime>
  <ScaleCrop>false</ScaleCrop>
  <LinksUpToDate>false</LinksUpToDate>
  <CharactersWithSpaces>6089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WPS_1697591619</cp:lastModifiedBy>
  <cp:lastPrinted>2024-08-08T18:20:00Z</cp:lastPrinted>
  <dcterms:modified xsi:type="dcterms:W3CDTF">2025-09-23T02:26:57Z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BB7B6AA21D207914D6FDA268992A22D6</vt:lpwstr>
  </property>
  <property fmtid="{D5CDD505-2E9C-101B-9397-08002B2CF9AE}" pid="4" name="KSOTemplateDocerSaveRecord">
    <vt:lpwstr>eyJoZGlkIjoiYjIzOWQzOGFlMDNjN2UzMmZiY2JlYjNjNzlmY2UyYTEiLCJ1c2VySWQiOiIxNTUxMjgzNzU4In0=</vt:lpwstr>
  </property>
</Properties>
</file>