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EBB34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auto"/>
          <w:spacing w:val="0"/>
          <w:sz w:val="32"/>
          <w:szCs w:val="32"/>
          <w:highlight w:val="none"/>
          <w:shd w:val="clear" w:color="auto" w:fill="auto"/>
          <w:lang w:val="en-US" w:eastAsia="zh-CN"/>
        </w:rPr>
      </w:pPr>
      <w:r>
        <w:rPr>
          <w:rFonts w:hint="eastAsia" w:ascii="方正小标宋_GBK" w:hAnsi="方正小标宋_GBK" w:eastAsia="方正小标宋_GBK" w:cs="方正小标宋_GBK"/>
          <w:i w:val="0"/>
          <w:iCs w:val="0"/>
          <w:caps w:val="0"/>
          <w:color w:val="auto"/>
          <w:spacing w:val="0"/>
          <w:sz w:val="32"/>
          <w:szCs w:val="32"/>
          <w:highlight w:val="none"/>
          <w:shd w:val="clear" w:color="auto" w:fill="auto"/>
          <w:lang w:val="en-US" w:eastAsia="zh-CN"/>
        </w:rPr>
        <w:t>附件1</w:t>
      </w:r>
    </w:p>
    <w:p w14:paraId="7C8D112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auto"/>
          <w:spacing w:val="0"/>
          <w:sz w:val="24"/>
          <w:szCs w:val="24"/>
          <w:highlight w:val="none"/>
          <w:shd w:val="clear" w:color="auto" w:fill="auto"/>
          <w:lang w:val="en-US" w:eastAsia="zh-CN"/>
        </w:rPr>
      </w:pPr>
    </w:p>
    <w:p w14:paraId="7B18A10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auto"/>
          <w:spacing w:val="0"/>
          <w:sz w:val="24"/>
          <w:szCs w:val="24"/>
          <w:highlight w:val="none"/>
          <w:shd w:val="clear" w:color="auto" w:fill="auto"/>
          <w:lang w:val="en-US" w:eastAsia="zh-CN"/>
        </w:rPr>
      </w:pPr>
    </w:p>
    <w:p w14:paraId="30E92BE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80" w:lineRule="exact"/>
        <w:ind w:right="0"/>
        <w:jc w:val="center"/>
        <w:textAlignment w:val="auto"/>
        <w:rPr>
          <w:rFonts w:hint="eastAsia" w:ascii="方正小标宋简体" w:hAnsi="方正小标宋简体" w:eastAsia="方正小标宋简体" w:cs="方正小标宋简体"/>
          <w:i w:val="0"/>
          <w:iCs w:val="0"/>
          <w:caps w:val="0"/>
          <w:color w:val="auto"/>
          <w:spacing w:val="0"/>
          <w:sz w:val="44"/>
          <w:szCs w:val="44"/>
          <w:highlight w:val="none"/>
          <w:shd w:val="clear" w:color="auto" w:fill="auto"/>
          <w:lang w:val="en-US" w:eastAsia="zh-CN"/>
        </w:rPr>
      </w:pPr>
    </w:p>
    <w:p w14:paraId="79128A2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80" w:lineRule="exact"/>
        <w:ind w:right="0"/>
        <w:jc w:val="center"/>
        <w:textAlignment w:val="auto"/>
        <w:rPr>
          <w:rFonts w:hint="eastAsia" w:ascii="方正小标宋简体" w:hAnsi="方正小标宋简体" w:eastAsia="方正小标宋简体" w:cs="方正小标宋简体"/>
          <w:i w:val="0"/>
          <w:iCs w:val="0"/>
          <w:caps w:val="0"/>
          <w:color w:val="auto"/>
          <w:spacing w:val="0"/>
          <w:sz w:val="44"/>
          <w:szCs w:val="44"/>
          <w:highlight w:val="none"/>
          <w:shd w:val="clear" w:color="auto" w:fill="auto"/>
          <w:lang w:val="en-US" w:eastAsia="zh-CN"/>
        </w:rPr>
      </w:pPr>
    </w:p>
    <w:p w14:paraId="060D69D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80" w:lineRule="exact"/>
        <w:ind w:right="0"/>
        <w:jc w:val="center"/>
        <w:textAlignment w:val="auto"/>
        <w:rPr>
          <w:rFonts w:hint="eastAsia" w:ascii="方正小标宋简体" w:hAnsi="方正小标宋简体" w:eastAsia="方正小标宋简体" w:cs="方正小标宋简体"/>
          <w:i w:val="0"/>
          <w:iCs w:val="0"/>
          <w:caps w:val="0"/>
          <w:color w:val="auto"/>
          <w:spacing w:val="0"/>
          <w:sz w:val="44"/>
          <w:szCs w:val="44"/>
          <w:highlight w:val="none"/>
          <w:shd w:val="clear" w:color="auto" w:fill="auto"/>
          <w:lang w:val="en-US" w:eastAsia="zh-CN"/>
        </w:rPr>
      </w:pPr>
    </w:p>
    <w:p w14:paraId="7293731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80" w:lineRule="exact"/>
        <w:ind w:right="0"/>
        <w:jc w:val="center"/>
        <w:textAlignment w:val="auto"/>
        <w:rPr>
          <w:rFonts w:hint="eastAsia" w:ascii="方正小标宋简体" w:hAnsi="方正小标宋简体" w:eastAsia="方正小标宋简体" w:cs="方正小标宋简体"/>
          <w:i w:val="0"/>
          <w:iCs w:val="0"/>
          <w:caps w:val="0"/>
          <w:color w:val="auto"/>
          <w:spacing w:val="0"/>
          <w:sz w:val="44"/>
          <w:szCs w:val="44"/>
          <w:highlight w:val="none"/>
          <w:shd w:val="clear" w:color="auto" w:fill="auto"/>
          <w:lang w:val="en-US" w:eastAsia="zh-CN"/>
        </w:rPr>
      </w:pPr>
    </w:p>
    <w:p w14:paraId="091EFE0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480" w:lineRule="exact"/>
        <w:ind w:right="0"/>
        <w:jc w:val="center"/>
        <w:textAlignment w:val="auto"/>
        <w:rPr>
          <w:rFonts w:hint="eastAsia" w:ascii="方正小标宋简体" w:hAnsi="方正小标宋简体" w:eastAsia="方正小标宋简体" w:cs="方正小标宋简体"/>
          <w:i w:val="0"/>
          <w:iCs w:val="0"/>
          <w:caps w:val="0"/>
          <w:color w:val="auto"/>
          <w:spacing w:val="0"/>
          <w:sz w:val="44"/>
          <w:szCs w:val="44"/>
          <w:highlight w:val="none"/>
          <w:shd w:val="clear" w:color="auto" w:fill="auto"/>
          <w:lang w:val="en-US" w:eastAsia="zh-CN"/>
        </w:rPr>
      </w:pPr>
    </w:p>
    <w:p w14:paraId="22242D6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720" w:lineRule="exact"/>
        <w:ind w:right="0"/>
        <w:jc w:val="center"/>
        <w:textAlignment w:val="auto"/>
        <w:rPr>
          <w:rFonts w:hint="eastAsia" w:ascii="方正小标宋简体" w:hAnsi="方正小标宋简体" w:eastAsia="方正小标宋简体" w:cs="方正小标宋简体"/>
          <w:i w:val="0"/>
          <w:iCs w:val="0"/>
          <w:caps w:val="0"/>
          <w:color w:val="auto"/>
          <w:spacing w:val="0"/>
          <w:sz w:val="52"/>
          <w:szCs w:val="52"/>
          <w:highlight w:val="none"/>
          <w:shd w:val="clear" w:color="auto" w:fill="auto"/>
          <w:lang w:val="en-US" w:eastAsia="zh-CN"/>
        </w:rPr>
      </w:pPr>
      <w:r>
        <w:rPr>
          <w:rFonts w:hint="eastAsia" w:ascii="方正小标宋简体" w:hAnsi="方正小标宋简体" w:eastAsia="方正小标宋简体" w:cs="方正小标宋简体"/>
          <w:i w:val="0"/>
          <w:iCs w:val="0"/>
          <w:caps w:val="0"/>
          <w:color w:val="auto"/>
          <w:spacing w:val="0"/>
          <w:sz w:val="52"/>
          <w:szCs w:val="52"/>
          <w:highlight w:val="none"/>
          <w:shd w:val="clear" w:color="auto" w:fill="auto"/>
          <w:lang w:val="en-US" w:eastAsia="zh-CN"/>
        </w:rPr>
        <w:t>2024年度中共怀化市委组织部</w:t>
      </w:r>
    </w:p>
    <w:p w14:paraId="3737C82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720" w:lineRule="exact"/>
        <w:ind w:right="0"/>
        <w:jc w:val="center"/>
        <w:textAlignment w:val="auto"/>
        <w:rPr>
          <w:rFonts w:hint="eastAsia" w:ascii="方正小标宋简体" w:hAnsi="方正小标宋简体" w:eastAsia="方正小标宋简体" w:cs="方正小标宋简体"/>
          <w:i w:val="0"/>
          <w:iCs w:val="0"/>
          <w:caps w:val="0"/>
          <w:color w:val="auto"/>
          <w:spacing w:val="0"/>
          <w:sz w:val="52"/>
          <w:szCs w:val="52"/>
          <w:highlight w:val="none"/>
          <w:shd w:val="clear" w:color="auto" w:fill="auto"/>
          <w:lang w:val="en-US" w:eastAsia="zh-CN"/>
        </w:rPr>
      </w:pPr>
      <w:r>
        <w:rPr>
          <w:rFonts w:hint="eastAsia" w:ascii="方正小标宋简体" w:hAnsi="方正小标宋简体" w:eastAsia="方正小标宋简体" w:cs="方正小标宋简体"/>
          <w:i w:val="0"/>
          <w:iCs w:val="0"/>
          <w:caps w:val="0"/>
          <w:color w:val="auto"/>
          <w:spacing w:val="0"/>
          <w:sz w:val="52"/>
          <w:szCs w:val="52"/>
          <w:highlight w:val="none"/>
          <w:shd w:val="clear" w:color="auto" w:fill="auto"/>
          <w:lang w:val="en-US" w:eastAsia="zh-CN"/>
        </w:rPr>
        <w:t>整体支出绩效自评报告</w:t>
      </w:r>
    </w:p>
    <w:p w14:paraId="4C85BB0E">
      <w:pPr>
        <w:keepNext w:val="0"/>
        <w:keepLines w:val="0"/>
        <w:pageBreakBefore w:val="0"/>
        <w:widowControl w:val="0"/>
        <w:kinsoku/>
        <w:wordWrap/>
        <w:overflowPunct/>
        <w:topLinePunct w:val="0"/>
        <w:autoSpaceDE/>
        <w:autoSpaceDN/>
        <w:bidi w:val="0"/>
        <w:adjustRightInd/>
        <w:snapToGrid w:val="0"/>
        <w:spacing w:line="520" w:lineRule="exact"/>
        <w:ind w:firstLine="883" w:firstLineChars="200"/>
        <w:textAlignment w:val="auto"/>
        <w:rPr>
          <w:rFonts w:hint="eastAsia" w:ascii="方正小标宋简体" w:hAnsi="方正小标宋简体" w:eastAsia="方正小标宋简体" w:cs="方正小标宋简体"/>
          <w:b/>
          <w:bCs/>
          <w:color w:val="auto"/>
          <w:sz w:val="44"/>
          <w:szCs w:val="44"/>
          <w:highlight w:val="none"/>
          <w:lang w:val="en-US" w:eastAsia="zh-CN"/>
        </w:rPr>
      </w:pPr>
    </w:p>
    <w:p w14:paraId="166607D6">
      <w:pPr>
        <w:keepNext w:val="0"/>
        <w:keepLines w:val="0"/>
        <w:pageBreakBefore w:val="0"/>
        <w:widowControl w:val="0"/>
        <w:kinsoku/>
        <w:wordWrap/>
        <w:overflowPunct/>
        <w:topLinePunct w:val="0"/>
        <w:autoSpaceDE/>
        <w:autoSpaceDN/>
        <w:bidi w:val="0"/>
        <w:adjustRightInd/>
        <w:snapToGrid w:val="0"/>
        <w:spacing w:line="520" w:lineRule="exact"/>
        <w:ind w:firstLine="883" w:firstLineChars="200"/>
        <w:textAlignment w:val="auto"/>
        <w:rPr>
          <w:rFonts w:hint="eastAsia" w:ascii="方正小标宋简体" w:hAnsi="方正小标宋简体" w:eastAsia="方正小标宋简体" w:cs="方正小标宋简体"/>
          <w:b/>
          <w:bCs/>
          <w:color w:val="auto"/>
          <w:sz w:val="44"/>
          <w:szCs w:val="44"/>
          <w:highlight w:val="none"/>
          <w:lang w:val="en-US" w:eastAsia="zh-CN"/>
        </w:rPr>
      </w:pPr>
    </w:p>
    <w:p w14:paraId="3C75181E">
      <w:pPr>
        <w:keepNext w:val="0"/>
        <w:keepLines w:val="0"/>
        <w:pageBreakBefore w:val="0"/>
        <w:widowControl w:val="0"/>
        <w:kinsoku/>
        <w:wordWrap/>
        <w:overflowPunct/>
        <w:topLinePunct w:val="0"/>
        <w:autoSpaceDE/>
        <w:autoSpaceDN/>
        <w:bidi w:val="0"/>
        <w:adjustRightInd/>
        <w:snapToGrid w:val="0"/>
        <w:spacing w:line="520" w:lineRule="exact"/>
        <w:ind w:firstLine="883" w:firstLineChars="200"/>
        <w:textAlignment w:val="auto"/>
        <w:rPr>
          <w:rFonts w:hint="eastAsia" w:ascii="方正小标宋简体" w:hAnsi="方正小标宋简体" w:eastAsia="方正小标宋简体" w:cs="方正小标宋简体"/>
          <w:b/>
          <w:bCs/>
          <w:color w:val="auto"/>
          <w:sz w:val="44"/>
          <w:szCs w:val="44"/>
          <w:highlight w:val="none"/>
          <w:lang w:val="en-US" w:eastAsia="zh-CN"/>
        </w:rPr>
      </w:pPr>
    </w:p>
    <w:p w14:paraId="50F3E87E">
      <w:pPr>
        <w:keepNext w:val="0"/>
        <w:keepLines w:val="0"/>
        <w:pageBreakBefore w:val="0"/>
        <w:widowControl w:val="0"/>
        <w:kinsoku/>
        <w:wordWrap/>
        <w:overflowPunct/>
        <w:topLinePunct w:val="0"/>
        <w:autoSpaceDE/>
        <w:autoSpaceDN/>
        <w:bidi w:val="0"/>
        <w:adjustRightInd/>
        <w:snapToGrid w:val="0"/>
        <w:spacing w:line="520" w:lineRule="exact"/>
        <w:ind w:firstLine="883" w:firstLineChars="200"/>
        <w:textAlignment w:val="auto"/>
        <w:rPr>
          <w:rFonts w:hint="eastAsia" w:ascii="方正小标宋简体" w:hAnsi="方正小标宋简体" w:eastAsia="方正小标宋简体" w:cs="方正小标宋简体"/>
          <w:b/>
          <w:bCs/>
          <w:color w:val="auto"/>
          <w:sz w:val="44"/>
          <w:szCs w:val="44"/>
          <w:highlight w:val="none"/>
          <w:lang w:val="en-US" w:eastAsia="zh-CN"/>
        </w:rPr>
      </w:pPr>
    </w:p>
    <w:p w14:paraId="20F6C7A7">
      <w:pPr>
        <w:keepNext w:val="0"/>
        <w:keepLines w:val="0"/>
        <w:pageBreakBefore w:val="0"/>
        <w:widowControl w:val="0"/>
        <w:kinsoku/>
        <w:wordWrap/>
        <w:overflowPunct/>
        <w:topLinePunct w:val="0"/>
        <w:autoSpaceDE/>
        <w:autoSpaceDN/>
        <w:bidi w:val="0"/>
        <w:adjustRightInd/>
        <w:snapToGrid w:val="0"/>
        <w:spacing w:line="520" w:lineRule="exact"/>
        <w:ind w:firstLine="883" w:firstLineChars="200"/>
        <w:textAlignment w:val="auto"/>
        <w:rPr>
          <w:rFonts w:hint="eastAsia" w:ascii="方正小标宋简体" w:hAnsi="方正小标宋简体" w:eastAsia="方正小标宋简体" w:cs="方正小标宋简体"/>
          <w:b/>
          <w:bCs/>
          <w:color w:val="auto"/>
          <w:sz w:val="44"/>
          <w:szCs w:val="44"/>
          <w:highlight w:val="none"/>
          <w:lang w:val="en-US" w:eastAsia="zh-CN"/>
        </w:rPr>
      </w:pPr>
    </w:p>
    <w:p w14:paraId="532120BE">
      <w:pPr>
        <w:keepNext w:val="0"/>
        <w:keepLines w:val="0"/>
        <w:pageBreakBefore w:val="0"/>
        <w:widowControl w:val="0"/>
        <w:kinsoku/>
        <w:wordWrap/>
        <w:overflowPunct/>
        <w:topLinePunct w:val="0"/>
        <w:autoSpaceDE/>
        <w:autoSpaceDN/>
        <w:bidi w:val="0"/>
        <w:adjustRightInd/>
        <w:snapToGrid w:val="0"/>
        <w:spacing w:line="520" w:lineRule="exact"/>
        <w:ind w:firstLine="883" w:firstLineChars="200"/>
        <w:textAlignment w:val="auto"/>
        <w:rPr>
          <w:rFonts w:hint="eastAsia" w:ascii="方正小标宋简体" w:hAnsi="方正小标宋简体" w:eastAsia="方正小标宋简体" w:cs="方正小标宋简体"/>
          <w:b/>
          <w:bCs/>
          <w:color w:val="auto"/>
          <w:sz w:val="44"/>
          <w:szCs w:val="44"/>
          <w:highlight w:val="none"/>
          <w:lang w:val="en-US" w:eastAsia="zh-CN"/>
        </w:rPr>
      </w:pPr>
    </w:p>
    <w:p w14:paraId="12E094D6">
      <w:pPr>
        <w:keepNext w:val="0"/>
        <w:keepLines w:val="0"/>
        <w:pageBreakBefore w:val="0"/>
        <w:widowControl w:val="0"/>
        <w:kinsoku/>
        <w:wordWrap/>
        <w:overflowPunct/>
        <w:topLinePunct w:val="0"/>
        <w:autoSpaceDE/>
        <w:autoSpaceDN/>
        <w:bidi w:val="0"/>
        <w:adjustRightInd/>
        <w:snapToGrid w:val="0"/>
        <w:spacing w:line="520" w:lineRule="exact"/>
        <w:ind w:firstLine="883" w:firstLineChars="200"/>
        <w:textAlignment w:val="auto"/>
        <w:rPr>
          <w:rFonts w:hint="eastAsia" w:ascii="方正小标宋简体" w:hAnsi="方正小标宋简体" w:eastAsia="方正小标宋简体" w:cs="方正小标宋简体"/>
          <w:b/>
          <w:bCs/>
          <w:color w:val="auto"/>
          <w:sz w:val="44"/>
          <w:szCs w:val="44"/>
          <w:highlight w:val="none"/>
          <w:lang w:val="en-US" w:eastAsia="zh-CN"/>
        </w:rPr>
      </w:pPr>
    </w:p>
    <w:p w14:paraId="5A591583">
      <w:pPr>
        <w:keepNext w:val="0"/>
        <w:keepLines w:val="0"/>
        <w:pageBreakBefore w:val="0"/>
        <w:widowControl w:val="0"/>
        <w:kinsoku/>
        <w:wordWrap/>
        <w:overflowPunct/>
        <w:topLinePunct w:val="0"/>
        <w:autoSpaceDE/>
        <w:autoSpaceDN/>
        <w:bidi w:val="0"/>
        <w:adjustRightInd/>
        <w:snapToGrid w:val="0"/>
        <w:spacing w:line="520" w:lineRule="exact"/>
        <w:ind w:firstLine="883" w:firstLineChars="200"/>
        <w:textAlignment w:val="auto"/>
        <w:rPr>
          <w:rFonts w:hint="eastAsia" w:ascii="方正小标宋简体" w:hAnsi="方正小标宋简体" w:eastAsia="方正小标宋简体" w:cs="方正小标宋简体"/>
          <w:b/>
          <w:bCs/>
          <w:color w:val="auto"/>
          <w:sz w:val="44"/>
          <w:szCs w:val="44"/>
          <w:highlight w:val="none"/>
          <w:lang w:val="en-US" w:eastAsia="zh-CN"/>
        </w:rPr>
      </w:pPr>
    </w:p>
    <w:p w14:paraId="12FB6359">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p>
    <w:p w14:paraId="5FA7DE8E">
      <w:pPr>
        <w:pStyle w:val="2"/>
        <w:rPr>
          <w:rFonts w:hint="default" w:ascii="方正黑体_GBK" w:hAnsi="方正黑体_GBK" w:eastAsia="方正黑体_GBK" w:cs="方正黑体_GBK"/>
          <w:b/>
          <w:bCs/>
          <w:color w:val="auto"/>
          <w:sz w:val="32"/>
          <w:szCs w:val="32"/>
          <w:highlight w:val="none"/>
          <w:lang w:val="en-US" w:eastAsia="zh-CN"/>
        </w:rPr>
      </w:pPr>
    </w:p>
    <w:p w14:paraId="6F015544">
      <w:pPr>
        <w:pStyle w:val="2"/>
        <w:rPr>
          <w:rFonts w:hint="default" w:ascii="方正黑体_GBK" w:hAnsi="方正黑体_GBK" w:eastAsia="方正黑体_GBK" w:cs="方正黑体_GBK"/>
          <w:b/>
          <w:bCs/>
          <w:color w:val="auto"/>
          <w:sz w:val="32"/>
          <w:szCs w:val="32"/>
          <w:highlight w:val="none"/>
          <w:lang w:val="en-US" w:eastAsia="zh-CN"/>
        </w:rPr>
      </w:pPr>
      <w:bookmarkStart w:id="0" w:name="_GoBack"/>
      <w:bookmarkEnd w:id="0"/>
    </w:p>
    <w:p w14:paraId="4F91FC2F">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p>
    <w:p w14:paraId="2524C7FB">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p>
    <w:p w14:paraId="79D67F81">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p>
    <w:p w14:paraId="5E3353CB">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p>
    <w:p w14:paraId="0B3A7393">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黑体" w:hAnsi="黑体" w:eastAsia="黑体" w:cs="黑体"/>
          <w:b w:val="0"/>
          <w:bCs w:val="0"/>
          <w:color w:val="auto"/>
          <w:sz w:val="32"/>
          <w:szCs w:val="32"/>
          <w:highlight w:val="none"/>
          <w:lang w:val="en-US" w:eastAsia="zh-CN"/>
        </w:rPr>
      </w:pPr>
      <w:r>
        <w:rPr>
          <w:rFonts w:hint="default" w:ascii="黑体" w:hAnsi="黑体" w:eastAsia="黑体" w:cs="黑体"/>
          <w:b w:val="0"/>
          <w:bCs w:val="0"/>
          <w:color w:val="auto"/>
          <w:sz w:val="32"/>
          <w:szCs w:val="32"/>
          <w:highlight w:val="none"/>
          <w:lang w:val="en-US" w:eastAsia="zh-CN"/>
        </w:rPr>
        <w:t>一、部门概况</w:t>
      </w:r>
    </w:p>
    <w:p w14:paraId="429DA568">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eastAsia" w:ascii="Times New Roman" w:hAnsi="Times New Roman" w:eastAsia="楷体_GB2312" w:cs="Times New Roman"/>
          <w:b/>
          <w:bCs/>
          <w:i w:val="0"/>
          <w:iCs w:val="0"/>
          <w:caps w:val="0"/>
          <w:color w:val="000000"/>
          <w:spacing w:val="0"/>
          <w:kern w:val="0"/>
          <w:sz w:val="32"/>
          <w:szCs w:val="32"/>
          <w:shd w:val="clear" w:color="auto" w:fill="auto"/>
          <w:lang w:val="en-US" w:eastAsia="zh-CN" w:bidi="ar"/>
        </w:rPr>
      </w:pPr>
      <w:r>
        <w:rPr>
          <w:rFonts w:hint="eastAsia" w:ascii="Times New Roman" w:hAnsi="Times New Roman" w:eastAsia="楷体_GB2312" w:cs="Times New Roman"/>
          <w:b/>
          <w:bCs/>
          <w:i w:val="0"/>
          <w:iCs w:val="0"/>
          <w:caps w:val="0"/>
          <w:color w:val="000000"/>
          <w:spacing w:val="0"/>
          <w:kern w:val="0"/>
          <w:sz w:val="32"/>
          <w:szCs w:val="32"/>
          <w:shd w:val="clear" w:color="auto" w:fill="auto"/>
          <w:lang w:val="en-US" w:eastAsia="zh-CN" w:bidi="ar"/>
        </w:rPr>
        <w:t>（一）部门（单位）基本情况。</w:t>
      </w:r>
    </w:p>
    <w:p w14:paraId="7D504A7D">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default" w:ascii="仿宋_GB2312" w:hAnsi="仿宋_GB2312" w:eastAsia="仿宋_GB2312" w:cs="仿宋_GB2312"/>
          <w:sz w:val="32"/>
          <w:szCs w:val="32"/>
          <w:lang w:eastAsia="zh-CN"/>
        </w:rPr>
        <w:t>机构设置情况</w:t>
      </w:r>
    </w:p>
    <w:p w14:paraId="7E2717F8">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中共怀化市委组织部作为一级部门预算单位，内设科（室、中心）为：办公室、研究室、人事科、机关党委、基层办、组织指导科、党代表联络办、党员管理科、干部一科、干部二科、干部三科、干部规划办、公务员一科、公务员二科、公务员三科、干部信息科、干部监督科、举报中心、干部教育科、人才科、党员教育中心（信息化建设中心）、考核评价科、人才发展服务中心、通道转兵红色资源教育中心。</w:t>
      </w:r>
    </w:p>
    <w:p w14:paraId="7978F73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600" w:lineRule="exact"/>
        <w:ind w:right="0" w:firstLine="640" w:firstLineChars="200"/>
        <w:jc w:val="both"/>
        <w:textAlignment w:val="auto"/>
        <w:rPr>
          <w:rFonts w:hint="eastAsia" w:ascii="Times New Roman" w:hAnsi="Times New Roman" w:eastAsia="楷体_GB2312" w:cs="Times New Roman"/>
          <w:b/>
          <w:bCs/>
          <w:i w:val="0"/>
          <w:iCs w:val="0"/>
          <w:caps w:val="0"/>
          <w:color w:val="000000"/>
          <w:spacing w:val="0"/>
          <w:sz w:val="32"/>
          <w:szCs w:val="32"/>
          <w:shd w:val="clear" w:color="auto" w:fill="auto"/>
          <w:lang w:val="en-US" w:eastAsia="zh-CN"/>
        </w:rPr>
      </w:pPr>
      <w:r>
        <w:rPr>
          <w:rFonts w:hint="eastAsia" w:ascii="仿宋_GB2312" w:hAnsi="仿宋_GB2312" w:eastAsia="仿宋_GB2312" w:cs="仿宋_GB2312"/>
          <w:kern w:val="2"/>
          <w:sz w:val="32"/>
          <w:szCs w:val="32"/>
          <w:lang w:val="en-US" w:eastAsia="zh-CN" w:bidi="ar-SA"/>
        </w:rPr>
        <w:t>2、人员编制情况</w:t>
      </w:r>
    </w:p>
    <w:p w14:paraId="39FC5C3A">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2024年年末实有在职人数74人。</w:t>
      </w:r>
    </w:p>
    <w:p w14:paraId="25EDB17E">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eastAsia" w:ascii="Times New Roman" w:hAnsi="Times New Roman" w:eastAsia="楷体_GB2312" w:cs="Times New Roman"/>
          <w:b/>
          <w:bCs/>
          <w:i w:val="0"/>
          <w:iCs w:val="0"/>
          <w:caps w:val="0"/>
          <w:color w:val="000000"/>
          <w:spacing w:val="0"/>
          <w:kern w:val="0"/>
          <w:sz w:val="32"/>
          <w:szCs w:val="32"/>
          <w:shd w:val="clear" w:color="auto" w:fill="auto"/>
          <w:lang w:val="en-US" w:eastAsia="zh-CN" w:bidi="ar"/>
        </w:rPr>
      </w:pPr>
      <w:r>
        <w:rPr>
          <w:rFonts w:hint="eastAsia" w:ascii="Times New Roman" w:hAnsi="Times New Roman" w:eastAsia="楷体_GB2312" w:cs="Times New Roman"/>
          <w:b/>
          <w:bCs/>
          <w:i w:val="0"/>
          <w:iCs w:val="0"/>
          <w:caps w:val="0"/>
          <w:color w:val="000000"/>
          <w:spacing w:val="0"/>
          <w:kern w:val="0"/>
          <w:sz w:val="32"/>
          <w:szCs w:val="32"/>
          <w:shd w:val="clear" w:color="auto" w:fill="auto"/>
          <w:lang w:val="en-US" w:eastAsia="zh-CN" w:bidi="ar"/>
        </w:rPr>
        <w:t>（二）部门（单位）整体支出规模、使用方向和主要内容、涉及范围等。</w:t>
      </w:r>
    </w:p>
    <w:p w14:paraId="55CD6E8B">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2024年度整体支出总额为2760.18万元，主要用于人员支出及日常工作保障支出。</w:t>
      </w:r>
    </w:p>
    <w:p w14:paraId="7812D7A7">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二、一般公共预算支出情况</w:t>
      </w:r>
    </w:p>
    <w:p w14:paraId="35D19636">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楷体_GB2312" w:cs="Times New Roman"/>
          <w:b/>
          <w:bCs/>
          <w:i w:val="0"/>
          <w:iCs w:val="0"/>
          <w:caps w:val="0"/>
          <w:color w:val="000000"/>
          <w:spacing w:val="0"/>
          <w:kern w:val="0"/>
          <w:sz w:val="32"/>
          <w:szCs w:val="32"/>
          <w:shd w:val="clear" w:color="auto" w:fill="auto"/>
          <w:lang w:val="en-US" w:eastAsia="zh-CN" w:bidi="ar"/>
        </w:rPr>
      </w:pPr>
      <w:r>
        <w:rPr>
          <w:rFonts w:hint="default" w:ascii="Times New Roman" w:hAnsi="Times New Roman" w:eastAsia="楷体_GB2312" w:cs="Times New Roman"/>
          <w:b/>
          <w:bCs/>
          <w:i w:val="0"/>
          <w:iCs w:val="0"/>
          <w:caps w:val="0"/>
          <w:color w:val="000000"/>
          <w:spacing w:val="0"/>
          <w:kern w:val="0"/>
          <w:sz w:val="32"/>
          <w:szCs w:val="32"/>
          <w:shd w:val="clear" w:color="auto" w:fill="auto"/>
          <w:lang w:val="en-US" w:eastAsia="zh-CN" w:bidi="ar"/>
        </w:rPr>
        <w:t>（一）基本支出</w:t>
      </w:r>
    </w:p>
    <w:p w14:paraId="48CDF5DF">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基本支出是保障机构正常运转、完成日常工作任务而发生的各项支出，包括用于人员工资、社保等人员经费以及办公费、差旅费、办公设备购置等日常工作经费。2024年一般公共预算支出2733.45万元，其中基本支出总额为1923.4万元，占一般公共预算支出的70.37%。“三公经费”年初预算为18万元，2024年实际支出16.03万元，其中公车运行维护15.42万元，公务接待0.61万元</w:t>
      </w:r>
      <w:r>
        <w:rPr>
          <w:rFonts w:hint="default" w:ascii="仿宋_GB2312" w:hAnsi="仿宋_GB2312" w:eastAsia="仿宋_GB2312" w:cs="仿宋_GB2312"/>
          <w:sz w:val="32"/>
          <w:szCs w:val="32"/>
          <w:lang w:val="en-US" w:eastAsia="zh-CN"/>
        </w:rPr>
        <w:t>。</w:t>
      </w:r>
    </w:p>
    <w:p w14:paraId="091644F6">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楷体_GB2312" w:cs="Times New Roman"/>
          <w:b/>
          <w:bCs/>
          <w:i w:val="0"/>
          <w:iCs w:val="0"/>
          <w:caps w:val="0"/>
          <w:color w:val="000000"/>
          <w:spacing w:val="0"/>
          <w:kern w:val="0"/>
          <w:sz w:val="32"/>
          <w:szCs w:val="32"/>
          <w:shd w:val="clear" w:color="auto" w:fill="auto"/>
          <w:lang w:val="en-US" w:eastAsia="zh-CN" w:bidi="ar"/>
        </w:rPr>
      </w:pPr>
      <w:r>
        <w:rPr>
          <w:rFonts w:hint="default" w:ascii="Times New Roman" w:hAnsi="Times New Roman" w:eastAsia="楷体_GB2312" w:cs="Times New Roman"/>
          <w:b/>
          <w:bCs/>
          <w:i w:val="0"/>
          <w:iCs w:val="0"/>
          <w:caps w:val="0"/>
          <w:color w:val="000000"/>
          <w:spacing w:val="0"/>
          <w:kern w:val="0"/>
          <w:sz w:val="32"/>
          <w:szCs w:val="32"/>
          <w:shd w:val="clear" w:color="auto" w:fill="auto"/>
          <w:lang w:val="en-US" w:eastAsia="zh-CN" w:bidi="ar"/>
        </w:rPr>
        <w:t>（二）项目支出</w:t>
      </w:r>
    </w:p>
    <w:p w14:paraId="79FC28A0">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2024年一般公共预算支出2733.45万元，其中项目支出810.05万元，占一般公共预算支出的29.63%。主要用于公务员招录及初任培训、党员教育、党建工作等方面。</w:t>
      </w:r>
    </w:p>
    <w:p w14:paraId="20ADAE43">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黑体" w:hAnsi="黑体" w:eastAsia="黑体" w:cs="黑体"/>
          <w:b w:val="0"/>
          <w:bCs w:val="0"/>
          <w:color w:val="auto"/>
          <w:sz w:val="32"/>
          <w:szCs w:val="32"/>
          <w:highlight w:val="none"/>
          <w:lang w:val="en-US" w:eastAsia="zh-CN"/>
        </w:rPr>
        <w:t>三、项目组织实施情况</w:t>
      </w:r>
    </w:p>
    <w:p w14:paraId="035FEB1E">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各项目资金安排责任科室及责任人负责，按项目资金的用途专款专用。在使用项目资金时，严格执行项目资金使用的相关规定和财务制度，同时对各项目资金的使用进行监督，并开展绩效自评工作。</w:t>
      </w:r>
    </w:p>
    <w:p w14:paraId="31D3803D">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黑体" w:hAnsi="黑体" w:eastAsia="黑体" w:cs="黑体"/>
          <w:b w:val="0"/>
          <w:bCs w:val="0"/>
          <w:color w:val="auto"/>
          <w:sz w:val="32"/>
          <w:szCs w:val="32"/>
          <w:highlight w:val="none"/>
          <w:lang w:val="en-US" w:eastAsia="zh-CN"/>
        </w:rPr>
      </w:pPr>
      <w:r>
        <w:rPr>
          <w:rFonts w:hint="default" w:ascii="黑体" w:hAnsi="黑体" w:eastAsia="黑体" w:cs="黑体"/>
          <w:b w:val="0"/>
          <w:bCs w:val="0"/>
          <w:color w:val="auto"/>
          <w:sz w:val="32"/>
          <w:szCs w:val="32"/>
          <w:highlight w:val="none"/>
          <w:lang w:val="en-US" w:eastAsia="zh-CN"/>
        </w:rPr>
        <w:t>四、资产管理情况</w:t>
      </w:r>
    </w:p>
    <w:p w14:paraId="1F10A0BA">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一是提高资产运用率。通过资产日常管理，能够最大化固定资产利用效率，保障单位各项工作的高效开展。</w:t>
      </w:r>
    </w:p>
    <w:p w14:paraId="5CCF49B7">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二是提高财务管理水平。充分运用资产系统的各项功能开展资产日常管理工作，有助于提高资产的盘活及盘点工作效率。能够提高资产运用率，避免不必要的资产流失，提高核算的准确性。</w:t>
      </w:r>
    </w:p>
    <w:p w14:paraId="47EA9DCD">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黑体" w:hAnsi="黑体" w:eastAsia="黑体" w:cs="黑体"/>
          <w:b w:val="0"/>
          <w:bCs w:val="0"/>
          <w:color w:val="auto"/>
          <w:sz w:val="32"/>
          <w:szCs w:val="32"/>
          <w:highlight w:val="none"/>
          <w:lang w:val="en-US" w:eastAsia="zh-CN"/>
        </w:rPr>
      </w:pPr>
      <w:r>
        <w:rPr>
          <w:rFonts w:hint="default" w:ascii="黑体" w:hAnsi="黑体" w:eastAsia="黑体" w:cs="黑体"/>
          <w:b w:val="0"/>
          <w:bCs w:val="0"/>
          <w:color w:val="auto"/>
          <w:sz w:val="32"/>
          <w:szCs w:val="32"/>
          <w:highlight w:val="none"/>
          <w:lang w:val="en-US" w:eastAsia="zh-CN"/>
        </w:rPr>
        <w:t>五、政府性基金预算支出情况</w:t>
      </w:r>
    </w:p>
    <w:p w14:paraId="046DCE1D">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2024年我部门无政府性基金预算支出。</w:t>
      </w:r>
    </w:p>
    <w:p w14:paraId="725E70B6">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黑体" w:hAnsi="黑体" w:eastAsia="黑体" w:cs="黑体"/>
          <w:b w:val="0"/>
          <w:bCs w:val="0"/>
          <w:color w:val="auto"/>
          <w:sz w:val="32"/>
          <w:szCs w:val="32"/>
          <w:highlight w:val="none"/>
          <w:lang w:val="en-US" w:eastAsia="zh-CN"/>
        </w:rPr>
      </w:pPr>
      <w:r>
        <w:rPr>
          <w:rFonts w:hint="default" w:ascii="黑体" w:hAnsi="黑体" w:eastAsia="黑体" w:cs="黑体"/>
          <w:b w:val="0"/>
          <w:bCs w:val="0"/>
          <w:color w:val="auto"/>
          <w:sz w:val="32"/>
          <w:szCs w:val="32"/>
          <w:highlight w:val="none"/>
          <w:lang w:val="en-US" w:eastAsia="zh-CN"/>
        </w:rPr>
        <w:t>六、国有资本经营预算支出情况</w:t>
      </w:r>
    </w:p>
    <w:p w14:paraId="54EFF759">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2024年我部门无国有资本经验预算支出。</w:t>
      </w:r>
    </w:p>
    <w:p w14:paraId="42CF5845">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黑体" w:hAnsi="黑体" w:eastAsia="黑体" w:cs="黑体"/>
          <w:b w:val="0"/>
          <w:bCs w:val="0"/>
          <w:color w:val="auto"/>
          <w:sz w:val="32"/>
          <w:szCs w:val="32"/>
          <w:highlight w:val="none"/>
          <w:lang w:val="en-US" w:eastAsia="zh-CN"/>
        </w:rPr>
      </w:pPr>
      <w:r>
        <w:rPr>
          <w:rFonts w:hint="default" w:ascii="黑体" w:hAnsi="黑体" w:eastAsia="黑体" w:cs="黑体"/>
          <w:b w:val="0"/>
          <w:bCs w:val="0"/>
          <w:color w:val="auto"/>
          <w:sz w:val="32"/>
          <w:szCs w:val="32"/>
          <w:highlight w:val="none"/>
          <w:lang w:val="en-US" w:eastAsia="zh-CN"/>
        </w:rPr>
        <w:t>七、社会保险基金预算支出情况</w:t>
      </w:r>
    </w:p>
    <w:p w14:paraId="3DF7BDC9">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2024年我部门无社会保险基金预算支出。</w:t>
      </w:r>
    </w:p>
    <w:p w14:paraId="2026F786">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黑体" w:hAnsi="黑体" w:eastAsia="黑体" w:cs="黑体"/>
          <w:b w:val="0"/>
          <w:bCs w:val="0"/>
          <w:color w:val="auto"/>
          <w:sz w:val="32"/>
          <w:szCs w:val="32"/>
          <w:highlight w:val="none"/>
          <w:lang w:val="en-US" w:eastAsia="zh-CN"/>
        </w:rPr>
      </w:pPr>
      <w:r>
        <w:rPr>
          <w:rFonts w:hint="default" w:ascii="黑体" w:hAnsi="黑体" w:eastAsia="黑体" w:cs="黑体"/>
          <w:b w:val="0"/>
          <w:bCs w:val="0"/>
          <w:color w:val="auto"/>
          <w:sz w:val="32"/>
          <w:szCs w:val="32"/>
          <w:highlight w:val="none"/>
          <w:lang w:val="en-US" w:eastAsia="zh-CN"/>
        </w:rPr>
        <w:t>八、部门整体支出绩效情况</w:t>
      </w:r>
    </w:p>
    <w:p w14:paraId="124AA6B6">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聚焦凝心铸魂，坚定不移用党的创新理论武装头脑。一是学深悟透党的二十届三中全会精神以及习近平总书记考察湖南重要讲话和指示精神。把学习贯彻习近平新时代中国特色社会主义思想和党的二十届三中全会精神作为主题主线，市本级举办市管干部学习贯彻党的二十届三中全会精神专题研讨班，推动习近平总书记考察湖南重要讲话和指示精神走深走实，持续巩固拓展学习贯彻习近平新时代中国特色社会主义思想主题教育成果，着力构建以学铸魂、以学增智、以学正风、以学促干的长效机制。二是精心组织党纪学习教育。市委紧紧围绕党纪学习教育目标要求和工作安排，高起点谋划、高标准推进、高质量落实。三是分层分类抓实党员干部学习教育培训。推动通道转兵红色资源开发利用，承接各类培训班。大力开展履职能力专题培训，聚焦推动高质量发展、国际陆港建设、现代化产业体系建设等专题，依托清华大学等国内知名高校举办专题培训。</w:t>
      </w:r>
    </w:p>
    <w:p w14:paraId="69EA60F3">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统筹选育管用，全面加强领导班子和干部队伍建设。一是优化领导班子结构和整体功能。运用要素分析法选优配强领导班子，突出选好配强“一把手”，加强机构改革领导班子建设，稳妥有序抓好单位班子配备。二是加强正确政绩观教育。推动考核结果与考核评优、选人用人、追责问责深度融合、高度关联。把正确政绩观作为各级党校干部教育培训必修课，举办处级干部树立和践行正确政绩观暨学习党章党规党纪专题培训班。严格执行党政领导干部职务任期制度，保持县乡领导班子任职稳定。三是围绕规范管理加强公务员工作。常态化实施公务员职务与职级并行，择优调任科级公务员，认真做好公务员培训、遴选以及年度考核、平时考核、工资奖金审批等工作。</w:t>
      </w:r>
    </w:p>
    <w:p w14:paraId="67BD3BC9">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3、围绕严管厚爱，激励广大干部奋发进取、建功立业。一是坚持凭德才和实干实绩选拔贬黜干部。二是健全担当作为激励和保护机制。三是注重常态长效强化管理监督。</w:t>
      </w:r>
    </w:p>
    <w:p w14:paraId="0D3A779E">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突出强基固本，有效增强党组织政治功能和组织功能。一是着力破解乡村治理“小马拉大车”突出问题。我市破解乡村治理“小马拉大车”突出问题相关工作经验被《中国组织人事报》宣传推介。二是持续放大抓党建促乡村振兴效能。制定《怀化市进一步深化抓党建促乡村振兴创新推进“连村联创”工作方案》，采取以强带弱、以大带小、连村联建、产业统建等多种形式，组建乡村振兴联合党组织。三是纵深推进以党建引领基层治理。扎实开展建功、振兴、先锋“三大行动”。全面推行片组邻“三长制”，创新运用“四方会诊、三级化解”问题处置机制。四是从严从实抓好党员教育管理。坚持把政治标准放在首位，开展全市流动党员登记、接收和流动党员党组织调查摸底。深入推进“一月一课一片一实践”主题党日活动，结合实际开展“五溪先锋”党员志愿服务活动。</w:t>
      </w:r>
    </w:p>
    <w:p w14:paraId="48E8A4CF">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立足筑巢引凤，紧盯大局全方位培养引进用好人才。一是打好人才培养引进组合拳。组织市县两级企事业单位赴北京大学、中央民族大学等高校，开展“智汇潇湘”怀化招才引才高校行系列活动，启动市直企事业单位高层次及急需紧缺人才引进行动。全面推行乡村柔性引才“九种模式”。二是以人才振兴助力乡村振兴。建成湖南首家市级清华大学乡村振兴工作站，承接清华学子来怀开展社会实践。探索建设以“科技小院、支农小队、科技成果转化小区”为依托的“高校+地方政府”助力乡村振兴模。</w:t>
      </w:r>
    </w:p>
    <w:p w14:paraId="52270576">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坚持政治立部，持续深化模范部门和过硬队伍建设。一是加强政治建设。深入落实部务会“第一议题”、理论学习中心组学习、党支部“三会一课”等制度，巩固拓展主题教育成果，认真履行意识形态工作责任、统一战线工作责任，从严从实抓好提级巡视市委组织部反馈问题整改落实。推进部机关党纪学习教育，通过举办专题读书班、召开警示教育会、参观廉政教育基地、上好专题党课等形式，推动部机关干部受警醒、明底线、知敬畏。二是锤炼过硬本领。全面加强基础工作、基础业务、基本队伍、基本能力建设，围绕解放思想开展专题学习研讨，选派11名机关党务工作者参加党建培训。组织部机关干部赴安江农校开展“争做一粒好种子”主题党日活动，举办以学习部史部风为主题的“微党课”比赛。市委组织部牵头负责第十一届全球湘商大会客商服务组工作，得到与会嘉宾高度评价，被授予先进集体称号，记集体二等功。三是弘扬严实作风。出台《部机关“办文零差错、办会零失误、办事零缺陷”情况通报制度》《进一步厉行节约习惯过紧日子的七条措施》，持续深化部机关作风建设。支持驻部纪检监察组发挥“探头”作用，持续抓好部机关驻村帮扶工作队管理服务，认真做好部机关廉政风险防控、安全生产、应急值守、保密等工作。</w:t>
      </w:r>
    </w:p>
    <w:p w14:paraId="0CC4454E">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黑体" w:hAnsi="黑体" w:eastAsia="黑体" w:cs="黑体"/>
          <w:b w:val="0"/>
          <w:bCs w:val="0"/>
          <w:color w:val="auto"/>
          <w:sz w:val="32"/>
          <w:szCs w:val="32"/>
          <w:highlight w:val="none"/>
          <w:lang w:val="en-US" w:eastAsia="zh-CN"/>
        </w:rPr>
      </w:pPr>
      <w:r>
        <w:rPr>
          <w:rFonts w:hint="default" w:ascii="黑体" w:hAnsi="黑体" w:eastAsia="黑体" w:cs="黑体"/>
          <w:b w:val="0"/>
          <w:bCs w:val="0"/>
          <w:color w:val="auto"/>
          <w:sz w:val="32"/>
          <w:szCs w:val="32"/>
          <w:highlight w:val="none"/>
          <w:lang w:val="en-US" w:eastAsia="zh-CN"/>
        </w:rPr>
        <w:t>九、存在的问题及原因分析</w:t>
      </w:r>
    </w:p>
    <w:p w14:paraId="39A8ADB0">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部门预算编制需</w:t>
      </w:r>
      <w:r>
        <w:rPr>
          <w:rFonts w:hint="eastAsia" w:ascii="仿宋_GB2312" w:hAnsi="仿宋_GB2312" w:eastAsia="仿宋_GB2312" w:cs="仿宋_GB2312"/>
          <w:sz w:val="32"/>
          <w:szCs w:val="32"/>
          <w:lang w:val="en-US" w:eastAsia="zh-CN"/>
        </w:rPr>
        <w:t>进一步</w:t>
      </w:r>
      <w:r>
        <w:rPr>
          <w:rFonts w:hint="default" w:ascii="仿宋_GB2312" w:hAnsi="仿宋_GB2312" w:eastAsia="仿宋_GB2312" w:cs="仿宋_GB2312"/>
          <w:sz w:val="32"/>
          <w:szCs w:val="32"/>
          <w:lang w:val="en-US" w:eastAsia="zh-CN"/>
        </w:rPr>
        <w:t>提高精细度。</w:t>
      </w:r>
    </w:p>
    <w:p w14:paraId="682C7973">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黑体" w:hAnsi="黑体" w:eastAsia="黑体" w:cs="黑体"/>
          <w:b w:val="0"/>
          <w:bCs w:val="0"/>
          <w:color w:val="auto"/>
          <w:sz w:val="32"/>
          <w:szCs w:val="32"/>
          <w:highlight w:val="none"/>
          <w:lang w:val="en-US" w:eastAsia="zh-CN"/>
        </w:rPr>
      </w:pPr>
      <w:r>
        <w:rPr>
          <w:rFonts w:hint="default" w:ascii="黑体" w:hAnsi="黑体" w:eastAsia="黑体" w:cs="黑体"/>
          <w:b w:val="0"/>
          <w:bCs w:val="0"/>
          <w:color w:val="auto"/>
          <w:sz w:val="32"/>
          <w:szCs w:val="32"/>
          <w:highlight w:val="none"/>
          <w:lang w:val="en-US" w:eastAsia="zh-CN"/>
        </w:rPr>
        <w:t>十、下一步改进措施</w:t>
      </w:r>
    </w:p>
    <w:p w14:paraId="6F7E0C4D">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在今后的工作中我们将进一步加强对预算编制和执行的监督，提高预算管理水平。同时加强对科室预算执行情况的跟踪，及时发现并解决问题。提高项目绩效目标管理的执行力，提升项目绩效目标管理水平。</w:t>
      </w:r>
    </w:p>
    <w:p w14:paraId="50689F4D">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黑体" w:hAnsi="黑体" w:eastAsia="黑体" w:cs="黑体"/>
          <w:b w:val="0"/>
          <w:bCs w:val="0"/>
          <w:color w:val="auto"/>
          <w:sz w:val="32"/>
          <w:szCs w:val="32"/>
          <w:highlight w:val="none"/>
          <w:lang w:val="en-US" w:eastAsia="zh-CN"/>
        </w:rPr>
      </w:pPr>
      <w:r>
        <w:rPr>
          <w:rFonts w:hint="default" w:ascii="黑体" w:hAnsi="黑体" w:eastAsia="黑体" w:cs="黑体"/>
          <w:b w:val="0"/>
          <w:bCs w:val="0"/>
          <w:color w:val="auto"/>
          <w:sz w:val="32"/>
          <w:szCs w:val="32"/>
          <w:highlight w:val="none"/>
          <w:lang w:val="en-US" w:eastAsia="zh-CN"/>
        </w:rPr>
        <w:t>十一、绩效自评结果拟应用和公开情况</w:t>
      </w:r>
    </w:p>
    <w:p w14:paraId="7FC7EDE8">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将按规定公开自评结果，并将自评结果作为后续资金安排、项目申报和配置的重要依据</w:t>
      </w:r>
      <w:r>
        <w:rPr>
          <w:rFonts w:hint="default" w:ascii="仿宋_GB2312" w:hAnsi="仿宋_GB2312" w:eastAsia="仿宋_GB2312" w:cs="仿宋_GB2312"/>
          <w:sz w:val="32"/>
          <w:szCs w:val="32"/>
          <w:lang w:val="en-US" w:eastAsia="zh-CN"/>
        </w:rPr>
        <w:t>。</w:t>
      </w:r>
    </w:p>
    <w:p w14:paraId="7A22AC77">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黑体" w:hAnsi="黑体" w:eastAsia="黑体" w:cs="黑体"/>
          <w:b w:val="0"/>
          <w:bCs w:val="0"/>
          <w:color w:val="auto"/>
          <w:sz w:val="32"/>
          <w:szCs w:val="32"/>
          <w:highlight w:val="none"/>
          <w:lang w:val="en-US" w:eastAsia="zh-CN"/>
        </w:rPr>
      </w:pPr>
      <w:r>
        <w:rPr>
          <w:rFonts w:hint="default" w:ascii="黑体" w:hAnsi="黑体" w:eastAsia="黑体" w:cs="黑体"/>
          <w:b w:val="0"/>
          <w:bCs w:val="0"/>
          <w:color w:val="auto"/>
          <w:sz w:val="32"/>
          <w:szCs w:val="32"/>
          <w:highlight w:val="none"/>
          <w:lang w:val="en-US" w:eastAsia="zh-CN"/>
        </w:rPr>
        <w:t>十二、其他需要说明的情况</w:t>
      </w:r>
    </w:p>
    <w:p w14:paraId="0683A16C">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无。</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D7556E"/>
    <w:rsid w:val="030C07A3"/>
    <w:rsid w:val="0723298C"/>
    <w:rsid w:val="0F6320DC"/>
    <w:rsid w:val="10EE0BAB"/>
    <w:rsid w:val="1B2D1349"/>
    <w:rsid w:val="1E55228F"/>
    <w:rsid w:val="21D7556E"/>
    <w:rsid w:val="2FD37FF8"/>
    <w:rsid w:val="33ED3D18"/>
    <w:rsid w:val="47FE33D1"/>
    <w:rsid w:val="481A0C03"/>
    <w:rsid w:val="5DC30C17"/>
    <w:rsid w:val="5F6B51B5"/>
    <w:rsid w:val="664B4963"/>
    <w:rsid w:val="79BE0C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ind w:firstLine="664"/>
    </w:pPr>
  </w:style>
  <w:style w:type="paragraph" w:styleId="3">
    <w:name w:val="Body Text"/>
    <w:basedOn w:val="1"/>
    <w:qFormat/>
    <w:uiPriority w:val="0"/>
    <w:pPr>
      <w:spacing w:after="120" w:afterLines="0"/>
    </w:p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2950</Words>
  <Characters>3029</Characters>
  <Lines>0</Lines>
  <Paragraphs>0</Paragraphs>
  <TotalTime>16</TotalTime>
  <ScaleCrop>false</ScaleCrop>
  <LinksUpToDate>false</LinksUpToDate>
  <CharactersWithSpaces>3029</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2025-06-24T08:17:00Z</dcterms:created>
  <dc:creator>WPS_1697591619</dc:creator>
  <cp:lastModifiedBy>WPS_1697591619</cp:lastModifiedBy>
  <dcterms:modified xsi:type="dcterms:W3CDTF">2025-09-23T02:05:36Z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D8073DE71DA6436082933950BD12568E_11</vt:lpwstr>
  </property>
  <property fmtid="{D5CDD505-2E9C-101B-9397-08002B2CF9AE}" pid="4" name="KSOTemplateDocerSaveRecord">
    <vt:lpwstr>eyJoZGlkIjoiYjIzOWQzOGFlMDNjN2UzMmZiY2JlYjNjNzlmY2UyYTEiLCJ1c2VySWQiOiIxNTUxMjgzNzU4In0=</vt:lpwstr>
  </property>
</Properties>
</file>