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jc w:val="center"/>
        <w:rPr>
          <w:sz w:val="56"/>
          <w:szCs w:val="56"/>
        </w:rPr>
      </w:pPr>
      <w:bookmarkStart w:id="3" w:name="_GoBack"/>
      <w:bookmarkEnd w:id="3"/>
      <w:r>
        <w:rPr>
          <w:sz w:val="56"/>
        </w:rPr>
        <mc:AlternateContent>
          <mc:Choice Requires="wps">
            <w:drawing>
              <wp:anchor distT="0" distB="0" distL="114300" distR="114300" simplePos="0" relativeHeight="251659264" behindDoc="0" locked="0" layoutInCell="1" allowOverlap="1">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1"/>
                      <wps:spPr>
                        <a:xfrm>
                          <a:off x="1799590" y="935990"/>
                          <a:ext cx="1523365" cy="517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pt;margin-top:-23.4pt;height:40.75pt;width:119.95pt;z-index:251659264;mso-width-relative:page;mso-height-relative:page;" fillcolor="#FFFFFF [3201]" filled="t" stroked="f" coordsize="21600,21600" o:gfxdata="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BYAAABkcnMvUEsB&#10;AhQAFAAAAAgAh07iQHLwJlDWAAAACgEAAA8AAAAAAAAAAQAgAAAAOAAAAGRycy9kb3ducmV2Lnht&#10;bFBLAQIUABQAAAAIAIdO4kBHv5PHVwIAAJoEAAAOAAAAAAAAAAEAIAAAADsBAABkcnMvZTJvRG9j&#10;LnhtbFBLBQYAAAAABgAGAFkBAAAEBgAAAAA=&#10;">
                <v:fill on="t" focussize="0,0"/>
                <v:stroke on="f" weight="0.5pt"/>
                <v:imagedata o:title=""/>
                <o:lock v:ext="edit" aspectratio="f"/>
                <v:textbox>
                  <w:txbxContent>
                    <w:p>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v:textbox>
              </v:shape>
            </w:pict>
          </mc:Fallback>
        </mc:AlternateContent>
      </w:r>
    </w:p>
    <w:p>
      <w:pPr>
        <w:pStyle w:val="13"/>
        <w:jc w:val="center"/>
        <w:rPr>
          <w:sz w:val="56"/>
          <w:szCs w:val="56"/>
        </w:rPr>
      </w:pPr>
    </w:p>
    <w:p>
      <w:pPr>
        <w:pStyle w:val="13"/>
        <w:jc w:val="center"/>
        <w:rPr>
          <w:sz w:val="84"/>
          <w:szCs w:val="84"/>
        </w:rPr>
      </w:pPr>
    </w:p>
    <w:p>
      <w:pPr>
        <w:pStyle w:val="13"/>
        <w:jc w:val="center"/>
        <w:rPr>
          <w:sz w:val="84"/>
          <w:szCs w:val="84"/>
        </w:rPr>
      </w:pPr>
    </w:p>
    <w:p>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val="en-US" w:eastAsia="zh-CN"/>
        </w:rPr>
        <w:t>怀化市侨联</w:t>
      </w:r>
      <w:r>
        <w:rPr>
          <w:rFonts w:hint="eastAsia" w:ascii="方正小标宋_GBK" w:hAnsi="方正小标宋_GBK" w:eastAsia="方正小标宋_GBK" w:cs="方正小标宋_GBK"/>
          <w:sz w:val="84"/>
          <w:szCs w:val="84"/>
        </w:rPr>
        <w:t>部门决算</w:t>
      </w:r>
    </w:p>
    <w:p>
      <w:pPr>
        <w:pStyle w:val="13"/>
        <w:jc w:val="center"/>
        <w:rPr>
          <w:rFonts w:hint="eastAsia" w:ascii="方正小标宋_GBK" w:hAnsi="方正小标宋_GBK" w:eastAsia="方正小标宋_GBK" w:cs="方正小标宋_GBK"/>
          <w:sz w:val="56"/>
          <w:szCs w:val="56"/>
        </w:rPr>
      </w:pPr>
    </w:p>
    <w:p>
      <w:pPr>
        <w:pStyle w:val="13"/>
        <w:jc w:val="center"/>
        <w:rPr>
          <w:sz w:val="56"/>
          <w:szCs w:val="56"/>
        </w:rPr>
      </w:pPr>
    </w:p>
    <w:p>
      <w:pPr>
        <w:pStyle w:val="13"/>
        <w:jc w:val="center"/>
        <w:rPr>
          <w:sz w:val="56"/>
          <w:szCs w:val="56"/>
        </w:rPr>
      </w:pPr>
    </w:p>
    <w:p>
      <w:pPr>
        <w:pStyle w:val="13"/>
        <w:jc w:val="center"/>
        <w:rPr>
          <w:sz w:val="56"/>
          <w:szCs w:val="56"/>
        </w:rPr>
      </w:pPr>
    </w:p>
    <w:p>
      <w:pPr>
        <w:pStyle w:val="13"/>
        <w:jc w:val="center"/>
        <w:rPr>
          <w:sz w:val="32"/>
          <w:szCs w:val="32"/>
        </w:rPr>
      </w:pPr>
    </w:p>
    <w:p>
      <w:pPr>
        <w:pStyle w:val="13"/>
        <w:jc w:val="center"/>
        <w:rPr>
          <w:sz w:val="32"/>
          <w:szCs w:val="32"/>
        </w:rPr>
      </w:pPr>
    </w:p>
    <w:p>
      <w:pPr>
        <w:pStyle w:val="13"/>
        <w:jc w:val="center"/>
        <w:rPr>
          <w:sz w:val="32"/>
          <w:szCs w:val="32"/>
        </w:rPr>
      </w:pPr>
    </w:p>
    <w:p>
      <w:pPr>
        <w:pStyle w:val="13"/>
        <w:jc w:val="center"/>
        <w:rPr>
          <w:sz w:val="32"/>
          <w:szCs w:val="32"/>
        </w:rPr>
      </w:pPr>
    </w:p>
    <w:p>
      <w:pPr>
        <w:pStyle w:val="13"/>
        <w:jc w:val="center"/>
        <w:rPr>
          <w:sz w:val="32"/>
          <w:szCs w:val="32"/>
        </w:rPr>
      </w:pPr>
    </w:p>
    <w:p>
      <w:pPr>
        <w:pStyle w:val="13"/>
        <w:spacing w:line="540" w:lineRule="exact"/>
        <w:jc w:val="center"/>
        <w:rPr>
          <w:sz w:val="56"/>
          <w:szCs w:val="56"/>
        </w:rPr>
      </w:pPr>
    </w:p>
    <w:p>
      <w:pPr>
        <w:pStyle w:val="13"/>
        <w:spacing w:line="500" w:lineRule="exact"/>
        <w:jc w:val="both"/>
        <w:rPr>
          <w:b/>
          <w:sz w:val="36"/>
          <w:szCs w:val="28"/>
        </w:rPr>
      </w:pPr>
    </w:p>
    <w:p>
      <w:pPr>
        <w:pStyle w:val="13"/>
        <w:keepNext w:val="0"/>
        <w:keepLines w:val="0"/>
        <w:pageBreakBefore w:val="0"/>
        <w:widowControl w:val="0"/>
        <w:kinsoku/>
        <w:wordWrap/>
        <w:overflowPunct/>
        <w:topLinePunct w:val="0"/>
        <w:bidi w:val="0"/>
        <w:snapToGrid/>
        <w:spacing w:line="490" w:lineRule="exact"/>
        <w:jc w:val="center"/>
        <w:textAlignment w:val="auto"/>
        <w:rPr>
          <w:b/>
          <w:sz w:val="36"/>
          <w:szCs w:val="28"/>
        </w:rPr>
      </w:pPr>
      <w:r>
        <w:rPr>
          <w:rFonts w:hint="eastAsia"/>
          <w:b/>
          <w:sz w:val="36"/>
          <w:szCs w:val="28"/>
        </w:rPr>
        <w:t>目录</w:t>
      </w:r>
    </w:p>
    <w:p>
      <w:pPr>
        <w:pStyle w:val="13"/>
        <w:keepNext w:val="0"/>
        <w:keepLines w:val="0"/>
        <w:pageBreakBefore w:val="0"/>
        <w:widowControl w:val="0"/>
        <w:kinsoku/>
        <w:wordWrap/>
        <w:overflowPunct/>
        <w:topLinePunct w:val="0"/>
        <w:bidi w:val="0"/>
        <w:snapToGrid/>
        <w:spacing w:line="49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val="en-US" w:eastAsia="zh-CN"/>
        </w:rPr>
        <w:t>怀化市侨联</w:t>
      </w:r>
      <w:r>
        <w:rPr>
          <w:rFonts w:hint="eastAsia" w:ascii="黑体" w:hAnsi="黑体" w:eastAsia="黑体" w:cs="黑体"/>
          <w:b w:val="0"/>
          <w:bCs/>
          <w:sz w:val="28"/>
          <w:szCs w:val="28"/>
        </w:rPr>
        <w:t>概况</w:t>
      </w:r>
    </w:p>
    <w:p>
      <w:pPr>
        <w:pStyle w:val="13"/>
        <w:keepNext w:val="0"/>
        <w:keepLines w:val="0"/>
        <w:pageBreakBefore w:val="0"/>
        <w:widowControl w:val="0"/>
        <w:kinsoku/>
        <w:wordWrap/>
        <w:overflowPunct/>
        <w:topLinePunct w:val="0"/>
        <w:bidi w:val="0"/>
        <w:snapToGrid/>
        <w:spacing w:line="49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pPr>
        <w:pStyle w:val="13"/>
        <w:keepNext w:val="0"/>
        <w:keepLines w:val="0"/>
        <w:pageBreakBefore w:val="0"/>
        <w:widowControl w:val="0"/>
        <w:kinsoku/>
        <w:wordWrap/>
        <w:overflowPunct/>
        <w:topLinePunct w:val="0"/>
        <w:bidi w:val="0"/>
        <w:snapToGrid/>
        <w:spacing w:line="49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pPr>
        <w:pStyle w:val="13"/>
        <w:keepNext w:val="0"/>
        <w:keepLines w:val="0"/>
        <w:pageBreakBefore w:val="0"/>
        <w:widowControl w:val="0"/>
        <w:kinsoku/>
        <w:wordWrap/>
        <w:overflowPunct/>
        <w:topLinePunct w:val="0"/>
        <w:bidi w:val="0"/>
        <w:snapToGrid/>
        <w:spacing w:line="49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pPr>
        <w:pStyle w:val="13"/>
        <w:keepNext w:val="0"/>
        <w:keepLines w:val="0"/>
        <w:pageBreakBefore w:val="0"/>
        <w:widowControl w:val="0"/>
        <w:kinsoku/>
        <w:wordWrap/>
        <w:overflowPunct/>
        <w:topLinePunct w:val="0"/>
        <w:bidi w:val="0"/>
        <w:snapToGrid/>
        <w:spacing w:line="49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pPr>
        <w:pStyle w:val="13"/>
        <w:keepNext w:val="0"/>
        <w:keepLines w:val="0"/>
        <w:pageBreakBefore w:val="0"/>
        <w:widowControl w:val="0"/>
        <w:kinsoku/>
        <w:wordWrap/>
        <w:overflowPunct/>
        <w:topLinePunct w:val="0"/>
        <w:bidi w:val="0"/>
        <w:snapToGrid/>
        <w:spacing w:line="49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pPr>
        <w:pStyle w:val="13"/>
        <w:keepNext w:val="0"/>
        <w:keepLines w:val="0"/>
        <w:pageBreakBefore w:val="0"/>
        <w:widowControl w:val="0"/>
        <w:kinsoku/>
        <w:wordWrap/>
        <w:overflowPunct/>
        <w:topLinePunct w:val="0"/>
        <w:bidi w:val="0"/>
        <w:snapToGrid/>
        <w:spacing w:line="49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pPr>
        <w:pStyle w:val="13"/>
        <w:keepNext w:val="0"/>
        <w:keepLines w:val="0"/>
        <w:pageBreakBefore w:val="0"/>
        <w:widowControl w:val="0"/>
        <w:kinsoku/>
        <w:wordWrap/>
        <w:overflowPunct/>
        <w:topLinePunct w:val="0"/>
        <w:bidi w:val="0"/>
        <w:snapToGrid/>
        <w:spacing w:line="49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pPr>
        <w:pStyle w:val="13"/>
        <w:keepNext w:val="0"/>
        <w:keepLines w:val="0"/>
        <w:pageBreakBefore w:val="0"/>
        <w:widowControl w:val="0"/>
        <w:kinsoku/>
        <w:wordWrap/>
        <w:overflowPunct/>
        <w:topLinePunct w:val="0"/>
        <w:bidi w:val="0"/>
        <w:snapToGrid/>
        <w:spacing w:line="49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pPr>
        <w:pStyle w:val="13"/>
        <w:keepNext w:val="0"/>
        <w:keepLines w:val="0"/>
        <w:pageBreakBefore w:val="0"/>
        <w:widowControl w:val="0"/>
        <w:kinsoku/>
        <w:wordWrap/>
        <w:overflowPunct/>
        <w:topLinePunct w:val="0"/>
        <w:bidi w:val="0"/>
        <w:snapToGrid/>
        <w:spacing w:line="49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pPr>
        <w:pStyle w:val="13"/>
        <w:keepNext w:val="0"/>
        <w:keepLines w:val="0"/>
        <w:pageBreakBefore w:val="0"/>
        <w:widowControl w:val="0"/>
        <w:kinsoku/>
        <w:wordWrap/>
        <w:overflowPunct/>
        <w:topLinePunct w:val="0"/>
        <w:bidi w:val="0"/>
        <w:snapToGrid/>
        <w:spacing w:line="49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pPr>
        <w:pStyle w:val="13"/>
        <w:keepNext w:val="0"/>
        <w:keepLines w:val="0"/>
        <w:pageBreakBefore w:val="0"/>
        <w:widowControl w:val="0"/>
        <w:kinsoku/>
        <w:wordWrap/>
        <w:overflowPunct/>
        <w:topLinePunct w:val="0"/>
        <w:bidi w:val="0"/>
        <w:snapToGrid/>
        <w:spacing w:line="49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pPr>
        <w:pStyle w:val="13"/>
        <w:keepNext w:val="0"/>
        <w:keepLines w:val="0"/>
        <w:pageBreakBefore w:val="0"/>
        <w:widowControl w:val="0"/>
        <w:kinsoku/>
        <w:wordWrap/>
        <w:overflowPunct/>
        <w:topLinePunct w:val="0"/>
        <w:bidi w:val="0"/>
        <w:snapToGrid/>
        <w:spacing w:line="49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pPr>
        <w:pStyle w:val="13"/>
        <w:keepNext w:val="0"/>
        <w:keepLines w:val="0"/>
        <w:pageBreakBefore w:val="0"/>
        <w:widowControl w:val="0"/>
        <w:kinsoku/>
        <w:wordWrap/>
        <w:overflowPunct/>
        <w:topLinePunct w:val="0"/>
        <w:bidi w:val="0"/>
        <w:snapToGrid/>
        <w:spacing w:line="49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pPr>
        <w:pStyle w:val="13"/>
        <w:keepNext w:val="0"/>
        <w:keepLines w:val="0"/>
        <w:pageBreakBefore w:val="0"/>
        <w:widowControl w:val="0"/>
        <w:kinsoku/>
        <w:wordWrap/>
        <w:overflowPunct/>
        <w:topLinePunct w:val="0"/>
        <w:bidi w:val="0"/>
        <w:snapToGrid/>
        <w:spacing w:line="49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pPr>
        <w:keepNext w:val="0"/>
        <w:keepLines w:val="0"/>
        <w:pageBreakBefore w:val="0"/>
        <w:widowControl w:val="0"/>
        <w:kinsoku/>
        <w:wordWrap/>
        <w:overflowPunct/>
        <w:topLinePunct w:val="0"/>
        <w:bidi w:val="0"/>
        <w:snapToGrid/>
        <w:spacing w:line="490" w:lineRule="exact"/>
        <w:ind w:firstLine="700" w:firstLineChars="25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pPr>
        <w:keepNext w:val="0"/>
        <w:keepLines w:val="0"/>
        <w:pageBreakBefore w:val="0"/>
        <w:widowControl w:val="0"/>
        <w:kinsoku/>
        <w:wordWrap/>
        <w:overflowPunct/>
        <w:topLinePunct w:val="0"/>
        <w:autoSpaceDE w:val="0"/>
        <w:autoSpaceDN w:val="0"/>
        <w:bidi w:val="0"/>
        <w:adjustRightInd w:val="0"/>
        <w:snapToGrid/>
        <w:spacing w:line="49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pPr>
        <w:keepNext w:val="0"/>
        <w:keepLines w:val="0"/>
        <w:pageBreakBefore w:val="0"/>
        <w:widowControl w:val="0"/>
        <w:kinsoku/>
        <w:wordWrap/>
        <w:overflowPunct/>
        <w:topLinePunct w:val="0"/>
        <w:autoSpaceDE w:val="0"/>
        <w:autoSpaceDN w:val="0"/>
        <w:bidi w:val="0"/>
        <w:adjustRightInd w:val="0"/>
        <w:snapToGrid/>
        <w:spacing w:line="49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pPr>
        <w:keepNext w:val="0"/>
        <w:keepLines w:val="0"/>
        <w:pageBreakBefore w:val="0"/>
        <w:widowControl w:val="0"/>
        <w:kinsoku/>
        <w:wordWrap/>
        <w:overflowPunct/>
        <w:topLinePunct w:val="0"/>
        <w:autoSpaceDE w:val="0"/>
        <w:autoSpaceDN w:val="0"/>
        <w:bidi w:val="0"/>
        <w:adjustRightInd w:val="0"/>
        <w:snapToGrid/>
        <w:spacing w:line="49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pPr>
        <w:keepNext w:val="0"/>
        <w:keepLines w:val="0"/>
        <w:pageBreakBefore w:val="0"/>
        <w:widowControl w:val="0"/>
        <w:kinsoku/>
        <w:wordWrap/>
        <w:overflowPunct/>
        <w:topLinePunct w:val="0"/>
        <w:autoSpaceDE w:val="0"/>
        <w:autoSpaceDN w:val="0"/>
        <w:bidi w:val="0"/>
        <w:adjustRightInd w:val="0"/>
        <w:snapToGrid/>
        <w:spacing w:line="49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pPr>
        <w:keepNext w:val="0"/>
        <w:keepLines w:val="0"/>
        <w:pageBreakBefore w:val="0"/>
        <w:widowControl w:val="0"/>
        <w:kinsoku/>
        <w:wordWrap/>
        <w:overflowPunct/>
        <w:topLinePunct w:val="0"/>
        <w:autoSpaceDE w:val="0"/>
        <w:autoSpaceDN w:val="0"/>
        <w:bidi w:val="0"/>
        <w:adjustRightInd w:val="0"/>
        <w:snapToGrid/>
        <w:spacing w:line="49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pPr>
        <w:keepNext w:val="0"/>
        <w:keepLines w:val="0"/>
        <w:pageBreakBefore w:val="0"/>
        <w:widowControl w:val="0"/>
        <w:kinsoku/>
        <w:wordWrap/>
        <w:overflowPunct/>
        <w:topLinePunct w:val="0"/>
        <w:autoSpaceDE w:val="0"/>
        <w:autoSpaceDN w:val="0"/>
        <w:bidi w:val="0"/>
        <w:adjustRightInd w:val="0"/>
        <w:snapToGrid/>
        <w:spacing w:line="49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pPr>
        <w:keepNext w:val="0"/>
        <w:keepLines w:val="0"/>
        <w:pageBreakBefore w:val="0"/>
        <w:widowControl w:val="0"/>
        <w:kinsoku/>
        <w:wordWrap/>
        <w:overflowPunct/>
        <w:topLinePunct w:val="0"/>
        <w:autoSpaceDE w:val="0"/>
        <w:autoSpaceDN w:val="0"/>
        <w:bidi w:val="0"/>
        <w:adjustRightInd w:val="0"/>
        <w:snapToGrid/>
        <w:spacing w:line="490" w:lineRule="exact"/>
        <w:ind w:firstLine="700" w:firstLineChars="250"/>
        <w:jc w:val="left"/>
        <w:textAlignment w:val="auto"/>
        <w:rPr>
          <w:rFonts w:hint="eastAsia" w:ascii="仿宋_GB2312" w:hAnsi="仿宋_GB2312" w:eastAsia="仿宋_GB2312" w:cs="仿宋_GB2312"/>
          <w:color w:val="000000"/>
          <w:kern w:val="0"/>
          <w:sz w:val="28"/>
          <w:szCs w:val="28"/>
          <w:lang w:val="en-US" w:eastAsia="zh-CN"/>
        </w:rPr>
      </w:pPr>
      <w:r>
        <w:rPr>
          <w:rFonts w:hint="default" w:ascii="仿宋_GB2312" w:hAnsi="仿宋_GB2312" w:eastAsia="仿宋_GB2312" w:cs="仿宋_GB2312"/>
          <w:color w:val="000000"/>
          <w:kern w:val="0"/>
          <w:sz w:val="28"/>
          <w:szCs w:val="28"/>
          <w:lang w:val="en-US" w:eastAsia="zh-CN"/>
        </w:rPr>
        <w:t>九、国有资本经营预算收入支出决算情况</w:t>
      </w:r>
    </w:p>
    <w:p>
      <w:pPr>
        <w:keepNext w:val="0"/>
        <w:keepLines w:val="0"/>
        <w:pageBreakBefore w:val="0"/>
        <w:widowControl w:val="0"/>
        <w:kinsoku/>
        <w:wordWrap/>
        <w:overflowPunct/>
        <w:topLinePunct w:val="0"/>
        <w:autoSpaceDE w:val="0"/>
        <w:autoSpaceDN w:val="0"/>
        <w:bidi w:val="0"/>
        <w:adjustRightInd w:val="0"/>
        <w:snapToGrid/>
        <w:spacing w:line="49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rPr>
        <w:t>十</w:t>
      </w:r>
      <w:r>
        <w:rPr>
          <w:rFonts w:hint="eastAsia" w:ascii="仿宋_GB2312" w:hAnsi="仿宋_GB2312" w:eastAsia="仿宋_GB2312" w:cs="仿宋_GB2312"/>
          <w:color w:val="000000"/>
          <w:kern w:val="0"/>
          <w:sz w:val="28"/>
          <w:szCs w:val="28"/>
        </w:rPr>
        <w:t>、关于机关运行经费支出说明</w:t>
      </w:r>
    </w:p>
    <w:p>
      <w:pPr>
        <w:keepNext w:val="0"/>
        <w:keepLines w:val="0"/>
        <w:pageBreakBefore w:val="0"/>
        <w:widowControl w:val="0"/>
        <w:kinsoku/>
        <w:wordWrap/>
        <w:overflowPunct/>
        <w:topLinePunct w:val="0"/>
        <w:autoSpaceDE w:val="0"/>
        <w:autoSpaceDN w:val="0"/>
        <w:bidi w:val="0"/>
        <w:adjustRightInd w:val="0"/>
        <w:snapToGrid/>
        <w:spacing w:line="49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val="en-US" w:eastAsia="zh-CN"/>
        </w:rPr>
        <w:t>一</w:t>
      </w:r>
      <w:r>
        <w:rPr>
          <w:rFonts w:hint="eastAsia" w:ascii="仿宋_GB2312" w:hAnsi="仿宋_GB2312" w:eastAsia="仿宋_GB2312" w:cs="仿宋_GB2312"/>
          <w:color w:val="000000"/>
          <w:kern w:val="0"/>
          <w:sz w:val="28"/>
          <w:szCs w:val="28"/>
        </w:rPr>
        <w:t>、一般性支出情况说明</w:t>
      </w:r>
    </w:p>
    <w:p>
      <w:pPr>
        <w:keepNext w:val="0"/>
        <w:keepLines w:val="0"/>
        <w:pageBreakBefore w:val="0"/>
        <w:widowControl w:val="0"/>
        <w:kinsoku/>
        <w:wordWrap/>
        <w:overflowPunct/>
        <w:topLinePunct w:val="0"/>
        <w:autoSpaceDE w:val="0"/>
        <w:autoSpaceDN w:val="0"/>
        <w:bidi w:val="0"/>
        <w:adjustRightInd w:val="0"/>
        <w:snapToGrid/>
        <w:spacing w:line="49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val="en-US" w:eastAsia="zh-CN"/>
        </w:rPr>
        <w:t>二</w:t>
      </w:r>
      <w:r>
        <w:rPr>
          <w:rFonts w:hint="eastAsia" w:ascii="仿宋_GB2312" w:hAnsi="仿宋_GB2312" w:eastAsia="仿宋_GB2312" w:cs="仿宋_GB2312"/>
          <w:color w:val="000000"/>
          <w:kern w:val="0"/>
          <w:sz w:val="28"/>
          <w:szCs w:val="28"/>
        </w:rPr>
        <w:t>、关于政府采购支出说明</w:t>
      </w:r>
    </w:p>
    <w:p>
      <w:pPr>
        <w:pStyle w:val="13"/>
        <w:keepNext w:val="0"/>
        <w:keepLines w:val="0"/>
        <w:pageBreakBefore w:val="0"/>
        <w:widowControl w:val="0"/>
        <w:kinsoku/>
        <w:wordWrap/>
        <w:overflowPunct/>
        <w:topLinePunct w:val="0"/>
        <w:bidi w:val="0"/>
        <w:snapToGrid/>
        <w:spacing w:line="49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val="en-US" w:eastAsia="zh-CN"/>
        </w:rPr>
        <w:t>三</w:t>
      </w:r>
      <w:r>
        <w:rPr>
          <w:rFonts w:hint="eastAsia" w:ascii="仿宋_GB2312" w:hAnsi="仿宋_GB2312" w:eastAsia="仿宋_GB2312" w:cs="仿宋_GB2312"/>
          <w:sz w:val="28"/>
          <w:szCs w:val="28"/>
        </w:rPr>
        <w:t>、关于国有资产占用情况说明</w:t>
      </w:r>
    </w:p>
    <w:p>
      <w:pPr>
        <w:pStyle w:val="13"/>
        <w:keepNext w:val="0"/>
        <w:keepLines w:val="0"/>
        <w:pageBreakBefore w:val="0"/>
        <w:widowControl w:val="0"/>
        <w:kinsoku/>
        <w:wordWrap/>
        <w:overflowPunct/>
        <w:topLinePunct w:val="0"/>
        <w:bidi w:val="0"/>
        <w:snapToGrid/>
        <w:spacing w:line="49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val="en-US" w:eastAsia="zh-CN"/>
        </w:rPr>
        <w:t>四</w:t>
      </w:r>
      <w:r>
        <w:rPr>
          <w:rFonts w:hint="eastAsia" w:ascii="仿宋_GB2312" w:hAnsi="仿宋_GB2312" w:eastAsia="仿宋_GB2312" w:cs="仿宋_GB2312"/>
          <w:sz w:val="28"/>
          <w:szCs w:val="28"/>
        </w:rPr>
        <w:t>、关于</w:t>
      </w:r>
      <w:r>
        <w:rPr>
          <w:rFonts w:hint="default" w:ascii="Times New Roman" w:hAnsi="Times New Roman" w:eastAsia="仿宋_GB2312" w:cs="Times New Roman"/>
          <w:sz w:val="28"/>
          <w:szCs w:val="28"/>
        </w:rPr>
        <w:t>202</w:t>
      </w:r>
      <w:r>
        <w:rPr>
          <w:rFonts w:hint="default" w:ascii="Times New Roman" w:hAnsi="Times New Roman" w:eastAsia="仿宋_GB2312" w:cs="Times New Roman"/>
          <w:sz w:val="28"/>
          <w:szCs w:val="28"/>
          <w:lang w:val="en-US" w:eastAsia="zh-CN"/>
        </w:rPr>
        <w:t>3</w:t>
      </w:r>
      <w:r>
        <w:rPr>
          <w:rFonts w:hint="eastAsia" w:ascii="仿宋_GB2312" w:hAnsi="仿宋_GB2312" w:eastAsia="仿宋_GB2312" w:cs="仿宋_GB2312"/>
          <w:sz w:val="28"/>
          <w:szCs w:val="28"/>
        </w:rPr>
        <w:t>年度</w:t>
      </w:r>
      <w:r>
        <w:rPr>
          <w:rFonts w:hint="eastAsia" w:ascii="仿宋_GB2312" w:hAnsi="仿宋_GB2312" w:eastAsia="仿宋_GB2312" w:cs="仿宋_GB2312"/>
          <w:sz w:val="28"/>
          <w:szCs w:val="28"/>
          <w:lang w:eastAsia="zh-CN"/>
        </w:rPr>
        <w:t>预算</w:t>
      </w:r>
      <w:r>
        <w:rPr>
          <w:rFonts w:hint="eastAsia" w:ascii="仿宋_GB2312" w:hAnsi="仿宋_GB2312" w:eastAsia="仿宋_GB2312" w:cs="仿宋_GB2312"/>
          <w:sz w:val="28"/>
          <w:szCs w:val="28"/>
        </w:rPr>
        <w:t>绩效情况的说明</w:t>
      </w:r>
    </w:p>
    <w:p>
      <w:pPr>
        <w:pStyle w:val="13"/>
        <w:keepNext w:val="0"/>
        <w:keepLines w:val="0"/>
        <w:pageBreakBefore w:val="0"/>
        <w:widowControl w:val="0"/>
        <w:kinsoku/>
        <w:wordWrap/>
        <w:overflowPunct/>
        <w:topLinePunct w:val="0"/>
        <w:bidi w:val="0"/>
        <w:snapToGrid/>
        <w:spacing w:line="49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pPr>
        <w:pStyle w:val="13"/>
        <w:keepNext w:val="0"/>
        <w:keepLines w:val="0"/>
        <w:pageBreakBefore w:val="0"/>
        <w:widowControl w:val="0"/>
        <w:kinsoku/>
        <w:wordWrap/>
        <w:overflowPunct/>
        <w:topLinePunct w:val="0"/>
        <w:bidi w:val="0"/>
        <w:snapToGrid/>
        <w:spacing w:line="490" w:lineRule="exact"/>
        <w:textAlignment w:val="auto"/>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pPr>
        <w:pStyle w:val="13"/>
        <w:spacing w:line="500" w:lineRule="exact"/>
        <w:rPr>
          <w:rFonts w:hint="eastAsia" w:ascii="黑体" w:hAnsi="黑体" w:eastAsia="黑体" w:cs="黑体"/>
          <w:b w:val="0"/>
          <w:bCs/>
          <w:sz w:val="28"/>
          <w:szCs w:val="28"/>
        </w:rPr>
      </w:pPr>
    </w:p>
    <w:p>
      <w:pPr>
        <w:jc w:val="center"/>
        <w:rPr>
          <w:sz w:val="72"/>
          <w:szCs w:val="72"/>
        </w:rPr>
      </w:pPr>
    </w:p>
    <w:p>
      <w:pPr>
        <w:jc w:val="center"/>
        <w:rPr>
          <w:sz w:val="72"/>
          <w:szCs w:val="72"/>
        </w:rPr>
      </w:pPr>
    </w:p>
    <w:p>
      <w:pPr>
        <w:rPr>
          <w:rFonts w:hint="eastAsia" w:ascii="方正小标宋_GBK" w:hAnsi="方正小标宋_GBK" w:eastAsia="方正小标宋_GBK" w:cs="方正小标宋_GBK"/>
          <w:sz w:val="72"/>
          <w:szCs w:val="72"/>
        </w:rPr>
      </w:pPr>
    </w:p>
    <w:p>
      <w:pPr>
        <w:pStyle w:val="8"/>
        <w:rPr>
          <w:rFonts w:hint="eastAsia" w:ascii="方正小标宋_GBK" w:hAnsi="方正小标宋_GBK" w:eastAsia="方正小标宋_GBK" w:cs="方正小标宋_GBK"/>
          <w:sz w:val="72"/>
          <w:szCs w:val="72"/>
        </w:rPr>
      </w:pPr>
    </w:p>
    <w:p>
      <w:pPr>
        <w:pStyle w:val="2"/>
        <w:rPr>
          <w:rFonts w:hint="eastAsia"/>
        </w:rPr>
      </w:pPr>
    </w:p>
    <w:p>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pPr>
        <w:pStyle w:val="13"/>
        <w:jc w:val="center"/>
        <w:rPr>
          <w:rFonts w:hint="eastAsia" w:ascii="方正小标宋_GBK" w:hAnsi="方正小标宋_GBK" w:eastAsia="方正小标宋_GBK" w:cs="方正小标宋_GBK"/>
          <w:sz w:val="84"/>
          <w:szCs w:val="84"/>
        </w:rPr>
      </w:pPr>
    </w:p>
    <w:p>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val="en-US" w:eastAsia="zh-CN"/>
        </w:rPr>
        <w:t>怀化市侨联</w:t>
      </w:r>
      <w:r>
        <w:rPr>
          <w:rFonts w:hint="eastAsia" w:ascii="方正小标宋_GBK" w:hAnsi="方正小标宋_GBK" w:eastAsia="方正小标宋_GBK" w:cs="方正小标宋_GBK"/>
          <w:sz w:val="84"/>
          <w:szCs w:val="84"/>
        </w:rPr>
        <w:t>概况</w:t>
      </w:r>
    </w:p>
    <w:p>
      <w:pPr>
        <w:jc w:val="center"/>
        <w:rPr>
          <w:rFonts w:hint="eastAsia" w:ascii="方正小标宋_GBK" w:hAnsi="方正小标宋_GBK" w:eastAsia="方正小标宋_GBK" w:cs="方正小标宋_GBK"/>
          <w:sz w:val="72"/>
          <w:szCs w:val="72"/>
        </w:rPr>
      </w:pPr>
    </w:p>
    <w:p>
      <w:pPr>
        <w:jc w:val="center"/>
        <w:rPr>
          <w:rFonts w:hint="eastAsia" w:ascii="方正小标宋_GBK" w:hAnsi="方正小标宋_GBK" w:eastAsia="方正小标宋_GBK" w:cs="方正小标宋_GBK"/>
          <w:sz w:val="72"/>
          <w:szCs w:val="72"/>
        </w:rPr>
      </w:pPr>
    </w:p>
    <w:p>
      <w:pPr>
        <w:jc w:val="center"/>
        <w:rPr>
          <w:sz w:val="72"/>
          <w:szCs w:val="72"/>
        </w:rPr>
      </w:pPr>
    </w:p>
    <w:p>
      <w:pPr>
        <w:jc w:val="center"/>
        <w:rPr>
          <w:sz w:val="72"/>
          <w:szCs w:val="72"/>
        </w:rPr>
      </w:pPr>
    </w:p>
    <w:p>
      <w:pPr>
        <w:jc w:val="center"/>
        <w:rPr>
          <w:sz w:val="72"/>
          <w:szCs w:val="72"/>
        </w:rPr>
      </w:pPr>
    </w:p>
    <w:p>
      <w:pPr>
        <w:pStyle w:val="14"/>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pPr>
        <w:ind w:firstLine="640" w:firstLineChars="200"/>
        <w:jc w:val="lef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（一）</w:t>
      </w:r>
      <w:r>
        <w:rPr>
          <w:rFonts w:hint="eastAsia" w:ascii="仿宋" w:hAnsi="仿宋" w:eastAsia="仿宋" w:cs="仿宋"/>
          <w:bCs/>
          <w:kern w:val="0"/>
          <w:sz w:val="32"/>
          <w:szCs w:val="32"/>
        </w:rPr>
        <w:t>宣传、贯彻党和政府的方针、政策，团结和动员归侨、侨眷积极参与我市发展建设。围绕经济建设，凝聚侨心，发挥侨力，引进资金、技术、设备和人才，协助和联络海外侨胞来怀投资兴办实业以及各种公益事业，为侨资企业、侨属企业提供服务。</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Cs/>
          <w:kern w:val="0"/>
          <w:sz w:val="32"/>
          <w:szCs w:val="32"/>
        </w:rPr>
      </w:pPr>
      <w:r>
        <w:rPr>
          <w:rFonts w:hint="eastAsia" w:ascii="仿宋" w:hAnsi="仿宋" w:eastAsia="仿宋" w:cs="仿宋"/>
          <w:bCs/>
          <w:kern w:val="0"/>
          <w:sz w:val="32"/>
          <w:szCs w:val="32"/>
        </w:rPr>
        <w:t>（二）教育、引导归侨、侨眷遵守我国宪法和法律，依法维护归侨、侨眷的合法权益，保障各级侨联依法开展活动，为广大归侨、侨眷和侨胞提供法律咨询服务。</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Cs/>
          <w:kern w:val="0"/>
          <w:sz w:val="32"/>
          <w:szCs w:val="32"/>
        </w:rPr>
      </w:pPr>
      <w:r>
        <w:rPr>
          <w:rFonts w:hint="eastAsia" w:ascii="仿宋" w:hAnsi="仿宋" w:eastAsia="仿宋" w:cs="仿宋"/>
          <w:bCs/>
          <w:kern w:val="0"/>
          <w:sz w:val="32"/>
          <w:szCs w:val="32"/>
        </w:rPr>
        <w:t>（三）密切与海外侨胞及其社团的联系，广泛了解归侨、侨眷和海外侨胞的意见和要求，为党和政府制定侨务政策提出建议和意见。</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Cs/>
          <w:kern w:val="0"/>
          <w:sz w:val="32"/>
          <w:szCs w:val="32"/>
        </w:rPr>
      </w:pPr>
      <w:r>
        <w:rPr>
          <w:rFonts w:hint="eastAsia" w:ascii="仿宋" w:hAnsi="仿宋" w:eastAsia="仿宋" w:cs="仿宋"/>
          <w:bCs/>
          <w:kern w:val="0"/>
          <w:sz w:val="32"/>
          <w:szCs w:val="32"/>
        </w:rPr>
        <w:t>（四）积极参政议政，参与人大、政协的侨界代表、委员人选的协调和推荐。关注社会热点难点问题，积极反映侨界声音，推动社会政治、经济发展。</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Cs/>
          <w:kern w:val="0"/>
          <w:sz w:val="32"/>
          <w:szCs w:val="32"/>
        </w:rPr>
      </w:pPr>
      <w:r>
        <w:rPr>
          <w:rFonts w:hint="eastAsia" w:ascii="仿宋" w:hAnsi="仿宋" w:eastAsia="仿宋" w:cs="仿宋"/>
          <w:bCs/>
          <w:kern w:val="0"/>
          <w:sz w:val="32"/>
          <w:szCs w:val="32"/>
        </w:rPr>
        <w:t>（五）积极弘扬中华文化，大力开展海外文化交流活动。</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Cs/>
          <w:kern w:val="0"/>
          <w:sz w:val="32"/>
          <w:szCs w:val="32"/>
        </w:rPr>
      </w:pPr>
      <w:r>
        <w:rPr>
          <w:rFonts w:hint="eastAsia" w:ascii="仿宋" w:hAnsi="仿宋" w:eastAsia="仿宋" w:cs="仿宋"/>
          <w:bCs/>
          <w:kern w:val="0"/>
          <w:sz w:val="32"/>
          <w:szCs w:val="32"/>
        </w:rPr>
        <w:t>（六）积极开展侨务对台，促进早日完成祖国统一。</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Cs/>
          <w:kern w:val="0"/>
          <w:sz w:val="32"/>
          <w:szCs w:val="32"/>
        </w:rPr>
      </w:pPr>
      <w:r>
        <w:rPr>
          <w:rFonts w:hint="eastAsia" w:ascii="仿宋" w:hAnsi="仿宋" w:eastAsia="仿宋" w:cs="仿宋"/>
          <w:bCs/>
          <w:kern w:val="0"/>
          <w:sz w:val="32"/>
          <w:szCs w:val="32"/>
        </w:rPr>
        <w:t>（七）积极联系港澳同胞，促进港澳持久繁荣稳定，维护祖国统一大业。</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Cs/>
          <w:kern w:val="0"/>
          <w:sz w:val="32"/>
          <w:szCs w:val="32"/>
        </w:rPr>
      </w:pPr>
      <w:r>
        <w:rPr>
          <w:rFonts w:hint="eastAsia" w:ascii="仿宋" w:hAnsi="仿宋" w:eastAsia="仿宋" w:cs="仿宋"/>
          <w:bCs/>
          <w:kern w:val="0"/>
          <w:sz w:val="32"/>
          <w:szCs w:val="32"/>
        </w:rPr>
        <w:t>（八）负责海外留学归国人员联络工作，指导创业、就业。</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Cs/>
          <w:kern w:val="0"/>
          <w:sz w:val="32"/>
          <w:szCs w:val="32"/>
        </w:rPr>
      </w:pPr>
      <w:r>
        <w:rPr>
          <w:rFonts w:hint="eastAsia" w:ascii="仿宋" w:hAnsi="仿宋" w:eastAsia="仿宋" w:cs="仿宋"/>
          <w:bCs/>
          <w:kern w:val="0"/>
          <w:sz w:val="32"/>
          <w:szCs w:val="32"/>
        </w:rPr>
        <w:t>（九）制订全市侨联工作计划和发展规划，并组织实施；负责全市归侨、侨眷代表大会及其委员会的决议、决定的实施。</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Cs/>
          <w:kern w:val="0"/>
          <w:sz w:val="32"/>
          <w:szCs w:val="32"/>
        </w:rPr>
      </w:pPr>
      <w:r>
        <w:rPr>
          <w:rFonts w:hint="eastAsia" w:ascii="仿宋" w:hAnsi="仿宋" w:eastAsia="仿宋" w:cs="仿宋"/>
          <w:bCs/>
          <w:kern w:val="0"/>
          <w:sz w:val="32"/>
          <w:szCs w:val="32"/>
        </w:rPr>
        <w:t>（十）负责市侨联所属事业单位的有关管理工作。</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Cs/>
          <w:kern w:val="0"/>
          <w:sz w:val="32"/>
          <w:szCs w:val="32"/>
        </w:rPr>
      </w:pPr>
      <w:r>
        <w:rPr>
          <w:rFonts w:hint="eastAsia" w:ascii="仿宋" w:hAnsi="仿宋" w:eastAsia="仿宋" w:cs="仿宋"/>
          <w:bCs/>
          <w:kern w:val="0"/>
          <w:sz w:val="32"/>
          <w:szCs w:val="32"/>
        </w:rPr>
        <w:t>（十一）指导全市侨联组织的业务工作。</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rPr>
      </w:pPr>
      <w:r>
        <w:rPr>
          <w:rFonts w:hint="eastAsia" w:ascii="仿宋" w:hAnsi="仿宋" w:eastAsia="仿宋" w:cs="仿宋"/>
          <w:bCs/>
          <w:kern w:val="0"/>
          <w:sz w:val="32"/>
          <w:szCs w:val="32"/>
        </w:rPr>
        <w:t>（十二）承办市委、市政府交办的其他事项。</w:t>
      </w:r>
    </w:p>
    <w:p>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pPr>
        <w:widowControl/>
        <w:spacing w:line="600" w:lineRule="exact"/>
        <w:ind w:firstLine="640" w:firstLineChars="200"/>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（一）内设机构设置。</w:t>
      </w:r>
      <w:r>
        <w:rPr>
          <w:rFonts w:hint="eastAsia" w:ascii="仿宋" w:hAnsi="仿宋" w:eastAsia="仿宋" w:cs="仿宋"/>
          <w:bCs/>
          <w:kern w:val="0"/>
          <w:sz w:val="32"/>
          <w:szCs w:val="32"/>
        </w:rPr>
        <w:t>怀化市归国华侨联合会为一级预算单位，内设机构包括：综合科和业务科。并下辖正科级事业单位“怀化市侨务服务中心”，全额拨款事业，无独立财务核算。</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Cs/>
          <w:kern w:val="0"/>
          <w:sz w:val="32"/>
          <w:szCs w:val="32"/>
        </w:rPr>
      </w:pPr>
      <w:r>
        <w:rPr>
          <w:rFonts w:hint="eastAsia" w:ascii="Times New Roman" w:hAnsi="Times New Roman" w:eastAsia="仿宋_GB2312" w:cs="仿宋_GB2312"/>
          <w:bCs/>
          <w:kern w:val="0"/>
          <w:sz w:val="32"/>
          <w:szCs w:val="32"/>
        </w:rPr>
        <w:t>（二）决算单位构成。</w:t>
      </w:r>
      <w:r>
        <w:rPr>
          <w:rFonts w:hint="eastAsia" w:ascii="仿宋" w:hAnsi="仿宋" w:eastAsia="仿宋" w:cs="仿宋"/>
          <w:bCs/>
          <w:kern w:val="0"/>
          <w:sz w:val="32"/>
          <w:szCs w:val="32"/>
        </w:rPr>
        <w:t>市侨联202</w:t>
      </w:r>
      <w:r>
        <w:rPr>
          <w:rFonts w:hint="default" w:ascii="仿宋" w:hAnsi="仿宋" w:eastAsia="仿宋" w:cs="仿宋"/>
          <w:bCs/>
          <w:kern w:val="0"/>
          <w:sz w:val="32"/>
          <w:szCs w:val="32"/>
        </w:rPr>
        <w:t>2</w:t>
      </w:r>
      <w:r>
        <w:rPr>
          <w:rFonts w:hint="eastAsia" w:ascii="仿宋" w:hAnsi="仿宋" w:eastAsia="仿宋" w:cs="仿宋"/>
          <w:bCs/>
          <w:kern w:val="0"/>
          <w:sz w:val="32"/>
          <w:szCs w:val="32"/>
        </w:rPr>
        <w:t>年部门决算汇总公开单位构成包括：怀化市归国华侨联合会本级一个</w:t>
      </w:r>
      <w:r>
        <w:rPr>
          <w:rFonts w:hint="eastAsia" w:ascii="仿宋" w:hAnsi="仿宋" w:eastAsia="仿宋" w:cs="仿宋"/>
          <w:bCs/>
          <w:kern w:val="0"/>
          <w:sz w:val="32"/>
          <w:szCs w:val="32"/>
          <w:lang w:val="en-US" w:eastAsia="zh-CN"/>
        </w:rPr>
        <w:t>,为一级预算单位</w:t>
      </w:r>
      <w:r>
        <w:rPr>
          <w:rFonts w:hint="eastAsia" w:ascii="仿宋" w:hAnsi="仿宋" w:eastAsia="仿宋" w:cs="仿宋"/>
          <w:bCs/>
          <w:kern w:val="0"/>
          <w:sz w:val="32"/>
          <w:szCs w:val="32"/>
        </w:rPr>
        <w:t>。</w:t>
      </w:r>
    </w:p>
    <w:p>
      <w:pPr>
        <w:widowControl/>
        <w:spacing w:line="600" w:lineRule="exact"/>
        <w:rPr>
          <w:rFonts w:hint="eastAsia" w:ascii="Times New Roman" w:hAnsi="Times New Roman" w:eastAsia="仿宋_GB2312" w:cs="仿宋_GB2312"/>
          <w:bCs/>
          <w:kern w:val="0"/>
          <w:sz w:val="32"/>
          <w:szCs w:val="32"/>
        </w:rPr>
      </w:pPr>
    </w:p>
    <w:p>
      <w:pPr>
        <w:jc w:val="left"/>
        <w:rPr>
          <w:rFonts w:ascii="仿宋_GB2312" w:eastAsia="仿宋_GB2312" w:hAnsiTheme="minorEastAsia"/>
          <w:sz w:val="28"/>
          <w:szCs w:val="32"/>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pStyle w:val="13"/>
        <w:jc w:val="center"/>
        <w:rPr>
          <w:rFonts w:hint="eastAsia" w:ascii="方正小标宋_GBK" w:hAnsi="方正小标宋_GBK" w:eastAsia="方正小标宋_GBK" w:cs="方正小标宋_GBK"/>
          <w:sz w:val="84"/>
          <w:szCs w:val="84"/>
        </w:rPr>
      </w:pPr>
    </w:p>
    <w:p>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pPr>
        <w:pStyle w:val="13"/>
        <w:jc w:val="center"/>
        <w:rPr>
          <w:rFonts w:hint="eastAsia" w:ascii="方正小标宋_GBK" w:hAnsi="方正小标宋_GBK" w:eastAsia="方正小标宋_GBK" w:cs="方正小标宋_GBK"/>
          <w:sz w:val="84"/>
          <w:szCs w:val="84"/>
        </w:rPr>
      </w:pPr>
    </w:p>
    <w:p>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left"/>
        <w:rPr>
          <w:sz w:val="32"/>
          <w:szCs w:val="32"/>
        </w:rPr>
      </w:pPr>
    </w:p>
    <w:p>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9"/>
        <w:tblW w:w="13900" w:type="dxa"/>
        <w:tblInd w:w="0" w:type="dxa"/>
        <w:tblLayout w:type="autofit"/>
        <w:tblCellMar>
          <w:top w:w="0" w:type="dxa"/>
          <w:left w:w="0" w:type="dxa"/>
          <w:bottom w:w="0" w:type="dxa"/>
          <w:right w:w="0" w:type="dxa"/>
        </w:tblCellMar>
      </w:tblPr>
      <w:tblGrid>
        <w:gridCol w:w="289"/>
        <w:gridCol w:w="290"/>
        <w:gridCol w:w="2152"/>
        <w:gridCol w:w="2629"/>
        <w:gridCol w:w="2629"/>
        <w:gridCol w:w="1373"/>
        <w:gridCol w:w="1373"/>
        <w:gridCol w:w="1373"/>
        <w:gridCol w:w="1373"/>
        <w:gridCol w:w="1947"/>
      </w:tblGrid>
      <w:tr>
        <w:tblPrEx>
          <w:tblCellMar>
            <w:top w:w="0" w:type="dxa"/>
            <w:left w:w="0" w:type="dxa"/>
            <w:bottom w:w="0" w:type="dxa"/>
            <w:right w:w="0" w:type="dxa"/>
          </w:tblCellMar>
        </w:tblPrEx>
        <w:trPr>
          <w:trHeight w:val="435" w:hRule="atLeast"/>
        </w:trPr>
        <w:tc>
          <w:tcPr>
            <w:tcW w:w="13900" w:type="dxa"/>
            <w:gridSpan w:val="10"/>
            <w:tcBorders>
              <w:top w:val="nil"/>
              <w:left w:val="nil"/>
              <w:bottom w:val="nil"/>
              <w:right w:val="nil"/>
            </w:tcBorders>
            <w:shd w:val="clear" w:color="auto" w:fill="auto"/>
            <w:noWrap/>
            <w:tcMar>
              <w:top w:w="15" w:type="dxa"/>
              <w:left w:w="15" w:type="dxa"/>
              <w:bottom w:w="0" w:type="dxa"/>
              <w:right w:w="15" w:type="dxa"/>
            </w:tcMar>
            <w:vAlign w:val="center"/>
          </w:tcPr>
          <w:tbl>
            <w:tblPr>
              <w:tblStyle w:val="9"/>
              <w:tblW w:w="15398"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172"/>
              <w:gridCol w:w="590"/>
              <w:gridCol w:w="1323"/>
              <w:gridCol w:w="4725"/>
              <w:gridCol w:w="1531"/>
              <w:gridCol w:w="445"/>
              <w:gridCol w:w="445"/>
              <w:gridCol w:w="216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442" w:type="dxa"/>
                  <w:tcBorders>
                    <w:top w:val="nil"/>
                    <w:left w:val="nil"/>
                    <w:bottom w:val="nil"/>
                    <w:right w:val="nil"/>
                  </w:tcBorders>
                  <w:shd w:val="clear" w:color="auto" w:fill="auto"/>
                  <w:noWrap/>
                  <w:vAlign w:val="center"/>
                </w:tcPr>
                <w:p>
                  <w:pPr>
                    <w:jc w:val="left"/>
                    <w:rPr>
                      <w:rFonts w:hint="eastAsia" w:ascii="黑体" w:hAnsi="宋体" w:eastAsia="黑体" w:cs="黑体"/>
                      <w:i w:val="0"/>
                      <w:color w:val="000000"/>
                      <w:sz w:val="24"/>
                      <w:szCs w:val="24"/>
                      <w:u w:val="none"/>
                    </w:rPr>
                  </w:pPr>
                </w:p>
              </w:tc>
              <w:tc>
                <w:tcPr>
                  <w:tcW w:w="603" w:type="dxa"/>
                  <w:tcBorders>
                    <w:top w:val="nil"/>
                    <w:left w:val="nil"/>
                    <w:bottom w:val="nil"/>
                    <w:right w:val="nil"/>
                  </w:tcBorders>
                  <w:shd w:val="clear" w:color="auto" w:fill="auto"/>
                  <w:noWrap/>
                  <w:vAlign w:val="center"/>
                </w:tcPr>
                <w:p>
                  <w:pPr>
                    <w:jc w:val="right"/>
                    <w:rPr>
                      <w:rFonts w:hint="eastAsia" w:ascii="宋体" w:hAnsi="宋体" w:eastAsia="宋体" w:cs="宋体"/>
                      <w:i w:val="0"/>
                      <w:color w:val="000000"/>
                      <w:sz w:val="24"/>
                      <w:szCs w:val="24"/>
                      <w:u w:val="none"/>
                    </w:rPr>
                  </w:pPr>
                </w:p>
              </w:tc>
              <w:tc>
                <w:tcPr>
                  <w:tcW w:w="1399" w:type="dxa"/>
                  <w:tcBorders>
                    <w:top w:val="nil"/>
                    <w:left w:val="nil"/>
                    <w:bottom w:val="nil"/>
                    <w:right w:val="nil"/>
                  </w:tcBorders>
                  <w:shd w:val="clear" w:color="auto" w:fill="auto"/>
                  <w:noWrap/>
                  <w:vAlign w:val="center"/>
                </w:tcPr>
                <w:p>
                  <w:pPr>
                    <w:jc w:val="right"/>
                    <w:rPr>
                      <w:rFonts w:hint="eastAsia" w:ascii="宋体" w:hAnsi="宋体" w:eastAsia="宋体" w:cs="宋体"/>
                      <w:i w:val="0"/>
                      <w:color w:val="000000"/>
                      <w:sz w:val="24"/>
                      <w:szCs w:val="24"/>
                      <w:u w:val="none"/>
                    </w:rPr>
                  </w:pPr>
                </w:p>
              </w:tc>
              <w:tc>
                <w:tcPr>
                  <w:tcW w:w="5033" w:type="dxa"/>
                  <w:tcBorders>
                    <w:top w:val="nil"/>
                    <w:left w:val="nil"/>
                    <w:bottom w:val="nil"/>
                    <w:right w:val="nil"/>
                  </w:tcBorders>
                  <w:shd w:val="clear" w:color="auto" w:fill="auto"/>
                  <w:noWrap/>
                  <w:vAlign w:val="center"/>
                </w:tcPr>
                <w:p>
                  <w:pPr>
                    <w:jc w:val="right"/>
                    <w:rPr>
                      <w:rFonts w:hint="eastAsia" w:ascii="宋体" w:hAnsi="宋体" w:eastAsia="宋体" w:cs="宋体"/>
                      <w:i w:val="0"/>
                      <w:color w:val="000000"/>
                      <w:sz w:val="24"/>
                      <w:szCs w:val="24"/>
                      <w:u w:val="none"/>
                    </w:rPr>
                  </w:pPr>
                </w:p>
              </w:tc>
              <w:tc>
                <w:tcPr>
                  <w:tcW w:w="1621" w:type="dxa"/>
                  <w:gridSpan w:val="2"/>
                  <w:tcBorders>
                    <w:top w:val="nil"/>
                    <w:left w:val="nil"/>
                    <w:bottom w:val="nil"/>
                    <w:right w:val="nil"/>
                  </w:tcBorders>
                  <w:shd w:val="clear" w:color="auto" w:fill="auto"/>
                  <w:noWrap/>
                  <w:vAlign w:val="center"/>
                </w:tcPr>
                <w:p>
                  <w:pPr>
                    <w:jc w:val="right"/>
                    <w:rPr>
                      <w:rFonts w:hint="eastAsia" w:ascii="宋体" w:hAnsi="宋体" w:eastAsia="宋体" w:cs="宋体"/>
                      <w:i w:val="0"/>
                      <w:color w:val="000000"/>
                      <w:sz w:val="24"/>
                      <w:szCs w:val="24"/>
                      <w:u w:val="none"/>
                    </w:rPr>
                  </w:pPr>
                </w:p>
              </w:tc>
              <w:tc>
                <w:tcPr>
                  <w:tcW w:w="2300" w:type="dxa"/>
                  <w:gridSpan w:val="2"/>
                  <w:tcBorders>
                    <w:top w:val="nil"/>
                    <w:left w:val="nil"/>
                    <w:bottom w:val="nil"/>
                    <w:right w:val="nil"/>
                  </w:tcBorders>
                  <w:shd w:val="clear" w:color="auto" w:fill="auto"/>
                  <w:noWrap/>
                  <w:vAlign w:val="center"/>
                </w:tcPr>
                <w:p>
                  <w:pPr>
                    <w:jc w:val="right"/>
                    <w:rPr>
                      <w:rFonts w:hint="eastAsia" w:ascii="黑体" w:hAnsi="宋体" w:eastAsia="黑体" w:cs="黑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9" w:hRule="atLeast"/>
              </w:trPr>
              <w:tc>
                <w:tcPr>
                  <w:tcW w:w="0" w:type="auto"/>
                  <w:gridSpan w:val="8"/>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0" w:type="auto"/>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0" w:type="auto"/>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0" w:type="auto"/>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0" w:type="auto"/>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0" w:type="auto"/>
                  <w:gridSpan w:val="2"/>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0" w:type="auto"/>
                  <w:gridSpan w:val="2"/>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公开01表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0" w:type="auto"/>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0" w:type="auto"/>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0" w:type="auto"/>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0" w:type="auto"/>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0" w:type="auto"/>
                  <w:gridSpan w:val="2"/>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0" w:type="auto"/>
                  <w:gridSpan w:val="2"/>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44" w:type="dxa"/>
                <w:trHeight w:val="448"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收入</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44" w:type="dxa"/>
                <w:trHeight w:val="62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44" w:type="dxa"/>
                <w:trHeight w:val="44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color w:val="000000"/>
                      <w:sz w:val="24"/>
                      <w:szCs w:val="24"/>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44" w:type="dxa"/>
                <w:trHeight w:val="4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262.11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243.38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44" w:type="dxa"/>
                <w:trHeight w:val="44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44" w:type="dxa"/>
                <w:trHeight w:val="4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44" w:type="dxa"/>
                <w:trHeight w:val="44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44" w:type="dxa"/>
                <w:trHeight w:val="44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44" w:type="dxa"/>
                <w:trHeight w:val="44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44" w:type="dxa"/>
                <w:trHeight w:val="44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kern w:val="2"/>
                      <w:sz w:val="24"/>
                      <w:szCs w:val="24"/>
                      <w:u w:val="none"/>
                      <w:lang w:val="en-US" w:eastAsia="zh-CN" w:bidi="ar-SA"/>
                    </w:rPr>
                  </w:pPr>
                  <w:r>
                    <w:rPr>
                      <w:rFonts w:hint="default" w:ascii="宋体" w:hAnsi="宋体" w:eastAsia="宋体" w:cs="宋体"/>
                      <w:i w:val="0"/>
                      <w:color w:val="000000"/>
                      <w:sz w:val="24"/>
                      <w:szCs w:val="24"/>
                      <w:u w:val="none"/>
                    </w:rPr>
                    <w:t>七、文化旅游体育与传媒支出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44" w:type="dxa"/>
                <w:trHeight w:val="44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color w:val="000000"/>
                      <w:kern w:val="2"/>
                      <w:sz w:val="22"/>
                      <w:szCs w:val="22"/>
                      <w:u w:val="none"/>
                      <w:lang w:val="en-US" w:eastAsia="zh-CN" w:bidi="ar-SA"/>
                    </w:rPr>
                  </w:pPr>
                  <w:r>
                    <w:rPr>
                      <w:rFonts w:hint="default" w:ascii="宋体" w:hAnsi="宋体" w:eastAsia="宋体" w:cs="宋体"/>
                      <w:i w:val="0"/>
                      <w:color w:val="000000"/>
                      <w:sz w:val="22"/>
                      <w:szCs w:val="22"/>
                      <w:u w:val="none"/>
                    </w:rPr>
                    <w:t>八、社会保障和就业支出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13.69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44" w:type="dxa"/>
                <w:trHeight w:val="4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color w:val="000000"/>
                      <w:kern w:val="2"/>
                      <w:sz w:val="20"/>
                      <w:szCs w:val="20"/>
                      <w:u w:val="none"/>
                      <w:lang w:val="en-US" w:eastAsia="zh-CN" w:bidi="ar-SA"/>
                    </w:rPr>
                  </w:pPr>
                  <w:r>
                    <w:rPr>
                      <w:rFonts w:hint="default" w:ascii="宋体" w:hAnsi="宋体" w:eastAsia="宋体" w:cs="宋体"/>
                      <w:i w:val="0"/>
                      <w:color w:val="000000"/>
                      <w:sz w:val="20"/>
                      <w:szCs w:val="20"/>
                      <w:u w:val="none"/>
                    </w:rPr>
                    <w:t>九、卫生健康支出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211" w:firstLineChars="0"/>
                    <w:rPr>
                      <w:rFonts w:hint="eastAsia" w:ascii="宋体" w:hAnsi="宋体" w:eastAsia="宋体" w:cs="宋体"/>
                      <w:b/>
                      <w:i w:val="0"/>
                      <w:color w:val="000000"/>
                      <w:sz w:val="22"/>
                      <w:szCs w:val="22"/>
                      <w:u w:val="none"/>
                    </w:rPr>
                  </w:pPr>
                  <w:r>
                    <w:rPr>
                      <w:rFonts w:hint="eastAsia" w:ascii="宋体" w:hAnsi="宋体" w:eastAsia="宋体" w:cs="宋体"/>
                      <w:b/>
                      <w:i w:val="0"/>
                      <w:color w:val="000000"/>
                      <w:sz w:val="22"/>
                      <w:szCs w:val="22"/>
                      <w:u w:val="none"/>
                    </w:rPr>
                    <w:t>5.03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44" w:type="dxa"/>
                <w:trHeight w:val="4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262.11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262.11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44" w:type="dxa"/>
                <w:trHeight w:val="4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使用非财政拨款结余（含专用结余）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结余分配</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44" w:type="dxa"/>
                <w:trHeight w:val="62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年初结转和结余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年末结转和结余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44" w:type="dxa"/>
                <w:trHeight w:val="44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262.11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b/>
                      <w:i w:val="0"/>
                      <w:color w:val="000000"/>
                      <w:sz w:val="22"/>
                      <w:szCs w:val="22"/>
                      <w:u w:val="none"/>
                    </w:rPr>
                  </w:pPr>
                  <w:r>
                    <w:rPr>
                      <w:rFonts w:hint="eastAsia" w:ascii="宋体" w:hAnsi="宋体" w:eastAsia="宋体" w:cs="宋体"/>
                      <w:b/>
                      <w:i w:val="0"/>
                      <w:color w:val="000000"/>
                      <w:sz w:val="22"/>
                      <w:szCs w:val="22"/>
                      <w:u w:val="none"/>
                    </w:rPr>
                    <w:t>262.11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5" w:hRule="atLeast"/>
              </w:trPr>
              <w:tc>
                <w:tcPr>
                  <w:tcW w:w="15398" w:type="dxa"/>
                  <w:gridSpan w:val="8"/>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注：1.本表反映部门本年度的总收支和年末结转结余情况。</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2.本套报表金额单位转换时可能存在尾数误差。</w:t>
                  </w:r>
                </w:p>
              </w:tc>
            </w:tr>
          </w:tbl>
          <w:p>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tblPrEx>
          <w:tblCellMar>
            <w:top w:w="0" w:type="dxa"/>
            <w:left w:w="0" w:type="dxa"/>
            <w:bottom w:w="0" w:type="dxa"/>
            <w:right w:w="0" w:type="dxa"/>
          </w:tblCellMar>
        </w:tblPrEx>
        <w:trPr>
          <w:trHeight w:val="285" w:hRule="atLeast"/>
        </w:trPr>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color w:val="000000"/>
                <w:sz w:val="20"/>
                <w:szCs w:val="20"/>
              </w:rPr>
            </w:pPr>
            <w:r>
              <w:rPr>
                <w:rFonts w:hint="eastAsia"/>
                <w:color w:val="000000"/>
                <w:sz w:val="20"/>
                <w:szCs w:val="20"/>
              </w:rPr>
              <w:t>公开02表</w:t>
            </w:r>
          </w:p>
        </w:tc>
      </w:tr>
      <w:tr>
        <w:tblPrEx>
          <w:tblCellMar>
            <w:top w:w="0" w:type="dxa"/>
            <w:left w:w="0" w:type="dxa"/>
            <w:bottom w:w="0" w:type="dxa"/>
            <w:right w:w="0" w:type="dxa"/>
          </w:tblCellMar>
        </w:tblPrEx>
        <w:trPr>
          <w:trHeight w:val="285" w:hRule="atLeast"/>
        </w:trPr>
        <w:tc>
          <w:tcPr>
            <w:tcW w:w="0" w:type="auto"/>
            <w:gridSpan w:val="2"/>
            <w:tcBorders>
              <w:top w:val="nil"/>
              <w:left w:val="nil"/>
              <w:bottom w:val="nil"/>
              <w:right w:val="nil"/>
            </w:tcBorders>
            <w:shd w:val="clear" w:color="000000" w:fill="FFFFFF"/>
            <w:noWrap/>
            <w:tcMar>
              <w:top w:w="15" w:type="dxa"/>
              <w:left w:w="15" w:type="dxa"/>
              <w:bottom w:w="0" w:type="dxa"/>
              <w:right w:w="15" w:type="dxa"/>
            </w:tcMar>
            <w:vAlign w:val="center"/>
          </w:tcPr>
          <w:p>
            <w:pPr>
              <w:rPr>
                <w:rFonts w:ascii="宋体" w:hAnsi="宋体" w:eastAsia="宋体" w:cs="宋体"/>
                <w:color w:val="000000"/>
                <w:sz w:val="20"/>
                <w:szCs w:val="20"/>
              </w:rPr>
            </w:pPr>
            <w:r>
              <w:rPr>
                <w:rFonts w:hint="eastAsia"/>
                <w:color w:val="000000"/>
                <w:sz w:val="20"/>
                <w:szCs w:val="20"/>
              </w:rPr>
              <w:t>部门：</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pPr>
              <w:jc w:val="center"/>
              <w:rPr>
                <w:rFonts w:ascii="宋体" w:hAnsi="宋体" w:eastAsia="宋体" w:cs="宋体"/>
                <w:color w:val="000000"/>
                <w:sz w:val="20"/>
                <w:szCs w:val="20"/>
              </w:rPr>
            </w:pPr>
            <w:r>
              <w:rPr>
                <w:rFonts w:hint="eastAsia"/>
                <w:color w:val="000000"/>
                <w:sz w:val="20"/>
                <w:szCs w:val="20"/>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color w:val="000000"/>
                <w:sz w:val="20"/>
                <w:szCs w:val="20"/>
              </w:rPr>
            </w:pPr>
            <w:r>
              <w:rPr>
                <w:rFonts w:hint="eastAsia"/>
                <w:color w:val="000000"/>
                <w:sz w:val="20"/>
                <w:szCs w:val="20"/>
              </w:rPr>
              <w:t>单位：万元</w:t>
            </w:r>
          </w:p>
        </w:tc>
      </w:tr>
      <w:tr>
        <w:tblPrEx>
          <w:tblCellMar>
            <w:top w:w="0" w:type="dxa"/>
            <w:left w:w="0" w:type="dxa"/>
            <w:bottom w:w="0" w:type="dxa"/>
            <w:right w:w="0" w:type="dxa"/>
          </w:tblCellMar>
        </w:tblPrEx>
        <w:trPr>
          <w:trHeight w:val="450" w:hRule="atLeast"/>
        </w:trPr>
        <w:tc>
          <w:tcPr>
            <w:tcW w:w="2420"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项    目</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本年收入合计</w:t>
            </w:r>
          </w:p>
        </w:tc>
        <w:tc>
          <w:tcPr>
            <w:tcW w:w="164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财政拨款收入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上级补助收入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事业收入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经营收入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附属单位上缴收入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其他收入</w:t>
            </w:r>
          </w:p>
        </w:tc>
      </w:tr>
      <w:tr>
        <w:tblPrEx>
          <w:tblCellMar>
            <w:top w:w="0" w:type="dxa"/>
            <w:left w:w="0" w:type="dxa"/>
            <w:bottom w:w="0" w:type="dxa"/>
            <w:right w:w="0" w:type="dxa"/>
          </w:tblCellMar>
        </w:tblPrEx>
        <w:trPr>
          <w:trHeight w:val="450" w:hRule="atLeast"/>
        </w:trPr>
        <w:tc>
          <w:tcPr>
            <w:tcW w:w="1120"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功能分类科目编码</w:t>
            </w:r>
          </w:p>
        </w:tc>
        <w:tc>
          <w:tcPr>
            <w:tcW w:w="1300"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科目名称</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r>
      <w:tr>
        <w:tblPrEx>
          <w:tblCellMar>
            <w:top w:w="0" w:type="dxa"/>
            <w:left w:w="0" w:type="dxa"/>
            <w:bottom w:w="0" w:type="dxa"/>
            <w:right w:w="0" w:type="dxa"/>
          </w:tblCellMar>
        </w:tblPrEx>
        <w:trPr>
          <w:trHeight w:val="450"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0" w:type="auto"/>
            <w:vMerge w:val="continue"/>
            <w:tcBorders>
              <w:top w:val="nil"/>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r>
      <w:tr>
        <w:tblPrEx>
          <w:tblCellMar>
            <w:top w:w="0" w:type="dxa"/>
            <w:left w:w="0" w:type="dxa"/>
            <w:bottom w:w="0" w:type="dxa"/>
            <w:right w:w="0" w:type="dxa"/>
          </w:tblCellMar>
        </w:tblPrEx>
        <w:trPr>
          <w:trHeight w:val="450" w:hRule="atLeast"/>
        </w:trPr>
        <w:tc>
          <w:tcPr>
            <w:tcW w:w="0" w:type="auto"/>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栏次</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1</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2</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3</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4</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5</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6</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7</w:t>
            </w:r>
          </w:p>
        </w:tc>
      </w:tr>
      <w:tr>
        <w:tblPrEx>
          <w:tblCellMar>
            <w:top w:w="0" w:type="dxa"/>
            <w:left w:w="0" w:type="dxa"/>
            <w:bottom w:w="0" w:type="dxa"/>
            <w:right w:w="0" w:type="dxa"/>
          </w:tblCellMar>
        </w:tblPrEx>
        <w:trPr>
          <w:trHeight w:val="450" w:hRule="atLeast"/>
        </w:trPr>
        <w:tc>
          <w:tcPr>
            <w:tcW w:w="0" w:type="auto"/>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合计</w:t>
            </w:r>
          </w:p>
        </w:tc>
        <w:tc>
          <w:tcPr>
            <w:tcW w:w="18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262.11</w:t>
            </w:r>
          </w:p>
        </w:tc>
        <w:tc>
          <w:tcPr>
            <w:tcW w:w="18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262.11</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r>
      <w:tr>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宋体" w:hAnsi="宋体" w:eastAsia="宋体" w:cs="宋体"/>
                <w:sz w:val="24"/>
                <w:szCs w:val="24"/>
              </w:rPr>
            </w:pPr>
            <w:r>
              <w:rPr>
                <w:rFonts w:hint="eastAsia"/>
              </w:rPr>
              <w:t>　</w:t>
            </w:r>
          </w:p>
        </w:tc>
        <w:tc>
          <w:tcPr>
            <w:tcW w:w="147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一般公共服务支出</w:t>
            </w:r>
          </w:p>
        </w:tc>
        <w:tc>
          <w:tcPr>
            <w:tcW w:w="18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243.38</w:t>
            </w:r>
          </w:p>
        </w:tc>
        <w:tc>
          <w:tcPr>
            <w:tcW w:w="18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243.38</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r>
      <w:tr>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rPr>
            </w:pPr>
          </w:p>
        </w:tc>
        <w:tc>
          <w:tcPr>
            <w:tcW w:w="147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18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8.57</w:t>
            </w:r>
          </w:p>
        </w:tc>
        <w:tc>
          <w:tcPr>
            <w:tcW w:w="18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8.57</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rPr>
            </w:pPr>
          </w:p>
        </w:tc>
        <w:tc>
          <w:tcPr>
            <w:tcW w:w="147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8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8.57</w:t>
            </w:r>
          </w:p>
        </w:tc>
        <w:tc>
          <w:tcPr>
            <w:tcW w:w="18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8.57</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rPr>
            </w:pPr>
          </w:p>
        </w:tc>
        <w:tc>
          <w:tcPr>
            <w:tcW w:w="147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港澳台事务</w:t>
            </w:r>
          </w:p>
        </w:tc>
        <w:tc>
          <w:tcPr>
            <w:tcW w:w="18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130.11</w:t>
            </w:r>
          </w:p>
        </w:tc>
        <w:tc>
          <w:tcPr>
            <w:tcW w:w="18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130.11</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宋体" w:hAnsi="宋体" w:eastAsia="宋体" w:cs="宋体"/>
                <w:sz w:val="24"/>
                <w:szCs w:val="24"/>
              </w:rPr>
            </w:pPr>
            <w:r>
              <w:rPr>
                <w:rFonts w:hint="eastAsia"/>
              </w:rPr>
              <w:t>　</w:t>
            </w:r>
          </w:p>
        </w:tc>
        <w:tc>
          <w:tcPr>
            <w:tcW w:w="147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8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华文中宋" w:hAnsi="华文中宋" w:eastAsia="华文中宋" w:cs="宋体"/>
                <w:sz w:val="24"/>
                <w:szCs w:val="24"/>
              </w:rPr>
            </w:pPr>
            <w:r>
              <w:rPr>
                <w:rFonts w:hint="eastAsia" w:ascii="宋体" w:hAnsi="宋体" w:eastAsia="宋体" w:cs="宋体"/>
                <w:i w:val="0"/>
                <w:iCs w:val="0"/>
                <w:color w:val="000000"/>
                <w:kern w:val="0"/>
                <w:sz w:val="22"/>
                <w:szCs w:val="22"/>
                <w:u w:val="none"/>
                <w:lang w:val="en-US" w:eastAsia="zh-CN" w:bidi="ar"/>
              </w:rPr>
              <w:t>130.11</w:t>
            </w:r>
          </w:p>
        </w:tc>
        <w:tc>
          <w:tcPr>
            <w:tcW w:w="18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130.11</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r>
      <w:tr>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rPr>
            </w:pPr>
          </w:p>
        </w:tc>
        <w:tc>
          <w:tcPr>
            <w:tcW w:w="147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群众团体事务</w:t>
            </w:r>
          </w:p>
        </w:tc>
        <w:tc>
          <w:tcPr>
            <w:tcW w:w="18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华文中宋" w:hAnsi="华文中宋" w:eastAsia="华文中宋"/>
              </w:rPr>
            </w:pPr>
            <w:r>
              <w:rPr>
                <w:rFonts w:hint="eastAsia" w:ascii="宋体" w:hAnsi="宋体" w:eastAsia="宋体" w:cs="宋体"/>
                <w:i w:val="0"/>
                <w:iCs w:val="0"/>
                <w:color w:val="000000"/>
                <w:kern w:val="0"/>
                <w:sz w:val="22"/>
                <w:szCs w:val="22"/>
                <w:u w:val="none"/>
                <w:lang w:val="en-US" w:eastAsia="zh-CN" w:bidi="ar"/>
              </w:rPr>
              <w:t>7.50</w:t>
            </w:r>
          </w:p>
        </w:tc>
        <w:tc>
          <w:tcPr>
            <w:tcW w:w="18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7.50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rPr>
            </w:pPr>
          </w:p>
        </w:tc>
        <w:tc>
          <w:tcPr>
            <w:tcW w:w="147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其他群众团体事务支出</w:t>
            </w:r>
          </w:p>
        </w:tc>
        <w:tc>
          <w:tcPr>
            <w:tcW w:w="18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华文中宋" w:hAnsi="华文中宋" w:eastAsia="华文中宋"/>
              </w:rPr>
            </w:pPr>
            <w:r>
              <w:rPr>
                <w:rFonts w:hint="eastAsia" w:ascii="宋体" w:hAnsi="宋体" w:eastAsia="宋体" w:cs="宋体"/>
                <w:i w:val="0"/>
                <w:iCs w:val="0"/>
                <w:color w:val="000000"/>
                <w:kern w:val="0"/>
                <w:sz w:val="22"/>
                <w:szCs w:val="22"/>
                <w:u w:val="none"/>
                <w:lang w:val="en-US" w:eastAsia="zh-CN" w:bidi="ar"/>
              </w:rPr>
              <w:t>7.50</w:t>
            </w:r>
          </w:p>
        </w:tc>
        <w:tc>
          <w:tcPr>
            <w:tcW w:w="18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7.50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宋体" w:hAnsi="宋体" w:eastAsia="宋体" w:cs="宋体"/>
                <w:sz w:val="24"/>
                <w:szCs w:val="24"/>
              </w:rPr>
            </w:pPr>
            <w:r>
              <w:rPr>
                <w:rFonts w:hint="eastAsia"/>
              </w:rPr>
              <w:t>　</w:t>
            </w:r>
          </w:p>
        </w:tc>
        <w:tc>
          <w:tcPr>
            <w:tcW w:w="147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统战事务</w:t>
            </w:r>
          </w:p>
        </w:tc>
        <w:tc>
          <w:tcPr>
            <w:tcW w:w="18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97.20</w:t>
            </w:r>
          </w:p>
        </w:tc>
        <w:tc>
          <w:tcPr>
            <w:tcW w:w="18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97.20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r>
      <w:tr>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宋体" w:hAnsi="宋体" w:eastAsia="宋体" w:cs="宋体"/>
                <w:sz w:val="24"/>
                <w:szCs w:val="24"/>
              </w:rPr>
            </w:pPr>
            <w:r>
              <w:rPr>
                <w:rFonts w:hint="eastAsia"/>
              </w:rPr>
              <w:t>　</w:t>
            </w:r>
          </w:p>
        </w:tc>
        <w:tc>
          <w:tcPr>
            <w:tcW w:w="147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 xml:space="preserve">  华侨事务</w:t>
            </w:r>
          </w:p>
        </w:tc>
        <w:tc>
          <w:tcPr>
            <w:tcW w:w="18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97.20</w:t>
            </w:r>
          </w:p>
        </w:tc>
        <w:tc>
          <w:tcPr>
            <w:tcW w:w="18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97.20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r>
      <w:tr>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宋体" w:hAnsi="宋体" w:eastAsia="宋体" w:cs="宋体"/>
                <w:sz w:val="24"/>
                <w:szCs w:val="24"/>
              </w:rPr>
            </w:pPr>
            <w:r>
              <w:rPr>
                <w:rFonts w:hint="eastAsia"/>
              </w:rPr>
              <w:t>　</w:t>
            </w:r>
          </w:p>
        </w:tc>
        <w:tc>
          <w:tcPr>
            <w:tcW w:w="147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8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13.69</w:t>
            </w:r>
          </w:p>
        </w:tc>
        <w:tc>
          <w:tcPr>
            <w:tcW w:w="18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13.69</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r>
      <w:tr>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宋体" w:hAnsi="宋体" w:eastAsia="宋体" w:cs="宋体"/>
                <w:sz w:val="24"/>
                <w:szCs w:val="24"/>
              </w:rPr>
            </w:pPr>
            <w:r>
              <w:rPr>
                <w:rFonts w:hint="eastAsia"/>
              </w:rPr>
              <w:t>　</w:t>
            </w:r>
          </w:p>
        </w:tc>
        <w:tc>
          <w:tcPr>
            <w:tcW w:w="147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8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13.69</w:t>
            </w:r>
          </w:p>
        </w:tc>
        <w:tc>
          <w:tcPr>
            <w:tcW w:w="18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13.69</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r>
      <w:tr>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rPr>
            </w:pPr>
          </w:p>
        </w:tc>
        <w:tc>
          <w:tcPr>
            <w:tcW w:w="147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行政单位离退休</w:t>
            </w:r>
          </w:p>
        </w:tc>
        <w:tc>
          <w:tcPr>
            <w:tcW w:w="18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0.10</w:t>
            </w:r>
          </w:p>
        </w:tc>
        <w:tc>
          <w:tcPr>
            <w:tcW w:w="18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0.10</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rPr>
            </w:pPr>
          </w:p>
        </w:tc>
        <w:tc>
          <w:tcPr>
            <w:tcW w:w="147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18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10.07</w:t>
            </w:r>
          </w:p>
        </w:tc>
        <w:tc>
          <w:tcPr>
            <w:tcW w:w="18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10.07</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71"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rPr>
            </w:pPr>
          </w:p>
        </w:tc>
        <w:tc>
          <w:tcPr>
            <w:tcW w:w="147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其他行政事业单位养老支出</w:t>
            </w:r>
          </w:p>
        </w:tc>
        <w:tc>
          <w:tcPr>
            <w:tcW w:w="18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3.53</w:t>
            </w:r>
          </w:p>
        </w:tc>
        <w:tc>
          <w:tcPr>
            <w:tcW w:w="18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3.53</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71"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rPr>
            </w:pPr>
          </w:p>
        </w:tc>
        <w:tc>
          <w:tcPr>
            <w:tcW w:w="147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卫生健康支出</w:t>
            </w:r>
          </w:p>
        </w:tc>
        <w:tc>
          <w:tcPr>
            <w:tcW w:w="18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5.03</w:t>
            </w:r>
          </w:p>
        </w:tc>
        <w:tc>
          <w:tcPr>
            <w:tcW w:w="18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5.03</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rPr>
            </w:pPr>
          </w:p>
        </w:tc>
        <w:tc>
          <w:tcPr>
            <w:tcW w:w="147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行政事业单位医疗</w:t>
            </w:r>
          </w:p>
        </w:tc>
        <w:tc>
          <w:tcPr>
            <w:tcW w:w="18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5.03</w:t>
            </w:r>
          </w:p>
        </w:tc>
        <w:tc>
          <w:tcPr>
            <w:tcW w:w="18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5.03</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rPr>
            </w:pPr>
          </w:p>
        </w:tc>
        <w:tc>
          <w:tcPr>
            <w:tcW w:w="147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18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5.03</w:t>
            </w:r>
          </w:p>
        </w:tc>
        <w:tc>
          <w:tcPr>
            <w:tcW w:w="18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5.03</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615" w:hRule="atLeast"/>
        </w:trPr>
        <w:tc>
          <w:tcPr>
            <w:tcW w:w="13900" w:type="dxa"/>
            <w:gridSpan w:val="10"/>
            <w:tcBorders>
              <w:top w:val="nil"/>
              <w:left w:val="nil"/>
              <w:bottom w:val="nil"/>
              <w:right w:val="nil"/>
            </w:tcBorders>
            <w:shd w:val="clear" w:color="auto" w:fill="auto"/>
            <w:tcMar>
              <w:top w:w="15" w:type="dxa"/>
              <w:left w:w="15" w:type="dxa"/>
              <w:bottom w:w="0" w:type="dxa"/>
              <w:right w:w="15" w:type="dxa"/>
            </w:tcMar>
            <w:vAlign w:val="center"/>
          </w:tcPr>
          <w:p>
            <w:pPr>
              <w:rPr>
                <w:rFonts w:ascii="宋体" w:hAnsi="宋体" w:eastAsia="宋体" w:cs="宋体"/>
                <w:sz w:val="24"/>
                <w:szCs w:val="24"/>
              </w:rPr>
            </w:pPr>
            <w:r>
              <w:rPr>
                <w:rFonts w:hint="eastAsia"/>
              </w:rPr>
              <w:t>注：本表反映部门本年度取得的各项收入情况。</w:t>
            </w:r>
          </w:p>
        </w:tc>
      </w:tr>
    </w:tbl>
    <w:p>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pPr>
        <w:widowControl/>
        <w:rPr>
          <w:rFonts w:ascii="Times New Roman" w:hAnsi="Times New Roman" w:eastAsia="方正小标宋_GBK" w:cs="Times New Roman"/>
          <w:color w:val="000000"/>
          <w:kern w:val="0"/>
          <w:sz w:val="36"/>
          <w:szCs w:val="36"/>
        </w:rPr>
      </w:pPr>
    </w:p>
    <w:tbl>
      <w:tblPr>
        <w:tblStyle w:val="9"/>
        <w:tblW w:w="15640" w:type="dxa"/>
        <w:tblInd w:w="93" w:type="dxa"/>
        <w:tblLayout w:type="autofit"/>
        <w:tblCellMar>
          <w:top w:w="0" w:type="dxa"/>
          <w:left w:w="108" w:type="dxa"/>
          <w:bottom w:w="0" w:type="dxa"/>
          <w:right w:w="108" w:type="dxa"/>
        </w:tblCellMar>
      </w:tblPr>
      <w:tblGrid>
        <w:gridCol w:w="1236"/>
        <w:gridCol w:w="263"/>
        <w:gridCol w:w="1481"/>
        <w:gridCol w:w="1952"/>
        <w:gridCol w:w="1991"/>
        <w:gridCol w:w="1991"/>
        <w:gridCol w:w="1991"/>
        <w:gridCol w:w="1991"/>
        <w:gridCol w:w="2744"/>
      </w:tblGrid>
      <w:tr>
        <w:tblPrEx>
          <w:tblCellMar>
            <w:top w:w="0" w:type="dxa"/>
            <w:left w:w="108" w:type="dxa"/>
            <w:bottom w:w="0" w:type="dxa"/>
            <w:right w:w="108" w:type="dxa"/>
          </w:tblCellMar>
        </w:tblPrEx>
        <w:trPr>
          <w:trHeight w:val="807" w:hRule="atLeast"/>
        </w:trPr>
        <w:tc>
          <w:tcPr>
            <w:tcW w:w="15640" w:type="dxa"/>
            <w:gridSpan w:val="9"/>
            <w:tcBorders>
              <w:top w:val="nil"/>
              <w:left w:val="nil"/>
              <w:bottom w:val="nil"/>
              <w:right w:val="nil"/>
            </w:tcBorders>
            <w:shd w:val="clear" w:color="auto" w:fill="auto"/>
            <w:noWrap/>
            <w:vAlign w:val="center"/>
          </w:tcPr>
          <w:p>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63"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8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52"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263"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8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52"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99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952"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274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tblPrEx>
          <w:tblCellMar>
            <w:top w:w="0" w:type="dxa"/>
            <w:left w:w="108" w:type="dxa"/>
            <w:bottom w:w="0" w:type="dxa"/>
            <w:right w:w="108" w:type="dxa"/>
          </w:tblCellMar>
        </w:tblPrEx>
        <w:trPr>
          <w:trHeight w:val="595" w:hRule="atLeast"/>
        </w:trPr>
        <w:tc>
          <w:tcPr>
            <w:tcW w:w="1499"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1481" w:type="dxa"/>
            <w:vMerge w:val="restart"/>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95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274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99"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48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5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274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952"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991"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991"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991"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991"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2744"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262.11</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108.01</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154.10</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48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一般公共服务支出</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243.38</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89.28</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154.10</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hint="eastAsia" w:ascii="宋体" w:hAnsi="宋体" w:eastAsia="宋体" w:cs="宋体"/>
                <w:kern w:val="0"/>
                <w:sz w:val="24"/>
                <w:szCs w:val="24"/>
              </w:rPr>
            </w:pPr>
          </w:p>
        </w:tc>
        <w:tc>
          <w:tcPr>
            <w:tcW w:w="148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8.57</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8.57</w:t>
            </w:r>
          </w:p>
        </w:tc>
        <w:tc>
          <w:tcPr>
            <w:tcW w:w="1991" w:type="dxa"/>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hint="eastAsia" w:ascii="宋体" w:hAnsi="宋体" w:eastAsia="宋体" w:cs="宋体"/>
                <w:kern w:val="0"/>
                <w:sz w:val="24"/>
                <w:szCs w:val="24"/>
              </w:rPr>
            </w:pPr>
          </w:p>
        </w:tc>
        <w:tc>
          <w:tcPr>
            <w:tcW w:w="148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8.57</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8.57</w:t>
            </w:r>
          </w:p>
        </w:tc>
        <w:tc>
          <w:tcPr>
            <w:tcW w:w="1991" w:type="dxa"/>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hint="eastAsia" w:ascii="宋体" w:hAnsi="宋体" w:eastAsia="宋体" w:cs="宋体"/>
                <w:kern w:val="0"/>
                <w:sz w:val="24"/>
                <w:szCs w:val="24"/>
              </w:rPr>
            </w:pPr>
          </w:p>
        </w:tc>
        <w:tc>
          <w:tcPr>
            <w:tcW w:w="148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港澳台事务</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130.11</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72.51</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57.60</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hint="eastAsia" w:ascii="宋体" w:hAnsi="宋体" w:eastAsia="宋体" w:cs="宋体"/>
                <w:kern w:val="0"/>
                <w:sz w:val="24"/>
                <w:szCs w:val="24"/>
              </w:rPr>
            </w:pPr>
          </w:p>
        </w:tc>
        <w:tc>
          <w:tcPr>
            <w:tcW w:w="148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130.11</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72.51</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57.60</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hint="eastAsia" w:ascii="宋体" w:hAnsi="宋体" w:eastAsia="宋体" w:cs="宋体"/>
                <w:kern w:val="0"/>
                <w:sz w:val="24"/>
                <w:szCs w:val="24"/>
              </w:rPr>
            </w:pPr>
          </w:p>
        </w:tc>
        <w:tc>
          <w:tcPr>
            <w:tcW w:w="148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群众团体事务</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7.50</w:t>
            </w:r>
          </w:p>
        </w:tc>
        <w:tc>
          <w:tcPr>
            <w:tcW w:w="1991" w:type="dxa"/>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7.50</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hint="eastAsia" w:ascii="宋体" w:hAnsi="宋体" w:eastAsia="宋体" w:cs="宋体"/>
                <w:kern w:val="0"/>
                <w:sz w:val="24"/>
                <w:szCs w:val="24"/>
              </w:rPr>
            </w:pPr>
          </w:p>
        </w:tc>
        <w:tc>
          <w:tcPr>
            <w:tcW w:w="148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其他群众团体事务支出</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7.50</w:t>
            </w:r>
          </w:p>
        </w:tc>
        <w:tc>
          <w:tcPr>
            <w:tcW w:w="1991" w:type="dxa"/>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7.50</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hint="eastAsia" w:ascii="宋体" w:hAnsi="宋体" w:eastAsia="宋体" w:cs="宋体"/>
                <w:kern w:val="0"/>
                <w:sz w:val="24"/>
                <w:szCs w:val="24"/>
              </w:rPr>
            </w:pPr>
          </w:p>
        </w:tc>
        <w:tc>
          <w:tcPr>
            <w:tcW w:w="148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统战事务</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97.20</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8.20</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89.00</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hint="eastAsia" w:ascii="宋体" w:hAnsi="宋体" w:eastAsia="宋体" w:cs="宋体"/>
                <w:kern w:val="0"/>
                <w:sz w:val="24"/>
                <w:szCs w:val="24"/>
              </w:rPr>
            </w:pPr>
          </w:p>
        </w:tc>
        <w:tc>
          <w:tcPr>
            <w:tcW w:w="148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华侨事务</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97.20</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8.20</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89.00</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hint="eastAsia" w:ascii="宋体" w:hAnsi="宋体" w:eastAsia="宋体" w:cs="宋体"/>
                <w:kern w:val="0"/>
                <w:sz w:val="24"/>
                <w:szCs w:val="24"/>
              </w:rPr>
            </w:pPr>
          </w:p>
        </w:tc>
        <w:tc>
          <w:tcPr>
            <w:tcW w:w="148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13.69</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13.69</w:t>
            </w:r>
          </w:p>
        </w:tc>
        <w:tc>
          <w:tcPr>
            <w:tcW w:w="1991" w:type="dxa"/>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hint="eastAsia" w:ascii="宋体" w:hAnsi="宋体" w:eastAsia="宋体" w:cs="宋体"/>
                <w:kern w:val="0"/>
                <w:sz w:val="24"/>
                <w:szCs w:val="24"/>
              </w:rPr>
            </w:pPr>
          </w:p>
        </w:tc>
        <w:tc>
          <w:tcPr>
            <w:tcW w:w="148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13.69</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13.69</w:t>
            </w:r>
          </w:p>
        </w:tc>
        <w:tc>
          <w:tcPr>
            <w:tcW w:w="1991" w:type="dxa"/>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48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行政单位离退休</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0.10</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0.10</w:t>
            </w:r>
          </w:p>
        </w:tc>
        <w:tc>
          <w:tcPr>
            <w:tcW w:w="1991" w:type="dxa"/>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48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10.07</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10.07</w:t>
            </w:r>
          </w:p>
        </w:tc>
        <w:tc>
          <w:tcPr>
            <w:tcW w:w="1991" w:type="dxa"/>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48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其他行政事业单位养老支出</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3.53</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3.53</w:t>
            </w:r>
          </w:p>
        </w:tc>
        <w:tc>
          <w:tcPr>
            <w:tcW w:w="1991" w:type="dxa"/>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48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卫生健康支出</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5.03</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5.03</w:t>
            </w:r>
          </w:p>
        </w:tc>
        <w:tc>
          <w:tcPr>
            <w:tcW w:w="1991" w:type="dxa"/>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48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行政事业单位医疗</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5.03</w:t>
            </w:r>
          </w:p>
        </w:tc>
        <w:tc>
          <w:tcPr>
            <w:tcW w:w="1991"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5.03</w:t>
            </w:r>
          </w:p>
        </w:tc>
        <w:tc>
          <w:tcPr>
            <w:tcW w:w="1991" w:type="dxa"/>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828" w:hRule="atLeast"/>
        </w:trPr>
        <w:tc>
          <w:tcPr>
            <w:tcW w:w="15640" w:type="dxa"/>
            <w:gridSpan w:val="9"/>
            <w:tcBorders>
              <w:top w:val="nil"/>
              <w:left w:val="nil"/>
              <w:bottom w:val="nil"/>
              <w:right w:val="nil"/>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bl>
    <w:p>
      <w:pPr>
        <w:widowControl/>
        <w:jc w:val="both"/>
        <w:rPr>
          <w:rFonts w:ascii="Times New Roman" w:hAnsi="Times New Roman" w:eastAsia="方正小标宋_GBK" w:cs="Times New Roman"/>
          <w:color w:val="000000"/>
          <w:kern w:val="0"/>
          <w:sz w:val="36"/>
          <w:szCs w:val="21"/>
        </w:rPr>
      </w:pPr>
    </w:p>
    <w:tbl>
      <w:tblPr>
        <w:tblStyle w:val="9"/>
        <w:tblW w:w="15521" w:type="dxa"/>
        <w:tblInd w:w="93" w:type="dxa"/>
        <w:tblLayout w:type="autofit"/>
        <w:tblCellMar>
          <w:top w:w="0" w:type="dxa"/>
          <w:left w:w="108" w:type="dxa"/>
          <w:bottom w:w="0" w:type="dxa"/>
          <w:right w:w="108" w:type="dxa"/>
        </w:tblCellMar>
      </w:tblPr>
      <w:tblGrid>
        <w:gridCol w:w="3595"/>
        <w:gridCol w:w="436"/>
        <w:gridCol w:w="1078"/>
        <w:gridCol w:w="496"/>
        <w:gridCol w:w="2915"/>
        <w:gridCol w:w="632"/>
        <w:gridCol w:w="435"/>
        <w:gridCol w:w="1573"/>
        <w:gridCol w:w="1394"/>
        <w:gridCol w:w="1394"/>
        <w:gridCol w:w="1573"/>
      </w:tblGrid>
      <w:tr>
        <w:tblPrEx>
          <w:tblCellMar>
            <w:top w:w="0" w:type="dxa"/>
            <w:left w:w="108" w:type="dxa"/>
            <w:bottom w:w="0" w:type="dxa"/>
            <w:right w:w="108" w:type="dxa"/>
          </w:tblCellMar>
        </w:tblPrEx>
        <w:trPr>
          <w:trHeight w:val="285" w:hRule="atLeast"/>
        </w:trPr>
        <w:tc>
          <w:tcPr>
            <w:tcW w:w="3596" w:type="dxa"/>
            <w:tcBorders>
              <w:top w:val="nil"/>
              <w:left w:val="nil"/>
              <w:bottom w:val="nil"/>
              <w:right w:val="nil"/>
            </w:tcBorders>
            <w:shd w:val="clear" w:color="auto" w:fill="auto"/>
            <w:noWrap/>
            <w:vAlign w:val="center"/>
          </w:tcPr>
          <w:p>
            <w:pPr>
              <w:widowControl/>
              <w:jc w:val="left"/>
              <w:rPr>
                <w:rFonts w:ascii="黑体" w:hAnsi="黑体" w:eastAsia="黑体" w:cs="宋体"/>
                <w:kern w:val="0"/>
                <w:sz w:val="24"/>
                <w:szCs w:val="24"/>
              </w:rPr>
            </w:pPr>
            <w:bookmarkStart w:id="0" w:name="RANGE!A1:I22"/>
            <w:bookmarkEnd w:id="0"/>
            <w:bookmarkStart w:id="1" w:name="RANGE!A1:F16"/>
          </w:p>
        </w:tc>
        <w:tc>
          <w:tcPr>
            <w:tcW w:w="435"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574" w:type="dxa"/>
            <w:gridSpan w:val="2"/>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3547" w:type="dxa"/>
            <w:gridSpan w:val="2"/>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435"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r>
      <w:tr>
        <w:tblPrEx>
          <w:tblCellMar>
            <w:top w:w="0" w:type="dxa"/>
            <w:left w:w="108" w:type="dxa"/>
            <w:bottom w:w="0" w:type="dxa"/>
            <w:right w:w="108" w:type="dxa"/>
          </w:tblCellMar>
        </w:tblPrEx>
        <w:trPr>
          <w:trHeight w:val="360" w:hRule="atLeast"/>
        </w:trPr>
        <w:tc>
          <w:tcPr>
            <w:tcW w:w="15521" w:type="dxa"/>
            <w:gridSpan w:val="11"/>
            <w:tcBorders>
              <w:top w:val="nil"/>
              <w:left w:val="nil"/>
              <w:bottom w:val="nil"/>
              <w:right w:val="nil"/>
            </w:tcBorders>
            <w:shd w:val="clear" w:color="auto" w:fill="auto"/>
            <w:noWrap/>
            <w:vAlign w:val="center"/>
          </w:tcPr>
          <w:p>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tblPrEx>
          <w:tblCellMar>
            <w:top w:w="0" w:type="dxa"/>
            <w:left w:w="108" w:type="dxa"/>
            <w:bottom w:w="0" w:type="dxa"/>
            <w:right w:w="108" w:type="dxa"/>
          </w:tblCellMar>
        </w:tblPrEx>
        <w:trPr>
          <w:trHeight w:val="199" w:hRule="atLeast"/>
        </w:trPr>
        <w:tc>
          <w:tcPr>
            <w:tcW w:w="3596"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tblPrEx>
          <w:tblCellMar>
            <w:top w:w="0" w:type="dxa"/>
            <w:left w:w="108" w:type="dxa"/>
            <w:bottom w:w="0" w:type="dxa"/>
            <w:right w:w="108" w:type="dxa"/>
          </w:tblCellMar>
        </w:tblPrEx>
        <w:trPr>
          <w:trHeight w:val="300" w:hRule="atLeast"/>
        </w:trPr>
        <w:tc>
          <w:tcPr>
            <w:tcW w:w="3596" w:type="dxa"/>
            <w:tcBorders>
              <w:top w:val="nil"/>
              <w:left w:val="nil"/>
              <w:bottom w:val="nil"/>
              <w:right w:val="nil"/>
            </w:tcBorders>
            <w:shd w:val="clear" w:color="000000" w:fill="FFFFFF"/>
            <w:noWrap/>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43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tblPrEx>
          <w:tblCellMar>
            <w:top w:w="0" w:type="dxa"/>
            <w:left w:w="108" w:type="dxa"/>
            <w:bottom w:w="0" w:type="dxa"/>
            <w:right w:w="108" w:type="dxa"/>
          </w:tblCellMar>
        </w:tblPrEx>
        <w:trPr>
          <w:trHeight w:val="402" w:hRule="atLeast"/>
        </w:trPr>
        <w:tc>
          <w:tcPr>
            <w:tcW w:w="51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412" w:type="dxa"/>
            <w:gridSpan w:val="8"/>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tblPrEx>
          <w:tblCellMar>
            <w:top w:w="0" w:type="dxa"/>
            <w:left w:w="108" w:type="dxa"/>
            <w:bottom w:w="0" w:type="dxa"/>
            <w:right w:w="108" w:type="dxa"/>
          </w:tblCellMar>
        </w:tblPrEx>
        <w:trPr>
          <w:trHeight w:val="630"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262.11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15</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16</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3</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17</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4</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四、公共安全支出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18</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5</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五、教育支出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19</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6</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六、科学技术支出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20</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7</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七、社会保障和就业支出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21</w:t>
            </w:r>
          </w:p>
        </w:tc>
        <w:tc>
          <w:tcPr>
            <w:tcW w:w="157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13.69</w:t>
            </w:r>
          </w:p>
        </w:tc>
        <w:tc>
          <w:tcPr>
            <w:tcW w:w="139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13.69</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8</w:t>
            </w:r>
          </w:p>
        </w:tc>
        <w:tc>
          <w:tcPr>
            <w:tcW w:w="107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color w:val="000000"/>
                <w:kern w:val="0"/>
                <w:sz w:val="22"/>
                <w:szCs w:val="22"/>
                <w:u w:val="none"/>
                <w:lang w:val="en-US" w:eastAsia="zh-CN" w:bidi="ar"/>
              </w:rPr>
              <w:t>八、卫生健康支出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22</w:t>
            </w:r>
          </w:p>
        </w:tc>
        <w:tc>
          <w:tcPr>
            <w:tcW w:w="157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5.03</w:t>
            </w:r>
          </w:p>
        </w:tc>
        <w:tc>
          <w:tcPr>
            <w:tcW w:w="139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5.03</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9</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23</w:t>
            </w:r>
          </w:p>
        </w:tc>
        <w:tc>
          <w:tcPr>
            <w:tcW w:w="157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262.11</w:t>
            </w:r>
          </w:p>
        </w:tc>
        <w:tc>
          <w:tcPr>
            <w:tcW w:w="1394"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262.11</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10</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24</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11</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25</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12</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26</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13</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27</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3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14</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262.11　</w:t>
            </w:r>
          </w:p>
        </w:tc>
        <w:tc>
          <w:tcPr>
            <w:tcW w:w="3411" w:type="dxa"/>
            <w:gridSpan w:val="2"/>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1067" w:type="dxa"/>
            <w:gridSpan w:val="2"/>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28</w:t>
            </w:r>
          </w:p>
        </w:tc>
        <w:tc>
          <w:tcPr>
            <w:tcW w:w="1573"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262.11</w:t>
            </w:r>
          </w:p>
        </w:tc>
        <w:tc>
          <w:tcPr>
            <w:tcW w:w="1394"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262.11</w:t>
            </w:r>
          </w:p>
        </w:tc>
        <w:tc>
          <w:tcPr>
            <w:tcW w:w="139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b/>
                <w:bCs/>
                <w:kern w:val="0"/>
                <w:sz w:val="22"/>
              </w:rPr>
            </w:pPr>
            <w:r>
              <w:rPr>
                <w:rFonts w:hint="eastAsia" w:ascii="宋体" w:hAnsi="宋体" w:eastAsia="宋体" w:cs="宋体"/>
                <w:b/>
                <w:bCs/>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tblPrEx>
          <w:tblCellMar>
            <w:top w:w="0" w:type="dxa"/>
            <w:left w:w="108" w:type="dxa"/>
            <w:bottom w:w="0" w:type="dxa"/>
            <w:right w:w="108" w:type="dxa"/>
          </w:tblCellMar>
        </w:tblPrEx>
        <w:trPr>
          <w:trHeight w:val="585" w:hRule="atLeast"/>
        </w:trPr>
        <w:tc>
          <w:tcPr>
            <w:tcW w:w="15521" w:type="dxa"/>
            <w:gridSpan w:val="11"/>
            <w:tcBorders>
              <w:top w:val="nil"/>
              <w:left w:val="nil"/>
              <w:bottom w:val="nil"/>
              <w:right w:val="nil"/>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pPr>
        <w:widowControl/>
        <w:jc w:val="center"/>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p>
    <w:p>
      <w:pPr>
        <w:pStyle w:val="8"/>
        <w:rPr>
          <w:rFonts w:ascii="Times New Roman" w:hAnsi="Times New Roman" w:eastAsia="方正小标宋_GBK" w:cs="Times New Roman"/>
          <w:kern w:val="0"/>
          <w:sz w:val="36"/>
          <w:szCs w:val="36"/>
        </w:rPr>
      </w:pPr>
    </w:p>
    <w:p>
      <w:pPr>
        <w:pStyle w:val="2"/>
        <w:rPr>
          <w:rFonts w:ascii="Times New Roman" w:hAnsi="Times New Roman" w:eastAsia="方正小标宋_GBK" w:cs="Times New Roman"/>
          <w:kern w:val="0"/>
          <w:sz w:val="36"/>
          <w:szCs w:val="36"/>
        </w:rPr>
      </w:pPr>
    </w:p>
    <w:p/>
    <w:p>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公开05表</w:t>
      </w:r>
    </w:p>
    <w:p>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9"/>
        <w:tblW w:w="14219" w:type="dxa"/>
        <w:jc w:val="center"/>
        <w:tblLayout w:type="autofit"/>
        <w:tblCellMar>
          <w:top w:w="0" w:type="dxa"/>
          <w:left w:w="108" w:type="dxa"/>
          <w:bottom w:w="0" w:type="dxa"/>
          <w:right w:w="108" w:type="dxa"/>
        </w:tblCellMar>
      </w:tblPr>
      <w:tblGrid>
        <w:gridCol w:w="1200"/>
        <w:gridCol w:w="3527"/>
        <w:gridCol w:w="3000"/>
        <w:gridCol w:w="3492"/>
        <w:gridCol w:w="3000"/>
      </w:tblGrid>
      <w:tr>
        <w:tblPrEx>
          <w:tblCellMar>
            <w:top w:w="0" w:type="dxa"/>
            <w:left w:w="108" w:type="dxa"/>
            <w:bottom w:w="0" w:type="dxa"/>
            <w:right w:w="108" w:type="dxa"/>
          </w:tblCellMar>
        </w:tblPrEx>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262.11</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108.01</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154.10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一般公共服务支出</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243.38</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89.28</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154.10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8.57</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8.57</w:t>
            </w:r>
          </w:p>
        </w:tc>
        <w:tc>
          <w:tcPr>
            <w:tcW w:w="3000" w:type="dxa"/>
            <w:tcBorders>
              <w:top w:val="nil"/>
              <w:left w:val="nil"/>
              <w:bottom w:val="single" w:color="auto" w:sz="4" w:space="0"/>
              <w:right w:val="single" w:color="auto" w:sz="8" w:space="0"/>
            </w:tcBorders>
            <w:shd w:val="clear" w:color="auto" w:fill="auto"/>
            <w:vAlign w:val="center"/>
          </w:tcPr>
          <w:p>
            <w:pPr>
              <w:jc w:val="righ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8.57</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8.57</w:t>
            </w:r>
          </w:p>
        </w:tc>
        <w:tc>
          <w:tcPr>
            <w:tcW w:w="3000" w:type="dxa"/>
            <w:tcBorders>
              <w:top w:val="nil"/>
              <w:left w:val="nil"/>
              <w:bottom w:val="single" w:color="auto" w:sz="4" w:space="0"/>
              <w:right w:val="single" w:color="auto" w:sz="8" w:space="0"/>
            </w:tcBorders>
            <w:shd w:val="clear" w:color="auto" w:fill="auto"/>
            <w:vAlign w:val="center"/>
          </w:tcPr>
          <w:p>
            <w:pPr>
              <w:jc w:val="righ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港澳台事务</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130.11</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72.51</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57.60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130.11</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72.51</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57.60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群众团体事务</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7.50</w:t>
            </w:r>
          </w:p>
        </w:tc>
        <w:tc>
          <w:tcPr>
            <w:tcW w:w="3492" w:type="dxa"/>
            <w:tcBorders>
              <w:top w:val="nil"/>
              <w:left w:val="nil"/>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7.50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其他群众团体事务支出</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7.50</w:t>
            </w:r>
          </w:p>
        </w:tc>
        <w:tc>
          <w:tcPr>
            <w:tcW w:w="3492" w:type="dxa"/>
            <w:tcBorders>
              <w:top w:val="nil"/>
              <w:left w:val="nil"/>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7.50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统战事务</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97.20</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8.20</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89.00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华侨事务</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97.20</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8.20</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89.00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13.69</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13.69</w:t>
            </w:r>
          </w:p>
        </w:tc>
        <w:tc>
          <w:tcPr>
            <w:tcW w:w="3000" w:type="dxa"/>
            <w:tcBorders>
              <w:top w:val="nil"/>
              <w:left w:val="nil"/>
              <w:bottom w:val="single" w:color="auto" w:sz="4" w:space="0"/>
              <w:right w:val="single" w:color="auto" w:sz="8" w:space="0"/>
            </w:tcBorders>
            <w:shd w:val="clear" w:color="auto" w:fill="auto"/>
            <w:vAlign w:val="center"/>
          </w:tcPr>
          <w:p>
            <w:pPr>
              <w:jc w:val="righ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13.69</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13.69</w:t>
            </w:r>
          </w:p>
        </w:tc>
        <w:tc>
          <w:tcPr>
            <w:tcW w:w="3000" w:type="dxa"/>
            <w:tcBorders>
              <w:top w:val="nil"/>
              <w:left w:val="nil"/>
              <w:bottom w:val="single" w:color="auto" w:sz="4" w:space="0"/>
              <w:right w:val="single" w:color="auto" w:sz="8" w:space="0"/>
            </w:tcBorders>
            <w:shd w:val="clear" w:color="auto" w:fill="auto"/>
            <w:vAlign w:val="center"/>
          </w:tcPr>
          <w:p>
            <w:pPr>
              <w:jc w:val="righ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行政单位离退休</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0.10</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0.10</w:t>
            </w:r>
          </w:p>
        </w:tc>
        <w:tc>
          <w:tcPr>
            <w:tcW w:w="3000" w:type="dxa"/>
            <w:tcBorders>
              <w:top w:val="nil"/>
              <w:left w:val="nil"/>
              <w:bottom w:val="single" w:color="auto" w:sz="4" w:space="0"/>
              <w:right w:val="single" w:color="auto" w:sz="8" w:space="0"/>
            </w:tcBorders>
            <w:shd w:val="clear" w:color="auto" w:fill="auto"/>
            <w:vAlign w:val="center"/>
          </w:tcPr>
          <w:p>
            <w:pPr>
              <w:jc w:val="righ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10.07</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10.07</w:t>
            </w:r>
          </w:p>
        </w:tc>
        <w:tc>
          <w:tcPr>
            <w:tcW w:w="3000" w:type="dxa"/>
            <w:tcBorders>
              <w:top w:val="nil"/>
              <w:left w:val="nil"/>
              <w:bottom w:val="single" w:color="auto" w:sz="4" w:space="0"/>
              <w:right w:val="single" w:color="auto" w:sz="8" w:space="0"/>
            </w:tcBorders>
            <w:shd w:val="clear" w:color="auto" w:fill="auto"/>
            <w:vAlign w:val="center"/>
          </w:tcPr>
          <w:p>
            <w:pPr>
              <w:jc w:val="righ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其他行政事业单位养老支出</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3.53</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3.53</w:t>
            </w:r>
          </w:p>
        </w:tc>
        <w:tc>
          <w:tcPr>
            <w:tcW w:w="3000" w:type="dxa"/>
            <w:tcBorders>
              <w:top w:val="nil"/>
              <w:left w:val="nil"/>
              <w:bottom w:val="single" w:color="auto" w:sz="4" w:space="0"/>
              <w:right w:val="single" w:color="auto" w:sz="8" w:space="0"/>
            </w:tcBorders>
            <w:shd w:val="clear" w:color="auto" w:fill="auto"/>
            <w:vAlign w:val="center"/>
          </w:tcPr>
          <w:p>
            <w:pPr>
              <w:jc w:val="righ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卫生健康支出</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5.03</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5.03</w:t>
            </w:r>
          </w:p>
        </w:tc>
        <w:tc>
          <w:tcPr>
            <w:tcW w:w="3000" w:type="dxa"/>
            <w:tcBorders>
              <w:top w:val="nil"/>
              <w:left w:val="nil"/>
              <w:bottom w:val="single" w:color="auto" w:sz="4" w:space="0"/>
              <w:right w:val="single" w:color="auto" w:sz="8" w:space="0"/>
            </w:tcBorders>
            <w:shd w:val="clear" w:color="auto" w:fill="auto"/>
            <w:vAlign w:val="center"/>
          </w:tcPr>
          <w:p>
            <w:pPr>
              <w:jc w:val="righ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行政事业单位医疗</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5.03</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5.03</w:t>
            </w:r>
          </w:p>
        </w:tc>
        <w:tc>
          <w:tcPr>
            <w:tcW w:w="3000" w:type="dxa"/>
            <w:tcBorders>
              <w:top w:val="nil"/>
              <w:left w:val="nil"/>
              <w:bottom w:val="single" w:color="auto" w:sz="4" w:space="0"/>
              <w:right w:val="single" w:color="auto" w:sz="8" w:space="0"/>
            </w:tcBorders>
            <w:shd w:val="clear" w:color="auto" w:fill="auto"/>
            <w:vAlign w:val="center"/>
          </w:tcPr>
          <w:p>
            <w:pPr>
              <w:jc w:val="righ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527"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3000"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5.03</w:t>
            </w:r>
          </w:p>
        </w:tc>
        <w:tc>
          <w:tcPr>
            <w:tcW w:w="3492"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5.03</w:t>
            </w:r>
          </w:p>
        </w:tc>
        <w:tc>
          <w:tcPr>
            <w:tcW w:w="3000" w:type="dxa"/>
            <w:tcBorders>
              <w:top w:val="nil"/>
              <w:left w:val="nil"/>
              <w:bottom w:val="single" w:color="auto" w:sz="8" w:space="0"/>
              <w:right w:val="single" w:color="auto" w:sz="8" w:space="0"/>
            </w:tcBorders>
            <w:shd w:val="clear" w:color="auto" w:fill="auto"/>
            <w:vAlign w:val="center"/>
          </w:tcPr>
          <w:p>
            <w:pPr>
              <w:jc w:val="righ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pPr>
        <w:widowControl/>
        <w:jc w:val="left"/>
        <w:rPr>
          <w:rFonts w:ascii="Times New Roman" w:hAnsi="Times New Roman" w:eastAsia="仿宋_GB2312" w:cs="Times New Roman"/>
          <w:bCs/>
          <w:kern w:val="0"/>
          <w:szCs w:val="21"/>
        </w:rPr>
      </w:pPr>
    </w:p>
    <w:p>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9"/>
        <w:tblW w:w="0" w:type="auto"/>
        <w:tblInd w:w="0" w:type="dxa"/>
        <w:tblLayout w:type="autofit"/>
        <w:tblCellMar>
          <w:top w:w="0" w:type="dxa"/>
          <w:left w:w="108" w:type="dxa"/>
          <w:bottom w:w="0" w:type="dxa"/>
          <w:right w:w="108" w:type="dxa"/>
        </w:tblCellMar>
      </w:tblPr>
      <w:tblGrid>
        <w:gridCol w:w="987"/>
        <w:gridCol w:w="240"/>
        <w:gridCol w:w="93"/>
        <w:gridCol w:w="1285"/>
        <w:gridCol w:w="2021"/>
        <w:gridCol w:w="65"/>
        <w:gridCol w:w="636"/>
        <w:gridCol w:w="1202"/>
        <w:gridCol w:w="304"/>
        <w:gridCol w:w="1969"/>
        <w:gridCol w:w="122"/>
        <w:gridCol w:w="579"/>
        <w:gridCol w:w="1203"/>
        <w:gridCol w:w="354"/>
        <w:gridCol w:w="2080"/>
        <w:gridCol w:w="1692"/>
        <w:gridCol w:w="476"/>
        <w:gridCol w:w="306"/>
      </w:tblGrid>
      <w:tr>
        <w:tblPrEx>
          <w:tblCellMar>
            <w:top w:w="0" w:type="dxa"/>
            <w:left w:w="108" w:type="dxa"/>
            <w:bottom w:w="0" w:type="dxa"/>
            <w:right w:w="108" w:type="dxa"/>
          </w:tblCellMar>
        </w:tblPrEx>
        <w:trPr>
          <w:trHeight w:val="113" w:hRule="atLeast"/>
        </w:trPr>
        <w:tc>
          <w:tcPr>
            <w:tcW w:w="15614" w:type="dxa"/>
            <w:gridSpan w:val="18"/>
            <w:tcBorders>
              <w:top w:val="nil"/>
              <w:left w:val="nil"/>
              <w:bottom w:val="nil"/>
              <w:right w:val="nil"/>
            </w:tcBorders>
            <w:shd w:val="clear" w:color="auto" w:fill="auto"/>
            <w:noWrap/>
            <w:vAlign w:val="center"/>
          </w:tcPr>
          <w:p>
            <w:pPr>
              <w:widowControl/>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一般公共预算财政拨款基本支出决算明细表</w:t>
            </w:r>
            <w:bookmarkEnd w:id="2"/>
          </w:p>
          <w:p>
            <w:pPr>
              <w:widowControl/>
              <w:wordWrap w:val="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公开06表</w:t>
            </w:r>
          </w:p>
          <w:p>
            <w:pPr>
              <w:widowControl/>
              <w:jc w:val="right"/>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tblPrEx>
          <w:tblCellMar>
            <w:top w:w="0" w:type="dxa"/>
            <w:left w:w="108" w:type="dxa"/>
            <w:bottom w:w="0" w:type="dxa"/>
            <w:right w:w="108" w:type="dxa"/>
          </w:tblCellMar>
        </w:tblPrEx>
        <w:trPr>
          <w:trHeight w:val="113" w:hRule="atLeast"/>
        </w:trPr>
        <w:tc>
          <w:tcPr>
            <w:tcW w:w="133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3366"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647"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22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316"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648"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22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4206"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648"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64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93.04</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11.13</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64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31.69</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1.64</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64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18.13</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648"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64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24.28</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648"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64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2.49</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648"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647"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648"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64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10.07</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648"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647"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0.02</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64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5.03</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648"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647"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648"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64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1.35</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0.61</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647"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648"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647"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648"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647"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648"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64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3.84</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648"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647"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648"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647"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648"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647"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648"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647"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648"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64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3.53</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648"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647"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0.08</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647"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0.27</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39907</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国家赔偿费用支出</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647"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2.00</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39908</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对民间非营利组织和群众性自治组织补贴</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64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0.11</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648"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rPr>
              <w:t>3990</w:t>
            </w:r>
            <w:r>
              <w:rPr>
                <w:rFonts w:hint="eastAsia" w:ascii="宋体" w:hAnsi="宋体" w:eastAsia="宋体" w:cs="宋体"/>
                <w:color w:val="000000"/>
                <w:kern w:val="0"/>
                <w:szCs w:val="20"/>
                <w:lang w:val="en-US" w:eastAsia="zh-CN"/>
              </w:rPr>
              <w:t>9</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经常性赠与</w:t>
            </w:r>
          </w:p>
          <w:p>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资本性赠与</w:t>
            </w:r>
          </w:p>
          <w:p>
            <w:pPr>
              <w:widowControl/>
              <w:jc w:val="left"/>
              <w:rPr>
                <w:rFonts w:hint="eastAsia" w:ascii="宋体" w:hAnsi="宋体" w:eastAsia="宋体" w:cs="宋体"/>
                <w:color w:val="000000"/>
                <w:kern w:val="0"/>
                <w:szCs w:val="20"/>
              </w:rPr>
            </w:pPr>
          </w:p>
          <w:tbl>
            <w:tblPr>
              <w:tblStyle w:val="9"/>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94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pPr>
              <w:widowControl/>
              <w:jc w:val="left"/>
              <w:rPr>
                <w:rFonts w:hint="eastAsia" w:ascii="宋体" w:hAnsi="宋体" w:eastAsia="宋体" w:cs="宋体"/>
                <w:color w:val="000000"/>
                <w:kern w:val="0"/>
                <w:szCs w:val="20"/>
              </w:rPr>
            </w:pPr>
          </w:p>
          <w:tbl>
            <w:tblPr>
              <w:tblStyle w:val="9"/>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94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pPr>
              <w:widowControl/>
              <w:jc w:val="left"/>
              <w:rPr>
                <w:rFonts w:ascii="宋体" w:hAnsi="宋体" w:eastAsia="宋体" w:cs="宋体"/>
                <w:color w:val="000000"/>
                <w:kern w:val="0"/>
                <w:szCs w:val="20"/>
              </w:rPr>
            </w:pP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647"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648"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399</w:t>
            </w:r>
            <w:r>
              <w:rPr>
                <w:rFonts w:hint="eastAsia" w:ascii="宋体" w:hAnsi="宋体" w:eastAsia="宋体" w:cs="宋体"/>
                <w:color w:val="000000"/>
                <w:kern w:val="0"/>
                <w:szCs w:val="20"/>
                <w:lang w:val="en-US" w:eastAsia="zh-CN"/>
              </w:rPr>
              <w:t>10</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 xml:space="preserve">  资本性赠与</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647"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5.82</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39999</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其他支出</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64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0.20</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648"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647"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0.69</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470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64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96.88</w:t>
            </w:r>
          </w:p>
        </w:tc>
        <w:tc>
          <w:tcPr>
            <w:tcW w:w="9615" w:type="dxa"/>
            <w:gridSpan w:val="9"/>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11.133</w:t>
            </w:r>
          </w:p>
        </w:tc>
      </w:tr>
      <w:tr>
        <w:tblPrEx>
          <w:tblCellMar>
            <w:top w:w="0" w:type="dxa"/>
            <w:left w:w="108" w:type="dxa"/>
            <w:bottom w:w="0" w:type="dxa"/>
            <w:right w:w="108" w:type="dxa"/>
          </w:tblCellMar>
        </w:tblPrEx>
        <w:trPr>
          <w:trHeight w:val="284" w:hRule="exact"/>
        </w:trPr>
        <w:tc>
          <w:tcPr>
            <w:tcW w:w="15614" w:type="dxa"/>
            <w:gridSpan w:val="18"/>
            <w:tcBorders>
              <w:top w:val="nil"/>
              <w:left w:val="nil"/>
              <w:bottom w:val="nil"/>
              <w:right w:val="nil"/>
            </w:tcBorders>
            <w:shd w:val="clear" w:color="auto" w:fill="auto"/>
            <w:noWrap/>
            <w:vAlign w:val="center"/>
          </w:tcPr>
          <w:p>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690" w:hRule="atLeast"/>
        </w:trPr>
        <w:tc>
          <w:tcPr>
            <w:tcW w:w="15360" w:type="dxa"/>
            <w:gridSpan w:val="17"/>
            <w:tcBorders>
              <w:top w:val="nil"/>
              <w:left w:val="nil"/>
              <w:bottom w:val="nil"/>
              <w:right w:val="nil"/>
            </w:tcBorders>
            <w:shd w:val="clear" w:color="auto" w:fill="FFFFFF"/>
            <w:vAlign w:val="center"/>
          </w:tcPr>
          <w:p>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政府性基金预算财政拨款收入支出决算表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345" w:hRule="atLeast"/>
        </w:trPr>
        <w:tc>
          <w:tcPr>
            <w:tcW w:w="1003"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40"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1402" w:type="dxa"/>
            <w:gridSpan w:val="2"/>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119" w:type="dxa"/>
            <w:gridSpan w:val="2"/>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19" w:type="dxa"/>
            <w:gridSpan w:val="3"/>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19" w:type="dxa"/>
            <w:gridSpan w:val="2"/>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19" w:type="dxa"/>
            <w:gridSpan w:val="3"/>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19"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20" w:type="dxa"/>
            <w:gridSpan w:val="2"/>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690" w:hRule="atLeast"/>
        </w:trPr>
        <w:tc>
          <w:tcPr>
            <w:tcW w:w="1003"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240"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1402" w:type="dxa"/>
            <w:gridSpan w:val="2"/>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119" w:type="dxa"/>
            <w:gridSpan w:val="2"/>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19" w:type="dxa"/>
            <w:gridSpan w:val="3"/>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19" w:type="dxa"/>
            <w:gridSpan w:val="2"/>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19" w:type="dxa"/>
            <w:gridSpan w:val="3"/>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19"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20" w:type="dxa"/>
            <w:gridSpan w:val="2"/>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459" w:hRule="atLeast"/>
        </w:trPr>
        <w:tc>
          <w:tcPr>
            <w:tcW w:w="26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Style w:val="16"/>
                <w:lang w:val="en-US" w:eastAsia="zh-CN" w:bidi="ar"/>
              </w:rPr>
              <w:t xml:space="preserve">   </w:t>
            </w:r>
            <w:r>
              <w:rPr>
                <w:rStyle w:val="17"/>
                <w:lang w:val="en-US" w:eastAsia="zh-CN" w:bidi="ar"/>
              </w:rPr>
              <w:t>目</w:t>
            </w:r>
          </w:p>
        </w:tc>
        <w:tc>
          <w:tcPr>
            <w:tcW w:w="21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年初结转和结余</w:t>
            </w:r>
          </w:p>
        </w:tc>
        <w:tc>
          <w:tcPr>
            <w:tcW w:w="211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本年收入</w:t>
            </w:r>
          </w:p>
        </w:tc>
        <w:tc>
          <w:tcPr>
            <w:tcW w:w="635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c>
          <w:tcPr>
            <w:tcW w:w="21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609" w:hRule="atLeast"/>
        </w:trPr>
        <w:tc>
          <w:tcPr>
            <w:tcW w:w="124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140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w:t>
            </w:r>
          </w:p>
        </w:tc>
        <w:tc>
          <w:tcPr>
            <w:tcW w:w="211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21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c>
          <w:tcPr>
            <w:tcW w:w="212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409" w:hRule="atLeast"/>
        </w:trPr>
        <w:tc>
          <w:tcPr>
            <w:tcW w:w="124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40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2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40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2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26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26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725" w:hRule="atLeast"/>
        </w:trPr>
        <w:tc>
          <w:tcPr>
            <w:tcW w:w="15360" w:type="dxa"/>
            <w:gridSpan w:val="17"/>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注：本表反映部门本年度政府性基金预算财政拨款收入、支出及结转和结余情况。</w:t>
            </w: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说明：我单位没有政府性基金收入，也没有使用政府性基金安排的支出，故本表无数据。（当表格数据为空时，应有此说明）</w:t>
            </w:r>
          </w:p>
        </w:tc>
      </w:tr>
    </w:tbl>
    <w:p>
      <w:pPr>
        <w:widowControl/>
        <w:jc w:val="center"/>
        <w:rPr>
          <w:rFonts w:hint="eastAsia" w:ascii="Times New Roman" w:hAnsi="Times New Roman" w:eastAsia="方正小标宋_GBK" w:cs="Times New Roman"/>
          <w:color w:val="000000"/>
          <w:kern w:val="0"/>
          <w:sz w:val="36"/>
          <w:szCs w:val="36"/>
        </w:rPr>
      </w:pPr>
    </w:p>
    <w:p>
      <w:pPr>
        <w:widowControl/>
        <w:jc w:val="center"/>
        <w:rPr>
          <w:rFonts w:hint="eastAsia" w:ascii="Times New Roman" w:hAnsi="Times New Roman" w:eastAsia="方正小标宋_GBK" w:cs="Times New Roman"/>
          <w:color w:val="000000"/>
          <w:kern w:val="0"/>
          <w:sz w:val="36"/>
          <w:szCs w:val="36"/>
        </w:rPr>
      </w:pPr>
    </w:p>
    <w:tbl>
      <w:tblPr>
        <w:tblStyle w:val="9"/>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26"/>
        <w:gridCol w:w="701"/>
        <w:gridCol w:w="2292"/>
        <w:gridCol w:w="3315"/>
        <w:gridCol w:w="3315"/>
        <w:gridCol w:w="417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国有资本经营预算财政拨款支出决算表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701"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7" w:hRule="atLeast"/>
        </w:trPr>
        <w:tc>
          <w:tcPr>
            <w:tcW w:w="0" w:type="auto"/>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701"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Fonts w:hint="eastAsia" w:ascii="宋体" w:hAnsi="宋体" w:eastAsia="宋体" w:cs="宋体"/>
                <w:i w:val="0"/>
                <w:color w:val="000000"/>
                <w:kern w:val="0"/>
                <w:sz w:val="22"/>
                <w:szCs w:val="22"/>
                <w:u w:val="none"/>
                <w:lang w:val="en-US" w:eastAsia="zh-CN" w:bidi="ar"/>
              </w:rPr>
              <w:t xml:space="preserve">   </w:t>
            </w:r>
            <w:r>
              <w:rPr>
                <w:rStyle w:val="18"/>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注：本表反映部门本年度国有资本经营预算财政拨款支出情况。</w:t>
            </w: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说明：我单位没有使用国有资本经营预算安排的支出，故本表无数据。（当表格数据为空时，应有此说明）</w:t>
            </w:r>
          </w:p>
        </w:tc>
      </w:tr>
    </w:tbl>
    <w:p>
      <w:pPr>
        <w:widowControl/>
        <w:jc w:val="center"/>
        <w:rPr>
          <w:rFonts w:hint="eastAsia" w:ascii="Times New Roman" w:hAnsi="Times New Roman" w:eastAsia="方正小标宋_GBK" w:cs="Times New Roman"/>
          <w:color w:val="000000"/>
          <w:kern w:val="0"/>
          <w:sz w:val="36"/>
          <w:szCs w:val="36"/>
        </w:rPr>
      </w:pPr>
    </w:p>
    <w:tbl>
      <w:tblPr>
        <w:tblStyle w:val="9"/>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60"/>
        <w:gridCol w:w="1261"/>
        <w:gridCol w:w="1261"/>
        <w:gridCol w:w="1261"/>
        <w:gridCol w:w="1261"/>
        <w:gridCol w:w="1261"/>
        <w:gridCol w:w="1261"/>
        <w:gridCol w:w="1261"/>
        <w:gridCol w:w="1261"/>
        <w:gridCol w:w="1261"/>
        <w:gridCol w:w="1261"/>
        <w:gridCol w:w="12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财政拨款“三公”经费支出决算表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公开09表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4.4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widowControl/>
        <w:jc w:val="both"/>
        <w:rPr>
          <w:sz w:val="72"/>
          <w:szCs w:val="72"/>
        </w:rPr>
        <w:sectPr>
          <w:pgSz w:w="16838" w:h="11906" w:orient="landscape"/>
          <w:pgMar w:top="720" w:right="720" w:bottom="720" w:left="720" w:header="851" w:footer="992" w:gutter="0"/>
          <w:cols w:space="425" w:num="1"/>
          <w:docGrid w:type="lines" w:linePitch="312" w:charSpace="0"/>
        </w:sectPr>
      </w:pPr>
      <w:r>
        <w:rPr>
          <w:rFonts w:ascii="黑体" w:hAnsi="黑体" w:eastAsia="黑体"/>
          <w:szCs w:val="21"/>
        </w:rPr>
        <w:br w:type="page"/>
      </w:r>
    </w:p>
    <w:p>
      <w:pPr>
        <w:pStyle w:val="13"/>
        <w:rPr>
          <w:sz w:val="72"/>
          <w:szCs w:val="72"/>
        </w:rPr>
      </w:pPr>
    </w:p>
    <w:p>
      <w:pPr>
        <w:pStyle w:val="13"/>
        <w:rPr>
          <w:sz w:val="72"/>
          <w:szCs w:val="72"/>
        </w:rPr>
      </w:pPr>
    </w:p>
    <w:p>
      <w:pPr>
        <w:pStyle w:val="13"/>
        <w:rPr>
          <w:sz w:val="72"/>
          <w:szCs w:val="72"/>
        </w:rPr>
      </w:pPr>
    </w:p>
    <w:p>
      <w:pPr>
        <w:pStyle w:val="13"/>
        <w:rPr>
          <w:sz w:val="72"/>
          <w:szCs w:val="72"/>
        </w:rPr>
      </w:pPr>
    </w:p>
    <w:p>
      <w:pPr>
        <w:pStyle w:val="13"/>
        <w:jc w:val="center"/>
        <w:rPr>
          <w:sz w:val="72"/>
          <w:szCs w:val="72"/>
        </w:rPr>
      </w:pPr>
    </w:p>
    <w:p>
      <w:pPr>
        <w:pStyle w:val="13"/>
        <w:jc w:val="center"/>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pPr>
        <w:pStyle w:val="13"/>
        <w:jc w:val="center"/>
        <w:rPr>
          <w:rFonts w:hint="eastAsia" w:ascii="方正小标宋_GBK" w:hAnsi="方正小标宋_GBK" w:eastAsia="方正小标宋_GBK" w:cs="方正小标宋_GBK"/>
          <w:sz w:val="70"/>
          <w:szCs w:val="70"/>
        </w:rPr>
      </w:pPr>
    </w:p>
    <w:p>
      <w:pPr>
        <w:pStyle w:val="13"/>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3</w:t>
      </w:r>
      <w:r>
        <w:rPr>
          <w:rFonts w:hint="eastAsia" w:ascii="方正小标宋_GBK" w:hAnsi="方正小标宋_GBK" w:eastAsia="方正小标宋_GBK" w:cs="方正小标宋_GBK"/>
          <w:sz w:val="70"/>
          <w:szCs w:val="70"/>
        </w:rPr>
        <w:t>年度部门决算情况说明</w:t>
      </w:r>
    </w:p>
    <w:p>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262.11</w:t>
      </w:r>
      <w:r>
        <w:rPr>
          <w:rFonts w:hint="eastAsia" w:ascii="Times New Roman" w:hAnsi="Times New Roman" w:eastAsia="仿宋_GB2312"/>
          <w:sz w:val="32"/>
          <w:szCs w:val="32"/>
        </w:rPr>
        <w:t>万元。与上年相比，增加</w:t>
      </w:r>
      <w:r>
        <w:rPr>
          <w:rFonts w:hint="eastAsia" w:ascii="Times New Roman" w:hAnsi="Times New Roman" w:eastAsia="仿宋_GB2312"/>
          <w:sz w:val="32"/>
          <w:szCs w:val="32"/>
          <w:lang w:val="en-US" w:eastAsia="zh-CN"/>
        </w:rPr>
        <w:t>16.14</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0.07</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增加聚侨兴乡丰收节活动经费、人员工资变动。</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262.11</w:t>
      </w:r>
      <w:r>
        <w:rPr>
          <w:rFonts w:hint="eastAsia" w:ascii="Times New Roman" w:hAnsi="Times New Roman" w:eastAsia="仿宋_GB2312"/>
          <w:sz w:val="32"/>
          <w:szCs w:val="32"/>
        </w:rPr>
        <w:t>万元，其中：财政拨款收入262.11万元，占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262.11</w:t>
      </w:r>
      <w:r>
        <w:rPr>
          <w:rFonts w:hint="eastAsia" w:ascii="Times New Roman" w:hAnsi="Times New Roman" w:eastAsia="仿宋_GB2312"/>
          <w:sz w:val="32"/>
          <w:szCs w:val="32"/>
        </w:rPr>
        <w:t>万元，其中：基本支出108.01万元，占</w:t>
      </w:r>
      <w:r>
        <w:rPr>
          <w:rFonts w:hint="eastAsia" w:ascii="Times New Roman" w:hAnsi="Times New Roman" w:eastAsia="仿宋_GB2312"/>
          <w:sz w:val="32"/>
          <w:szCs w:val="32"/>
          <w:lang w:val="en-US" w:eastAsia="zh-CN"/>
        </w:rPr>
        <w:t>41.2</w:t>
      </w:r>
      <w:r>
        <w:rPr>
          <w:rFonts w:hint="eastAsia" w:ascii="Times New Roman" w:hAnsi="Times New Roman" w:eastAsia="仿宋_GB2312"/>
          <w:sz w:val="32"/>
          <w:szCs w:val="32"/>
        </w:rPr>
        <w:t>%；项目支出154.1万元，占</w:t>
      </w:r>
      <w:r>
        <w:rPr>
          <w:rFonts w:hint="eastAsia" w:ascii="Times New Roman" w:hAnsi="Times New Roman" w:eastAsia="仿宋_GB2312"/>
          <w:sz w:val="32"/>
          <w:szCs w:val="32"/>
          <w:lang w:val="en-US" w:eastAsia="zh-CN"/>
        </w:rPr>
        <w:t>58.8</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pPr>
        <w:pStyle w:val="13"/>
        <w:keepNext w:val="0"/>
        <w:keepLines w:val="0"/>
        <w:pageBreakBefore w:val="0"/>
        <w:widowControl w:val="0"/>
        <w:kinsoku/>
        <w:wordWrap/>
        <w:overflowPunct/>
        <w:topLinePunct w:val="0"/>
        <w:bidi w:val="0"/>
        <w:snapToGrid/>
        <w:spacing w:line="600" w:lineRule="exact"/>
        <w:textAlignment w:val="auto"/>
        <w:rPr>
          <w:rFonts w:ascii="Times New Roman" w:hAnsi="Times New Roman" w:eastAsia="仿宋_GB2312"/>
          <w:sz w:val="32"/>
          <w:szCs w:val="32"/>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262.11</w:t>
      </w:r>
      <w:r>
        <w:rPr>
          <w:rFonts w:hint="eastAsia" w:ascii="Times New Roman" w:hAnsi="Times New Roman" w:eastAsia="仿宋_GB2312"/>
          <w:sz w:val="32"/>
          <w:szCs w:val="32"/>
        </w:rPr>
        <w:t>万元，与上年相比，增加</w:t>
      </w:r>
      <w:r>
        <w:rPr>
          <w:rFonts w:hint="eastAsia" w:ascii="Times New Roman" w:hAnsi="Times New Roman" w:eastAsia="仿宋_GB2312"/>
          <w:sz w:val="32"/>
          <w:szCs w:val="32"/>
          <w:lang w:val="en-US" w:eastAsia="zh-CN"/>
        </w:rPr>
        <w:t>16.14</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0.07</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增加聚侨兴乡丰收节活动经费、人员工资变动。</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262.11</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%，与上年相比，财政拨款支出增加</w:t>
      </w:r>
      <w:r>
        <w:rPr>
          <w:rFonts w:hint="eastAsia" w:ascii="Times New Roman" w:hAnsi="Times New Roman" w:eastAsia="仿宋_GB2312"/>
          <w:sz w:val="32"/>
          <w:szCs w:val="32"/>
          <w:lang w:val="en-US" w:eastAsia="zh-CN"/>
        </w:rPr>
        <w:t>16.14</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0.07</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增加聚侨兴乡丰收节活动经费、人员工资变动。</w:t>
      </w:r>
    </w:p>
    <w:p>
      <w:pPr>
        <w:pStyle w:val="13"/>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262.11</w:t>
      </w:r>
      <w:r>
        <w:rPr>
          <w:rFonts w:hint="eastAsia" w:ascii="Times New Roman" w:hAnsi="Times New Roman" w:eastAsia="仿宋_GB2312"/>
          <w:sz w:val="32"/>
          <w:szCs w:val="32"/>
        </w:rPr>
        <w:t>万元，主要用于以下方面：一般公共服务（类）支出</w:t>
      </w:r>
      <w:r>
        <w:rPr>
          <w:rFonts w:hint="eastAsia" w:ascii="Times New Roman" w:hAnsi="Times New Roman" w:eastAsia="仿宋_GB2312"/>
          <w:sz w:val="32"/>
          <w:szCs w:val="32"/>
          <w:lang w:val="en-US" w:eastAsia="zh-CN"/>
        </w:rPr>
        <w:t>243.38</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92.85</w:t>
      </w:r>
      <w:r>
        <w:rPr>
          <w:rFonts w:hint="eastAsia" w:ascii="Times New Roman" w:hAnsi="Times New Roman" w:eastAsia="仿宋_GB2312"/>
          <w:sz w:val="32"/>
          <w:szCs w:val="32"/>
        </w:rPr>
        <w:t>%；社会保障和就业支出</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类</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13.69万元，占</w:t>
      </w:r>
      <w:r>
        <w:rPr>
          <w:rFonts w:hint="eastAsia" w:ascii="Times New Roman" w:hAnsi="Times New Roman" w:eastAsia="仿宋_GB2312"/>
          <w:sz w:val="32"/>
          <w:szCs w:val="32"/>
          <w:lang w:val="en-US" w:eastAsia="zh-CN"/>
        </w:rPr>
        <w:t>5.22</w:t>
      </w:r>
      <w:r>
        <w:rPr>
          <w:rFonts w:hint="eastAsia" w:ascii="Times New Roman" w:hAnsi="Times New Roman" w:eastAsia="仿宋_GB2312"/>
          <w:sz w:val="32"/>
          <w:szCs w:val="32"/>
        </w:rPr>
        <w:t>%;卫生健康支出</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类</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5.03万元，占1.93%。</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193.94</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262.11</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135.15</w:t>
      </w:r>
      <w:r>
        <w:rPr>
          <w:rFonts w:hint="eastAsia" w:ascii="Times New Roman" w:hAnsi="Times New Roman" w:eastAsia="仿宋_GB2312"/>
          <w:sz w:val="32"/>
          <w:szCs w:val="32"/>
        </w:rPr>
        <w:t>%，其中：</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1、一般公共服务（类）。</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148.49</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243.38</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163.9</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val="en-US" w:eastAsia="zh-CN"/>
        </w:rPr>
        <w:t>开展聚侨兴乡丰收节活动。</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2、一般公共服务（类）</w:t>
      </w:r>
      <w:r>
        <w:rPr>
          <w:rFonts w:hint="eastAsia" w:ascii="Times New Roman" w:hAnsi="Times New Roman" w:eastAsia="仿宋_GB2312"/>
          <w:sz w:val="32"/>
          <w:szCs w:val="32"/>
          <w:lang w:val="en-US" w:eastAsia="zh-CN"/>
        </w:rPr>
        <w:t>统战事务</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华侨事务</w:t>
      </w:r>
      <w:r>
        <w:rPr>
          <w:rFonts w:hint="eastAsia" w:ascii="Times New Roman" w:hAnsi="Times New Roman" w:eastAsia="仿宋_GB2312"/>
          <w:sz w:val="32"/>
          <w:szCs w:val="32"/>
        </w:rPr>
        <w:t>（项）。</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97.2</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开展聚侨兴乡丰收节活动。</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108.01</w:t>
      </w:r>
      <w:r>
        <w:rPr>
          <w:rFonts w:hint="eastAsia" w:ascii="Times New Roman" w:hAnsi="Times New Roman" w:eastAsia="仿宋_GB2312"/>
          <w:sz w:val="32"/>
          <w:szCs w:val="32"/>
        </w:rPr>
        <w:t>万元，其中：</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rPr>
        <w:t>96.88万元，占基本支出的</w:t>
      </w:r>
      <w:r>
        <w:rPr>
          <w:rFonts w:hint="eastAsia" w:ascii="Times New Roman" w:hAnsi="Times New Roman" w:eastAsia="仿宋_GB2312"/>
          <w:sz w:val="32"/>
          <w:szCs w:val="32"/>
          <w:lang w:val="en-US" w:eastAsia="zh-CN"/>
        </w:rPr>
        <w:t>89.7</w:t>
      </w:r>
      <w:r>
        <w:rPr>
          <w:rFonts w:hint="eastAsia" w:ascii="Times New Roman" w:hAnsi="Times New Roman" w:eastAsia="仿宋_GB2312"/>
          <w:sz w:val="32"/>
          <w:szCs w:val="32"/>
        </w:rPr>
        <w:t>%,主要包括基本工资、津贴补贴、奖金、伙食补助费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机关事业单位基本养老保险缴费</w:t>
      </w:r>
      <w:r>
        <w:rPr>
          <w:rFonts w:hint="eastAsia" w:ascii="Times New Roman" w:hAnsi="Times New Roman" w:eastAsia="仿宋_GB2312"/>
          <w:sz w:val="32"/>
          <w:szCs w:val="32"/>
          <w:lang w:eastAsia="zh-CN"/>
        </w:rPr>
        <w:t>、职工基本医疗保险缴费、其他社会保障缴费、生活补助、奖励金、其他对个人和家庭的补助。</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rPr>
        <w:t>11.13万元，占基本支出的</w:t>
      </w:r>
      <w:r>
        <w:rPr>
          <w:rFonts w:hint="eastAsia" w:ascii="Times New Roman" w:hAnsi="Times New Roman" w:eastAsia="仿宋_GB2312"/>
          <w:sz w:val="32"/>
          <w:szCs w:val="32"/>
          <w:lang w:val="en-US" w:eastAsia="zh-CN"/>
        </w:rPr>
        <w:t>10.3</w:t>
      </w:r>
      <w:r>
        <w:rPr>
          <w:rFonts w:hint="eastAsia" w:ascii="Times New Roman" w:hAnsi="Times New Roman" w:eastAsia="仿宋_GB2312"/>
          <w:sz w:val="32"/>
          <w:szCs w:val="32"/>
        </w:rPr>
        <w:t>%，主要包括办公费、邮电费</w:t>
      </w:r>
      <w:r>
        <w:rPr>
          <w:rFonts w:hint="eastAsia" w:ascii="Times New Roman" w:hAnsi="Times New Roman" w:eastAsia="仿宋_GB2312"/>
          <w:sz w:val="32"/>
          <w:szCs w:val="32"/>
          <w:lang w:eastAsia="zh-CN"/>
        </w:rPr>
        <w:t>、差旅费、劳务费、委托业务费、工会经费、其他交通费用</w:t>
      </w:r>
      <w:r>
        <w:rPr>
          <w:rFonts w:hint="eastAsia" w:ascii="Times New Roman" w:hAnsi="Times New Roman" w:eastAsia="仿宋_GB2312"/>
          <w:sz w:val="32"/>
          <w:szCs w:val="32"/>
        </w:rPr>
        <w:t>其他商品和服务支出。</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黑体" w:hAnsi="黑体" w:eastAsia="黑体" w:cs="黑体"/>
          <w:b w:val="0"/>
          <w:bCs/>
          <w:sz w:val="32"/>
          <w:szCs w:val="32"/>
        </w:rPr>
        <w:t>七、财政拨款三公经费支出决算情况说明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4.4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3.86</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87.73</w:t>
      </w:r>
      <w:r>
        <w:rPr>
          <w:rFonts w:hint="eastAsia" w:ascii="Times New Roman" w:hAnsi="Times New Roman" w:eastAsia="仿宋_GB2312"/>
          <w:sz w:val="32"/>
          <w:szCs w:val="32"/>
        </w:rPr>
        <w:t>%，决算数小于预算数的主要原因是</w:t>
      </w:r>
      <w:r>
        <w:rPr>
          <w:rFonts w:hint="eastAsia" w:ascii="Times New Roman" w:hAnsi="Times New Roman" w:eastAsia="仿宋_GB2312"/>
          <w:sz w:val="32"/>
          <w:szCs w:val="32"/>
          <w:lang w:val="en-US" w:eastAsia="zh-CN"/>
        </w:rPr>
        <w:t>厉行节约减少公务接待</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与上年相比</w:t>
      </w:r>
      <w:r>
        <w:rPr>
          <w:rFonts w:hint="eastAsia" w:ascii="Times New Roman" w:hAnsi="Times New Roman" w:eastAsia="仿宋_GB2312"/>
          <w:sz w:val="32"/>
          <w:szCs w:val="32"/>
          <w:lang w:val="en-US" w:eastAsia="zh-CN"/>
        </w:rPr>
        <w:t>增加0.75</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24.12</w:t>
      </w:r>
      <w:r>
        <w:rPr>
          <w:rFonts w:hint="eastAsia" w:ascii="Times New Roman" w:hAnsi="Times New Roman" w:eastAsia="仿宋_GB2312"/>
          <w:sz w:val="32"/>
          <w:szCs w:val="32"/>
        </w:rPr>
        <w:t>%,增长的主要原因是</w:t>
      </w:r>
      <w:r>
        <w:rPr>
          <w:rFonts w:hint="eastAsia" w:ascii="Times New Roman" w:hAnsi="Times New Roman" w:eastAsia="仿宋_GB2312"/>
          <w:sz w:val="32"/>
          <w:szCs w:val="32"/>
          <w:lang w:val="en-US" w:eastAsia="zh-CN"/>
        </w:rPr>
        <w:t>公车老旧维修费用高</w:t>
      </w:r>
      <w:r>
        <w:rPr>
          <w:rFonts w:hint="eastAsia" w:ascii="Times New Roman" w:hAnsi="Times New Roman" w:eastAsia="仿宋_GB2312"/>
          <w:sz w:val="32"/>
          <w:szCs w:val="32"/>
        </w:rPr>
        <w:t>。</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 w:hAnsi="仿宋" w:eastAsia="仿宋" w:cs="仿宋"/>
          <w:color w:val="auto"/>
          <w:sz w:val="32"/>
          <w:szCs w:val="32"/>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仿宋" w:hAnsi="仿宋" w:eastAsia="仿宋" w:cs="仿宋"/>
          <w:color w:val="auto"/>
          <w:sz w:val="32"/>
          <w:szCs w:val="32"/>
          <w:lang w:val="en-US" w:eastAsia="zh-CN"/>
        </w:rPr>
        <w:t>本年无因公出国（境）费用支出</w:t>
      </w:r>
      <w:r>
        <w:rPr>
          <w:rFonts w:hint="eastAsia" w:ascii="仿宋" w:hAnsi="仿宋" w:eastAsia="仿宋" w:cs="仿宋"/>
          <w:color w:val="auto"/>
          <w:sz w:val="32"/>
          <w:szCs w:val="32"/>
        </w:rPr>
        <w:t>。</w:t>
      </w:r>
    </w:p>
    <w:p>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1.4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0.98</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70</w:t>
      </w:r>
      <w:r>
        <w:rPr>
          <w:rFonts w:hint="eastAsia" w:ascii="Times New Roman" w:hAnsi="Times New Roman" w:eastAsia="仿宋_GB2312"/>
          <w:sz w:val="32"/>
          <w:szCs w:val="32"/>
        </w:rPr>
        <w:t>%，决算数小于预算数的主要原因是</w:t>
      </w:r>
      <w:r>
        <w:rPr>
          <w:rFonts w:hint="eastAsia" w:ascii="Times New Roman" w:hAnsi="Times New Roman" w:eastAsia="仿宋_GB2312"/>
          <w:sz w:val="32"/>
          <w:szCs w:val="32"/>
          <w:lang w:val="en-US" w:eastAsia="zh-CN"/>
        </w:rPr>
        <w:t>厉行节约减少公务接待</w:t>
      </w:r>
      <w:r>
        <w:rPr>
          <w:rFonts w:hint="eastAsia" w:ascii="Times New Roman" w:hAnsi="Times New Roman" w:eastAsia="仿宋_GB2312"/>
          <w:sz w:val="32"/>
          <w:szCs w:val="32"/>
        </w:rPr>
        <w:t>，与上年相比减少</w:t>
      </w:r>
      <w:r>
        <w:rPr>
          <w:rFonts w:hint="eastAsia" w:ascii="Times New Roman" w:hAnsi="Times New Roman" w:eastAsia="仿宋_GB2312"/>
          <w:sz w:val="32"/>
          <w:szCs w:val="32"/>
          <w:lang w:val="en-US" w:eastAsia="zh-CN"/>
        </w:rPr>
        <w:t>2.13</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68.49</w:t>
      </w:r>
      <w:r>
        <w:rPr>
          <w:rFonts w:hint="eastAsia" w:ascii="Times New Roman" w:hAnsi="Times New Roman" w:eastAsia="仿宋_GB2312"/>
          <w:sz w:val="32"/>
          <w:szCs w:val="32"/>
        </w:rPr>
        <w:t>%,减少的主要原因是</w:t>
      </w:r>
      <w:r>
        <w:rPr>
          <w:rFonts w:hint="eastAsia" w:ascii="Times New Roman" w:hAnsi="Times New Roman" w:eastAsia="仿宋_GB2312"/>
          <w:sz w:val="32"/>
          <w:szCs w:val="32"/>
          <w:lang w:val="en-US" w:eastAsia="zh-CN"/>
        </w:rPr>
        <w:t>上年度接待费支出包含“创业中华兴业湖南”活动公务接待支出</w:t>
      </w:r>
      <w:r>
        <w:rPr>
          <w:rFonts w:hint="eastAsia" w:ascii="Times New Roman" w:hAnsi="Times New Roman" w:eastAsia="仿宋_GB2312"/>
          <w:sz w:val="32"/>
          <w:szCs w:val="32"/>
        </w:rPr>
        <w:t>。</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仿宋" w:hAnsi="仿宋" w:eastAsia="仿宋" w:cs="仿宋"/>
          <w:color w:val="auto"/>
          <w:sz w:val="32"/>
          <w:szCs w:val="32"/>
        </w:rPr>
        <w:t>公务用车购置费支出预算为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w:t>
      </w:r>
      <w:r>
        <w:rPr>
          <w:rFonts w:hint="eastAsia" w:ascii="仿宋" w:hAnsi="仿宋" w:eastAsia="仿宋" w:cs="仿宋"/>
          <w:color w:val="auto"/>
          <w:sz w:val="32"/>
          <w:szCs w:val="32"/>
          <w:lang w:val="en-US" w:eastAsia="zh-CN"/>
        </w:rPr>
        <w:t>本年无公务用车购置费支出。</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2.88</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96</w:t>
      </w:r>
      <w:r>
        <w:rPr>
          <w:rFonts w:hint="eastAsia" w:ascii="Times New Roman" w:hAnsi="Times New Roman" w:eastAsia="仿宋_GB2312"/>
          <w:sz w:val="32"/>
          <w:szCs w:val="32"/>
        </w:rPr>
        <w:t>%，决算数小于预算数的主要原因是</w:t>
      </w:r>
      <w:r>
        <w:rPr>
          <w:rFonts w:hint="eastAsia" w:ascii="Times New Roman" w:hAnsi="Times New Roman" w:eastAsia="仿宋_GB2312"/>
          <w:sz w:val="32"/>
          <w:szCs w:val="32"/>
          <w:lang w:val="en-US" w:eastAsia="zh-CN"/>
        </w:rPr>
        <w:t>维修费与预计有差距</w:t>
      </w:r>
      <w:r>
        <w:rPr>
          <w:rFonts w:hint="eastAsia" w:ascii="Times New Roman" w:hAnsi="Times New Roman" w:eastAsia="仿宋_GB2312"/>
          <w:sz w:val="32"/>
          <w:szCs w:val="32"/>
        </w:rPr>
        <w:t>，与上年相比减少</w:t>
      </w:r>
      <w:r>
        <w:rPr>
          <w:rFonts w:hint="eastAsia" w:ascii="Times New Roman" w:hAnsi="Times New Roman" w:eastAsia="仿宋_GB2312"/>
          <w:sz w:val="32"/>
          <w:szCs w:val="32"/>
          <w:lang w:val="en-US" w:eastAsia="zh-CN"/>
        </w:rPr>
        <w:t>0.18</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5.88</w:t>
      </w:r>
      <w:r>
        <w:rPr>
          <w:rFonts w:hint="eastAsia" w:ascii="Times New Roman" w:hAnsi="Times New Roman" w:eastAsia="仿宋_GB2312"/>
          <w:sz w:val="32"/>
          <w:szCs w:val="32"/>
        </w:rPr>
        <w:t>%,减少的主要原因是</w:t>
      </w:r>
      <w:r>
        <w:rPr>
          <w:rFonts w:hint="eastAsia" w:ascii="Times New Roman" w:hAnsi="Times New Roman" w:eastAsia="仿宋_GB2312"/>
          <w:sz w:val="32"/>
          <w:szCs w:val="32"/>
          <w:lang w:val="en-US" w:eastAsia="zh-CN"/>
        </w:rPr>
        <w:t>维修费减少</w:t>
      </w:r>
      <w:r>
        <w:rPr>
          <w:rFonts w:hint="eastAsia" w:ascii="Times New Roman" w:hAnsi="Times New Roman" w:eastAsia="仿宋_GB2312"/>
          <w:sz w:val="32"/>
          <w:szCs w:val="32"/>
        </w:rPr>
        <w:t>。</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0.98</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25.39</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2.88</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74.61</w:t>
      </w:r>
      <w:r>
        <w:rPr>
          <w:rFonts w:hint="eastAsia" w:ascii="Times New Roman" w:hAnsi="Times New Roman" w:eastAsia="仿宋_GB2312"/>
          <w:sz w:val="32"/>
          <w:szCs w:val="32"/>
        </w:rPr>
        <w:t>%。其中：</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b/>
          <w:sz w:val="32"/>
          <w:szCs w:val="32"/>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default" w:ascii="Times New Roman" w:hAnsi="Times New Roman" w:eastAsia="仿宋_GB2312"/>
          <w:sz w:val="32"/>
          <w:szCs w:val="32"/>
        </w:rPr>
        <w:t>0</w:t>
      </w:r>
      <w:r>
        <w:rPr>
          <w:rFonts w:hint="eastAsia" w:ascii="Times New Roman" w:hAnsi="Times New Roman" w:eastAsia="仿宋_GB2312"/>
          <w:sz w:val="32"/>
          <w:szCs w:val="32"/>
        </w:rPr>
        <w:t>万元，全年安排因公出国（境）团组</w:t>
      </w:r>
      <w:r>
        <w:rPr>
          <w:rFonts w:hint="default" w:ascii="Times New Roman" w:hAnsi="Times New Roman" w:eastAsia="仿宋_GB2312"/>
          <w:sz w:val="32"/>
          <w:szCs w:val="32"/>
        </w:rPr>
        <w:t>0</w:t>
      </w:r>
      <w:r>
        <w:rPr>
          <w:rFonts w:hint="eastAsia" w:ascii="Times New Roman" w:hAnsi="Times New Roman" w:eastAsia="仿宋_GB2312"/>
          <w:sz w:val="32"/>
          <w:szCs w:val="32"/>
        </w:rPr>
        <w:t>个，累计</w:t>
      </w:r>
      <w:r>
        <w:rPr>
          <w:rFonts w:hint="default" w:ascii="Times New Roman" w:hAnsi="Times New Roman" w:eastAsia="仿宋_GB2312"/>
          <w:sz w:val="32"/>
          <w:szCs w:val="32"/>
        </w:rPr>
        <w:t>0</w:t>
      </w:r>
      <w:r>
        <w:rPr>
          <w:rFonts w:hint="eastAsia" w:ascii="Times New Roman" w:hAnsi="Times New Roman" w:eastAsia="仿宋_GB2312"/>
          <w:sz w:val="32"/>
          <w:szCs w:val="32"/>
        </w:rPr>
        <w:t>人次</w:t>
      </w:r>
      <w:r>
        <w:rPr>
          <w:rFonts w:hint="default" w:ascii="Times New Roman" w:hAnsi="Times New Roman" w:eastAsia="仿宋_GB2312"/>
          <w:sz w:val="32"/>
          <w:szCs w:val="32"/>
        </w:rPr>
        <w:t>，</w:t>
      </w:r>
      <w:r>
        <w:rPr>
          <w:rFonts w:hint="eastAsia" w:ascii="仿宋" w:hAnsi="仿宋" w:eastAsia="仿宋" w:cs="仿宋"/>
          <w:sz w:val="32"/>
          <w:szCs w:val="32"/>
        </w:rPr>
        <w:t>开支内容包括：</w:t>
      </w:r>
      <w:r>
        <w:rPr>
          <w:rFonts w:hint="eastAsia" w:ascii="仿宋" w:hAnsi="仿宋" w:eastAsia="仿宋" w:cs="仿宋"/>
          <w:sz w:val="32"/>
          <w:szCs w:val="32"/>
          <w:lang w:val="en-US" w:eastAsia="zh-CN"/>
        </w:rPr>
        <w:t>本年无</w:t>
      </w:r>
      <w:r>
        <w:rPr>
          <w:rFonts w:hint="eastAsia" w:ascii="仿宋" w:hAnsi="仿宋" w:eastAsia="仿宋" w:cs="仿宋"/>
          <w:sz w:val="32"/>
          <w:szCs w:val="32"/>
        </w:rPr>
        <w:t>因公出国（境）费支出</w:t>
      </w:r>
      <w:r>
        <w:rPr>
          <w:rFonts w:hint="eastAsia" w:ascii="仿宋" w:hAnsi="仿宋" w:eastAsia="仿宋" w:cs="仿宋"/>
          <w:sz w:val="32"/>
          <w:szCs w:val="32"/>
          <w:lang w:eastAsia="zh-CN"/>
        </w:rPr>
        <w:t>。</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0.98</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15</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80</w:t>
      </w:r>
      <w:r>
        <w:rPr>
          <w:rFonts w:hint="eastAsia" w:ascii="Times New Roman" w:hAnsi="Times New Roman" w:eastAsia="仿宋_GB2312"/>
          <w:sz w:val="32"/>
          <w:szCs w:val="32"/>
        </w:rPr>
        <w:t>人次，主要是</w:t>
      </w:r>
      <w:r>
        <w:rPr>
          <w:rFonts w:hint="eastAsia" w:ascii="仿宋" w:hAnsi="仿宋" w:eastAsia="仿宋" w:cs="仿宋"/>
          <w:spacing w:val="-2"/>
          <w:sz w:val="32"/>
          <w:szCs w:val="32"/>
          <w:lang w:val="en-US" w:eastAsia="zh-CN"/>
        </w:rPr>
        <w:t>因公务需要接待海外侨胞、港澳台同胞、上级部门和各县市区来人衔接和汇报工作情况</w:t>
      </w:r>
      <w:r>
        <w:rPr>
          <w:rFonts w:hint="eastAsia" w:ascii="仿宋" w:hAnsi="仿宋" w:eastAsia="仿宋" w:cs="仿宋"/>
          <w:sz w:val="32"/>
          <w:szCs w:val="32"/>
          <w:lang w:val="en-US" w:eastAsia="zh-CN"/>
        </w:rPr>
        <w:t>等工作</w:t>
      </w:r>
      <w:r>
        <w:rPr>
          <w:rFonts w:hint="eastAsia" w:ascii="仿宋" w:hAnsi="仿宋" w:eastAsia="仿宋" w:cs="仿宋"/>
          <w:sz w:val="32"/>
          <w:szCs w:val="32"/>
        </w:rPr>
        <w:t>发生的接待支出</w:t>
      </w:r>
      <w:r>
        <w:rPr>
          <w:rFonts w:hint="eastAsia" w:ascii="Times New Roman" w:hAnsi="Times New Roman" w:eastAsia="仿宋_GB2312"/>
          <w:sz w:val="32"/>
          <w:szCs w:val="32"/>
        </w:rPr>
        <w:t>。</w:t>
      </w:r>
    </w:p>
    <w:p>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2.88</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仿宋" w:hAnsi="仿宋" w:eastAsia="仿宋" w:cs="仿宋"/>
          <w:sz w:val="32"/>
          <w:szCs w:val="32"/>
          <w:lang w:val="en-US" w:eastAsia="zh-CN"/>
        </w:rPr>
        <w:t>本</w:t>
      </w:r>
      <w:r>
        <w:rPr>
          <w:rFonts w:hint="eastAsia" w:ascii="仿宋" w:hAnsi="仿宋" w:eastAsia="仿宋" w:cs="仿宋"/>
          <w:sz w:val="32"/>
          <w:szCs w:val="32"/>
        </w:rPr>
        <w:t>单位</w:t>
      </w:r>
      <w:r>
        <w:rPr>
          <w:rFonts w:hint="eastAsia" w:ascii="仿宋" w:hAnsi="仿宋" w:eastAsia="仿宋" w:cs="仿宋"/>
          <w:sz w:val="32"/>
          <w:szCs w:val="32"/>
          <w:lang w:val="en-US" w:eastAsia="zh-CN"/>
        </w:rPr>
        <w:t>无</w:t>
      </w:r>
      <w:r>
        <w:rPr>
          <w:rFonts w:hint="eastAsia" w:ascii="仿宋" w:hAnsi="仿宋" w:eastAsia="仿宋" w:cs="仿宋"/>
          <w:sz w:val="32"/>
          <w:szCs w:val="32"/>
        </w:rPr>
        <w:t>更新公务用车</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2.88</w:t>
      </w:r>
      <w:r>
        <w:rPr>
          <w:rFonts w:hint="eastAsia" w:ascii="Times New Roman" w:hAnsi="Times New Roman" w:eastAsia="仿宋_GB2312"/>
          <w:sz w:val="32"/>
          <w:szCs w:val="32"/>
        </w:rPr>
        <w:t>万元，主要是</w:t>
      </w:r>
      <w:r>
        <w:rPr>
          <w:rFonts w:hint="eastAsia" w:ascii="Times New Roman" w:hAnsi="Times New Roman" w:eastAsia="仿宋_GB2312"/>
          <w:sz w:val="32"/>
          <w:szCs w:val="32"/>
          <w:lang w:val="en-US" w:eastAsia="zh-CN"/>
        </w:rPr>
        <w:t>加油、维修、保险、年检</w:t>
      </w:r>
      <w:r>
        <w:rPr>
          <w:rFonts w:hint="eastAsia" w:ascii="Times New Roman" w:hAnsi="Times New Roman" w:eastAsia="仿宋_GB2312"/>
          <w:sz w:val="32"/>
          <w:szCs w:val="32"/>
        </w:rPr>
        <w:t>支出，截止202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辆。</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pPr>
        <w:pStyle w:val="13"/>
        <w:keepNext w:val="0"/>
        <w:keepLines w:val="0"/>
        <w:pageBreakBefore w:val="0"/>
        <w:widowControl w:val="0"/>
        <w:kinsoku/>
        <w:wordWrap/>
        <w:overflowPunct/>
        <w:topLinePunct w:val="0"/>
        <w:bidi w:val="0"/>
        <w:snapToGrid/>
        <w:spacing w:line="600" w:lineRule="exac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年度政府性基金预算财政拨款收入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万元；年初结转和结余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万元，项目支出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万元；年末结转和结余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本单位无政府性基金收支。</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sz w:val="32"/>
          <w:szCs w:val="32"/>
          <w:lang w:val="en-US"/>
        </w:rPr>
      </w:pPr>
      <w:r>
        <w:rPr>
          <w:rFonts w:hint="eastAsia" w:ascii="黑体" w:hAnsi="黑体" w:eastAsia="黑体" w:cs="黑体"/>
          <w:b w:val="0"/>
          <w:bCs/>
          <w:sz w:val="32"/>
          <w:szCs w:val="32"/>
        </w:rPr>
        <w:t>九、</w:t>
      </w:r>
      <w:r>
        <w:rPr>
          <w:rFonts w:hint="eastAsia" w:ascii="黑体" w:hAnsi="黑体" w:eastAsia="黑体" w:cs="黑体"/>
          <w:b w:val="0"/>
          <w:bCs/>
          <w:sz w:val="32"/>
          <w:szCs w:val="32"/>
          <w:lang w:val="en-US" w:eastAsia="zh-CN"/>
        </w:rPr>
        <w:t>国有资本经营预算</w:t>
      </w:r>
      <w:r>
        <w:rPr>
          <w:rFonts w:hint="eastAsia" w:ascii="黑体" w:hAnsi="黑体" w:eastAsia="黑体" w:cs="黑体"/>
          <w:b w:val="0"/>
          <w:bCs/>
          <w:sz w:val="32"/>
          <w:szCs w:val="32"/>
        </w:rPr>
        <w:t>财政拨款</w:t>
      </w:r>
      <w:r>
        <w:rPr>
          <w:rFonts w:hint="eastAsia" w:ascii="黑体" w:hAnsi="黑体" w:eastAsia="黑体" w:cs="黑体"/>
          <w:b w:val="0"/>
          <w:bCs/>
          <w:sz w:val="32"/>
          <w:szCs w:val="32"/>
          <w:lang w:val="en-US" w:eastAsia="zh-CN"/>
        </w:rPr>
        <w:t>支出决算情况说明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仿宋" w:hAnsi="仿宋" w:eastAsia="仿宋" w:cs="仿宋"/>
          <w:color w:val="auto"/>
          <w:kern w:val="2"/>
          <w:sz w:val="32"/>
          <w:szCs w:val="32"/>
          <w:lang w:val="en-US" w:eastAsia="zh-CN" w:bidi="ar-SA"/>
        </w:rPr>
        <w:t>本单位无国有资本经营预算财政拨款支出。</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十、关于机关运行经费支出说明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11.13</w:t>
      </w:r>
      <w:r>
        <w:rPr>
          <w:rFonts w:hint="eastAsia" w:ascii="Times New Roman" w:hAnsi="Times New Roman" w:eastAsia="仿宋_GB2312"/>
          <w:sz w:val="32"/>
          <w:szCs w:val="32"/>
        </w:rPr>
        <w:t>万元，比年初预算数</w:t>
      </w:r>
      <w:r>
        <w:rPr>
          <w:rFonts w:hint="eastAsia" w:ascii="Times New Roman" w:hAnsi="Times New Roman" w:eastAsia="仿宋_GB2312"/>
          <w:sz w:val="32"/>
          <w:szCs w:val="32"/>
          <w:lang w:val="en-US" w:eastAsia="zh-CN"/>
        </w:rPr>
        <w:t>增加0.63</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%。主要原因是：</w:t>
      </w:r>
      <w:r>
        <w:rPr>
          <w:rFonts w:hint="default" w:ascii="仿宋" w:hAnsi="仿宋" w:eastAsia="仿宋" w:cs="仿宋"/>
          <w:sz w:val="32"/>
          <w:szCs w:val="32"/>
          <w:lang w:eastAsia="zh-CN"/>
        </w:rPr>
        <w:t>办公费、其他商品和服务支出</w:t>
      </w:r>
      <w:r>
        <w:rPr>
          <w:rFonts w:hint="eastAsia" w:ascii="仿宋" w:hAnsi="仿宋" w:eastAsia="仿宋" w:cs="仿宋"/>
          <w:sz w:val="32"/>
          <w:szCs w:val="32"/>
          <w:lang w:val="en-US" w:eastAsia="zh-CN"/>
        </w:rPr>
        <w:t>增加</w:t>
      </w:r>
      <w:r>
        <w:rPr>
          <w:rFonts w:hint="eastAsia" w:ascii="Times New Roman" w:hAnsi="Times New Roman" w:eastAsia="仿宋_GB2312"/>
          <w:sz w:val="32"/>
          <w:szCs w:val="32"/>
        </w:rPr>
        <w:t>。</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一</w:t>
      </w:r>
      <w:r>
        <w:rPr>
          <w:rFonts w:hint="eastAsia" w:ascii="黑体" w:hAnsi="黑体" w:eastAsia="黑体" w:cs="黑体"/>
          <w:b w:val="0"/>
          <w:bCs/>
          <w:sz w:val="32"/>
          <w:szCs w:val="32"/>
        </w:rPr>
        <w:t>、一般性支出情况说明</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1.99</w:t>
      </w:r>
      <w:r>
        <w:rPr>
          <w:rFonts w:hint="eastAsia" w:ascii="Times New Roman" w:hAnsi="Times New Roman" w:eastAsia="仿宋_GB2312"/>
          <w:sz w:val="32"/>
          <w:szCs w:val="32"/>
        </w:rPr>
        <w:t>万元，用于召开</w:t>
      </w:r>
      <w:r>
        <w:rPr>
          <w:rFonts w:hint="eastAsia" w:ascii="Times New Roman" w:hAnsi="Times New Roman" w:eastAsia="仿宋_GB2312"/>
          <w:sz w:val="32"/>
          <w:szCs w:val="32"/>
          <w:lang w:val="en-US" w:eastAsia="zh-CN"/>
        </w:rPr>
        <w:t>怀化市侨联六届三次全委</w:t>
      </w:r>
      <w:r>
        <w:rPr>
          <w:rFonts w:hint="eastAsia" w:ascii="Times New Roman" w:hAnsi="Times New Roman" w:eastAsia="仿宋_GB2312"/>
          <w:sz w:val="32"/>
          <w:szCs w:val="32"/>
        </w:rPr>
        <w:t>会议，人数</w:t>
      </w:r>
      <w:r>
        <w:rPr>
          <w:rFonts w:hint="eastAsia" w:ascii="Times New Roman" w:hAnsi="Times New Roman" w:eastAsia="仿宋_GB2312"/>
          <w:sz w:val="32"/>
          <w:szCs w:val="32"/>
          <w:lang w:val="en-US" w:eastAsia="zh-CN"/>
        </w:rPr>
        <w:t>80</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val="en-US" w:eastAsia="zh-CN"/>
        </w:rPr>
        <w:t>会场租赁、资料打印、参会人员用餐住宿</w:t>
      </w:r>
      <w:r>
        <w:rPr>
          <w:rFonts w:hint="eastAsia" w:ascii="Times New Roman" w:hAnsi="Times New Roman" w:eastAsia="仿宋_GB2312"/>
          <w:sz w:val="32"/>
          <w:szCs w:val="32"/>
        </w:rPr>
        <w:t>；开支培训费</w:t>
      </w:r>
      <w:r>
        <w:rPr>
          <w:rFonts w:hint="eastAsia" w:ascii="Times New Roman" w:hAnsi="Times New Roman" w:eastAsia="仿宋_GB2312"/>
          <w:sz w:val="32"/>
          <w:szCs w:val="32"/>
          <w:lang w:val="en-US" w:eastAsia="zh-CN"/>
        </w:rPr>
        <w:t>0.19</w:t>
      </w:r>
      <w:r>
        <w:rPr>
          <w:rFonts w:hint="eastAsia" w:ascii="Times New Roman" w:hAnsi="Times New Roman" w:eastAsia="仿宋_GB2312"/>
          <w:sz w:val="32"/>
          <w:szCs w:val="32"/>
        </w:rPr>
        <w:t>万元，用于开展</w:t>
      </w:r>
      <w:r>
        <w:rPr>
          <w:rFonts w:hint="eastAsia" w:ascii="Times New Roman" w:hAnsi="Times New Roman" w:eastAsia="仿宋_GB2312"/>
          <w:sz w:val="32"/>
          <w:szCs w:val="32"/>
          <w:lang w:val="en-US" w:eastAsia="zh-CN"/>
        </w:rPr>
        <w:t>怀化市委组织部安排的</w:t>
      </w:r>
      <w:r>
        <w:rPr>
          <w:rFonts w:hint="eastAsia" w:ascii="Times New Roman" w:hAnsi="Times New Roman" w:eastAsia="仿宋_GB2312"/>
          <w:sz w:val="32"/>
          <w:szCs w:val="32"/>
        </w:rPr>
        <w:t>培训</w:t>
      </w:r>
      <w:r>
        <w:rPr>
          <w:rFonts w:hint="eastAsia" w:ascii="Times New Roman" w:hAnsi="Times New Roman" w:eastAsia="仿宋_GB2312"/>
          <w:sz w:val="32"/>
          <w:szCs w:val="32"/>
          <w:lang w:val="en-US" w:eastAsia="zh-CN"/>
        </w:rPr>
        <w:t>开支</w:t>
      </w:r>
      <w:r>
        <w:rPr>
          <w:rFonts w:hint="eastAsia" w:ascii="Times New Roman" w:hAnsi="Times New Roman" w:eastAsia="仿宋_GB2312"/>
          <w:sz w:val="32"/>
          <w:szCs w:val="32"/>
        </w:rPr>
        <w:t>，人数</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val="en-US" w:eastAsia="zh-CN"/>
        </w:rPr>
        <w:t>党支部书记培训、机关意识形态工作专题研讨班。</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二</w:t>
      </w:r>
      <w:r>
        <w:rPr>
          <w:rFonts w:hint="eastAsia" w:ascii="黑体" w:hAnsi="黑体" w:eastAsia="黑体" w:cs="黑体"/>
          <w:b w:val="0"/>
          <w:bCs/>
          <w:sz w:val="32"/>
          <w:szCs w:val="32"/>
        </w:rPr>
        <w:t>、关于政府采购支出说明</w:t>
      </w: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default"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 xml:space="preserve"> 万元、政府采购工程支出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color w:val="auto"/>
          <w:sz w:val="32"/>
          <w:szCs w:val="32"/>
        </w:rPr>
        <w:t>占</w:t>
      </w:r>
      <w:r>
        <w:rPr>
          <w:rFonts w:hint="eastAsia" w:ascii="Times New Roman" w:hAnsi="Times New Roman" w:eastAsia="仿宋_GB2312"/>
          <w:color w:val="auto"/>
          <w:sz w:val="32"/>
          <w:szCs w:val="32"/>
          <w:lang w:eastAsia="zh-CN"/>
        </w:rPr>
        <w:t>授予中小企业合同金额</w:t>
      </w:r>
      <w:r>
        <w:rPr>
          <w:rFonts w:hint="eastAsia" w:ascii="Times New Roman" w:hAnsi="Times New Roman" w:eastAsia="仿宋_GB2312"/>
          <w:color w:val="auto"/>
          <w:sz w:val="32"/>
          <w:szCs w:val="32"/>
        </w:rPr>
        <w:t>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%。货物采购授予中小企业合同金额占货物支出金额的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%，工程采购授予中小企业合同金额占工程支出金额的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%，服务采购授予中小企业合同金额占服务支出金额的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w:t>
      </w: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三</w:t>
      </w:r>
      <w:r>
        <w:rPr>
          <w:rFonts w:hint="eastAsia" w:ascii="黑体" w:hAnsi="黑体" w:eastAsia="黑体" w:cs="黑体"/>
          <w:b w:val="0"/>
          <w:bCs/>
          <w:color w:val="auto"/>
          <w:sz w:val="32"/>
          <w:szCs w:val="32"/>
        </w:rPr>
        <w:t>、关于国有资产占用情况说明</w:t>
      </w: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截至202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年12月31日，</w:t>
      </w:r>
      <w:r>
        <w:rPr>
          <w:rFonts w:hint="eastAsia" w:ascii="Times New Roman" w:hAnsi="Times New Roman" w:eastAsia="仿宋_GB2312"/>
          <w:color w:val="auto"/>
          <w:sz w:val="32"/>
          <w:szCs w:val="32"/>
          <w:lang w:eastAsia="zh-CN"/>
        </w:rPr>
        <w:t>部门（单位）</w:t>
      </w:r>
      <w:r>
        <w:rPr>
          <w:rFonts w:hint="eastAsia" w:ascii="Times New Roman" w:hAnsi="Times New Roman" w:eastAsia="仿宋_GB2312"/>
          <w:color w:val="auto"/>
          <w:sz w:val="32"/>
          <w:szCs w:val="32"/>
        </w:rPr>
        <w:t>共有车辆</w:t>
      </w: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rPr>
        <w:t>辆，其中</w:t>
      </w:r>
      <w:r>
        <w:rPr>
          <w:rFonts w:hint="eastAsia" w:ascii="Times New Roman" w:hAnsi="Times New Roman" w:eastAsia="仿宋_GB2312"/>
          <w:color w:val="auto"/>
          <w:sz w:val="32"/>
          <w:szCs w:val="32"/>
          <w:lang w:eastAsia="zh-CN"/>
        </w:rPr>
        <w:t>，副部（省）级及以上领导用车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主要</w:t>
      </w:r>
      <w:r>
        <w:rPr>
          <w:rFonts w:hint="eastAsia" w:ascii="Times New Roman" w:hAnsi="Times New Roman" w:eastAsia="仿宋_GB2312"/>
          <w:color w:val="auto"/>
          <w:sz w:val="32"/>
          <w:szCs w:val="32"/>
          <w:lang w:eastAsia="zh-CN"/>
        </w:rPr>
        <w:t>负责人</w:t>
      </w:r>
      <w:r>
        <w:rPr>
          <w:rFonts w:hint="eastAsia" w:ascii="Times New Roman" w:hAnsi="Times New Roman" w:eastAsia="仿宋_GB2312"/>
          <w:color w:val="auto"/>
          <w:sz w:val="32"/>
          <w:szCs w:val="32"/>
        </w:rPr>
        <w:t>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机要通信用车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辆、应急保障用车</w:t>
      </w: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rPr>
        <w:t>辆、执法执勤用车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辆、特种专业技术用车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离退休干部服务用车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辆、其他用车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辆；单位价值100万元以上设备</w:t>
      </w:r>
      <w:r>
        <w:rPr>
          <w:rFonts w:hint="eastAsia" w:ascii="Times New Roman" w:hAnsi="Times New Roman" w:eastAsia="仿宋_GB2312"/>
          <w:color w:val="auto"/>
          <w:sz w:val="32"/>
          <w:szCs w:val="32"/>
          <w:lang w:eastAsia="zh-CN"/>
        </w:rPr>
        <w:t>（不含车辆）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台（套）。</w:t>
      </w: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四</w:t>
      </w:r>
      <w:r>
        <w:rPr>
          <w:rFonts w:hint="eastAsia" w:ascii="黑体" w:hAnsi="黑体" w:eastAsia="黑体" w:cs="黑体"/>
          <w:b w:val="0"/>
          <w:bCs/>
          <w:color w:val="auto"/>
          <w:sz w:val="32"/>
          <w:szCs w:val="32"/>
        </w:rPr>
        <w:t>、关于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（一）绩效管理工作开展情况</w:t>
      </w: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r>
        <w:rPr>
          <w:rFonts w:ascii="仿宋" w:hAnsi="仿宋" w:eastAsia="仿宋" w:cs="仿宋"/>
          <w:i w:val="0"/>
          <w:iCs w:val="0"/>
          <w:caps w:val="0"/>
          <w:color w:val="3D3D3D"/>
          <w:spacing w:val="0"/>
          <w:sz w:val="32"/>
          <w:szCs w:val="32"/>
          <w:shd w:val="clear" w:fill="FFFFFF"/>
        </w:rPr>
        <w:t>按照市本级预算绩效管理工作的总体要求，</w:t>
      </w:r>
      <w:r>
        <w:rPr>
          <w:rFonts w:hint="eastAsia" w:ascii="仿宋" w:hAnsi="仿宋" w:eastAsia="仿宋" w:cs="仿宋"/>
          <w:i w:val="0"/>
          <w:iCs w:val="0"/>
          <w:caps w:val="0"/>
          <w:color w:val="3D3D3D"/>
          <w:spacing w:val="0"/>
          <w:sz w:val="32"/>
          <w:szCs w:val="32"/>
          <w:shd w:val="clear" w:fill="FFFFFF"/>
        </w:rPr>
        <w:t>202</w:t>
      </w:r>
      <w:r>
        <w:rPr>
          <w:rFonts w:hint="eastAsia" w:ascii="仿宋" w:hAnsi="仿宋" w:eastAsia="仿宋" w:cs="仿宋"/>
          <w:i w:val="0"/>
          <w:iCs w:val="0"/>
          <w:caps w:val="0"/>
          <w:color w:val="3D3D3D"/>
          <w:spacing w:val="0"/>
          <w:sz w:val="32"/>
          <w:szCs w:val="32"/>
          <w:shd w:val="clear" w:fill="FFFFFF"/>
          <w:lang w:val="en-US" w:eastAsia="zh-CN"/>
        </w:rPr>
        <w:t>3</w:t>
      </w:r>
      <w:r>
        <w:rPr>
          <w:rFonts w:hint="eastAsia" w:ascii="仿宋" w:hAnsi="仿宋" w:eastAsia="仿宋" w:cs="仿宋"/>
          <w:i w:val="0"/>
          <w:iCs w:val="0"/>
          <w:caps w:val="0"/>
          <w:color w:val="3D3D3D"/>
          <w:spacing w:val="0"/>
          <w:sz w:val="32"/>
          <w:szCs w:val="32"/>
          <w:shd w:val="clear" w:fill="FFFFFF"/>
        </w:rPr>
        <w:t>年我单位整体支出</w:t>
      </w:r>
      <w:r>
        <w:rPr>
          <w:rFonts w:hint="eastAsia" w:ascii="仿宋" w:hAnsi="仿宋" w:eastAsia="仿宋" w:cs="仿宋"/>
          <w:i w:val="0"/>
          <w:iCs w:val="0"/>
          <w:caps w:val="0"/>
          <w:color w:val="3D3D3D"/>
          <w:spacing w:val="0"/>
          <w:sz w:val="32"/>
          <w:szCs w:val="32"/>
          <w:shd w:val="clear" w:fill="FFFFFF"/>
          <w:lang w:val="en-US" w:eastAsia="zh-CN"/>
        </w:rPr>
        <w:t>262.11</w:t>
      </w:r>
      <w:r>
        <w:rPr>
          <w:rFonts w:hint="eastAsia" w:ascii="仿宋" w:hAnsi="仿宋" w:eastAsia="仿宋" w:cs="仿宋"/>
          <w:i w:val="0"/>
          <w:iCs w:val="0"/>
          <w:caps w:val="0"/>
          <w:color w:val="3D3D3D"/>
          <w:spacing w:val="0"/>
          <w:sz w:val="32"/>
          <w:szCs w:val="32"/>
          <w:shd w:val="clear" w:fill="FFFFFF"/>
        </w:rPr>
        <w:t>万元，全部实行整体支出绩效目标管理，其中，基本支出</w:t>
      </w:r>
      <w:r>
        <w:rPr>
          <w:rFonts w:hint="eastAsia" w:ascii="仿宋" w:hAnsi="仿宋" w:eastAsia="仿宋" w:cs="仿宋"/>
          <w:i w:val="0"/>
          <w:iCs w:val="0"/>
          <w:caps w:val="0"/>
          <w:color w:val="3D3D3D"/>
          <w:spacing w:val="0"/>
          <w:sz w:val="32"/>
          <w:szCs w:val="32"/>
          <w:shd w:val="clear" w:fill="FFFFFF"/>
          <w:lang w:val="en-US" w:eastAsia="zh-CN"/>
        </w:rPr>
        <w:t>108.01</w:t>
      </w:r>
      <w:r>
        <w:rPr>
          <w:rFonts w:hint="eastAsia" w:ascii="仿宋" w:hAnsi="仿宋" w:eastAsia="仿宋" w:cs="仿宋"/>
          <w:i w:val="0"/>
          <w:iCs w:val="0"/>
          <w:caps w:val="0"/>
          <w:color w:val="3D3D3D"/>
          <w:spacing w:val="0"/>
          <w:sz w:val="32"/>
          <w:szCs w:val="32"/>
          <w:shd w:val="clear" w:fill="FFFFFF"/>
        </w:rPr>
        <w:t>万元，项目支出</w:t>
      </w:r>
      <w:r>
        <w:rPr>
          <w:rFonts w:hint="eastAsia" w:ascii="仿宋" w:hAnsi="仿宋" w:eastAsia="仿宋" w:cs="仿宋"/>
          <w:i w:val="0"/>
          <w:iCs w:val="0"/>
          <w:caps w:val="0"/>
          <w:color w:val="3D3D3D"/>
          <w:spacing w:val="0"/>
          <w:sz w:val="32"/>
          <w:szCs w:val="32"/>
          <w:shd w:val="clear" w:fill="FFFFFF"/>
          <w:lang w:val="en-US" w:eastAsia="zh-CN"/>
        </w:rPr>
        <w:t>154.1</w:t>
      </w:r>
      <w:r>
        <w:rPr>
          <w:rFonts w:hint="eastAsia" w:ascii="仿宋" w:hAnsi="仿宋" w:eastAsia="仿宋" w:cs="仿宋"/>
          <w:i w:val="0"/>
          <w:iCs w:val="0"/>
          <w:caps w:val="0"/>
          <w:color w:val="3D3D3D"/>
          <w:spacing w:val="0"/>
          <w:sz w:val="32"/>
          <w:szCs w:val="32"/>
          <w:shd w:val="clear" w:fill="FFFFFF"/>
        </w:rPr>
        <w:t>万元。</w:t>
      </w: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部门</w:t>
      </w:r>
      <w:r>
        <w:rPr>
          <w:rFonts w:hint="eastAsia" w:ascii="楷体" w:hAnsi="楷体" w:eastAsia="楷体" w:cs="楷体"/>
          <w:b/>
          <w:bCs/>
          <w:sz w:val="32"/>
          <w:szCs w:val="32"/>
          <w:lang w:eastAsia="zh-CN"/>
        </w:rPr>
        <w:t>（单位）</w:t>
      </w:r>
      <w:r>
        <w:rPr>
          <w:rFonts w:hint="eastAsia" w:ascii="楷体" w:hAnsi="楷体" w:eastAsia="楷体" w:cs="楷体"/>
          <w:b/>
          <w:bCs/>
          <w:sz w:val="32"/>
          <w:szCs w:val="32"/>
        </w:rPr>
        <w:t>整体支出绩效情况</w:t>
      </w:r>
    </w:p>
    <w:p>
      <w:pPr>
        <w:widowControl/>
        <w:shd w:val="clear" w:color="auto" w:fill="FFFFFF"/>
        <w:spacing w:line="600" w:lineRule="atLeast"/>
        <w:ind w:firstLine="640"/>
        <w:rPr>
          <w:rFonts w:hint="default" w:ascii="仿宋_GB2312" w:eastAsia="仿宋_GB2312" w:cs="仿宋_GB2312"/>
          <w:i w:val="0"/>
          <w:iCs w:val="0"/>
          <w:caps w:val="0"/>
          <w:color w:val="000000"/>
          <w:spacing w:val="0"/>
          <w:sz w:val="32"/>
          <w:szCs w:val="32"/>
          <w:shd w:val="clear" w:fill="FFFFFF"/>
        </w:rPr>
      </w:pPr>
      <w:r>
        <w:rPr>
          <w:rFonts w:hint="eastAsia" w:ascii="仿宋_GB2312" w:hAnsi="仿宋_GB2312" w:eastAsia="仿宋_GB2312" w:cs="仿宋_GB2312"/>
          <w:spacing w:val="-2"/>
          <w:sz w:val="32"/>
          <w:szCs w:val="32"/>
          <w:lang w:val="en-US" w:eastAsia="zh-CN"/>
        </w:rPr>
        <w:t>根据《</w:t>
      </w:r>
      <w:r>
        <w:rPr>
          <w:rFonts w:hint="eastAsia" w:ascii="仿宋_GB2312" w:hAnsi="仿宋_GB2312" w:eastAsia="仿宋_GB2312" w:cs="仿宋_GB2312"/>
          <w:spacing w:val="-2"/>
          <w:sz w:val="32"/>
          <w:szCs w:val="32"/>
          <w:lang w:eastAsia="zh-CN"/>
        </w:rPr>
        <w:t>怀化市</w:t>
      </w:r>
      <w:r>
        <w:rPr>
          <w:rFonts w:hint="eastAsia" w:ascii="仿宋_GB2312" w:hAnsi="仿宋_GB2312" w:eastAsia="仿宋_GB2312" w:cs="仿宋_GB2312"/>
          <w:spacing w:val="-2"/>
          <w:sz w:val="32"/>
          <w:szCs w:val="32"/>
          <w:lang w:val="en-US" w:eastAsia="zh-CN"/>
        </w:rPr>
        <w:t>财政局关于开展2023年度部门绩效自评工作的通知》文件要求，我单位对本部门的整体支出进行了绩效自评。绩效评价结果显示，我单位在预算配置、预算执行、预算管理等方面工作推进扎实，较好地实现了年度绩效目标</w:t>
      </w:r>
      <w:r>
        <w:rPr>
          <w:rFonts w:hint="eastAsia" w:ascii="仿宋_GB2312" w:hAnsi="仿宋_GB2312" w:eastAsia="仿宋_GB2312" w:cs="仿宋_GB2312"/>
          <w:spacing w:val="-2"/>
          <w:sz w:val="32"/>
          <w:szCs w:val="32"/>
          <w:lang w:eastAsia="zh-CN"/>
        </w:rPr>
        <w:t>，自评得分</w:t>
      </w:r>
      <w:r>
        <w:rPr>
          <w:rFonts w:hint="default" w:ascii="仿宋_GB2312" w:hAnsi="仿宋_GB2312" w:eastAsia="仿宋_GB2312" w:cs="仿宋_GB2312"/>
          <w:spacing w:val="-2"/>
          <w:sz w:val="32"/>
          <w:szCs w:val="32"/>
          <w:lang w:eastAsia="zh-CN"/>
        </w:rPr>
        <w:t>100分，评价等级为A。</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8" w:firstLineChars="200"/>
        <w:jc w:val="both"/>
        <w:textAlignment w:val="auto"/>
        <w:rPr>
          <w:rFonts w:hint="eastAsia" w:ascii="仿宋_GB2312" w:hAnsi="仿宋_GB2312" w:eastAsia="仿宋_GB2312" w:cs="仿宋_GB2312"/>
          <w:b w:val="0"/>
          <w:bCs w:val="0"/>
          <w:color w:val="000000"/>
          <w:spacing w:val="2"/>
          <w:sz w:val="32"/>
          <w:szCs w:val="32"/>
          <w:lang w:eastAsia="zh-CN"/>
        </w:rPr>
      </w:pPr>
      <w:r>
        <w:rPr>
          <w:rFonts w:hint="default" w:ascii="仿宋_GB2312" w:hAnsi="仿宋_GB2312" w:eastAsia="仿宋_GB2312" w:cs="仿宋_GB2312"/>
          <w:b w:val="0"/>
          <w:bCs w:val="0"/>
          <w:color w:val="000000"/>
          <w:spacing w:val="2"/>
          <w:sz w:val="32"/>
          <w:szCs w:val="32"/>
          <w:lang w:eastAsia="zh-CN"/>
        </w:rPr>
        <w:t>2023年怀化市侨联围绕宣</w:t>
      </w:r>
      <w:r>
        <w:rPr>
          <w:rFonts w:hint="eastAsia" w:ascii="仿宋_GB2312" w:hAnsi="仿宋_GB2312" w:eastAsia="仿宋_GB2312" w:cs="仿宋_GB2312"/>
          <w:b w:val="0"/>
          <w:bCs w:val="0"/>
          <w:color w:val="000000"/>
          <w:spacing w:val="2"/>
          <w:sz w:val="32"/>
          <w:szCs w:val="32"/>
          <w:lang w:eastAsia="zh-CN"/>
        </w:rPr>
        <w:t>传、贯彻党和政府的方针政策，依法维护归侨侨眷的合法权益，为广大归侨侨眷提供法律咨询服务，围绕经济建设凝聚侨心、发挥侨力引进资金、技术和人才，做好侨爱心工程，为侨企提供服务。负责指导全市侨联组织的业务工作及全市归侨、侨眷代表大会和委员会的决议决定的实施，积极参政议政，为党和政府制定侨务政策提出建议和意见，承办市委市政府交办的其他事项。</w:t>
      </w:r>
    </w:p>
    <w:p>
      <w:pPr>
        <w:pStyle w:val="2"/>
        <w:ind w:left="0" w:leftChars="0" w:firstLine="632" w:firstLineChars="200"/>
        <w:rPr>
          <w:rFonts w:hint="eastAsia" w:ascii="Times New Roman" w:hAnsi="Times New Roman" w:eastAsia="仿宋_GB2312"/>
          <w:sz w:val="32"/>
          <w:szCs w:val="32"/>
        </w:rPr>
      </w:pPr>
      <w:r>
        <w:rPr>
          <w:rFonts w:hint="eastAsia" w:ascii="仿宋" w:hAnsi="仿宋" w:eastAsia="仿宋"/>
          <w:spacing w:val="-2"/>
          <w:sz w:val="32"/>
          <w:szCs w:val="32"/>
          <w:lang w:val="en-US" w:eastAsia="zh-CN"/>
        </w:rPr>
        <w:t>我单位坚持节约简朴的原则，严禁奢侈浪费，将运行成本降到最低，努力提高财务管理效率，积极履行好侨联职责，所开展的活动均取得较高的社会效应，可持续影响指标和满意度指标均能完成绩效拟定目标。</w:t>
      </w: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（三）</w:t>
      </w:r>
      <w:r>
        <w:rPr>
          <w:rFonts w:hint="eastAsia" w:ascii="楷体" w:hAnsi="楷体" w:eastAsia="楷体" w:cs="楷体"/>
          <w:b/>
          <w:bCs/>
          <w:sz w:val="32"/>
          <w:szCs w:val="32"/>
        </w:rPr>
        <w:t>存在的问题及原因分析</w:t>
      </w:r>
    </w:p>
    <w:p>
      <w:pPr>
        <w:keepNext w:val="0"/>
        <w:keepLines w:val="0"/>
        <w:pageBreakBefore w:val="0"/>
        <w:widowControl/>
        <w:shd w:val="clear" w:color="auto" w:fill="FFFFFF"/>
        <w:kinsoku/>
        <w:wordWrap/>
        <w:overflowPunct/>
        <w:topLinePunct w:val="0"/>
        <w:autoSpaceDE/>
        <w:autoSpaceDN/>
        <w:bidi w:val="0"/>
        <w:adjustRightInd/>
        <w:spacing w:line="550" w:lineRule="exact"/>
        <w:ind w:firstLine="640"/>
        <w:textAlignment w:val="auto"/>
        <w:rPr>
          <w:rFonts w:hint="default" w:ascii="仿宋_GB2312" w:eastAsia="仿宋_GB2312" w:cs="仿宋_GB2312"/>
          <w:i w:val="0"/>
          <w:iCs w:val="0"/>
          <w:caps w:val="0"/>
          <w:color w:val="000000"/>
          <w:spacing w:val="0"/>
          <w:sz w:val="32"/>
          <w:szCs w:val="32"/>
          <w:shd w:val="clear" w:fill="FFFFFF"/>
        </w:rPr>
      </w:pPr>
      <w:r>
        <w:rPr>
          <w:rFonts w:hint="eastAsia" w:ascii="仿宋" w:hAnsi="仿宋" w:eastAsia="仿宋"/>
          <w:spacing w:val="-2"/>
          <w:sz w:val="32"/>
          <w:szCs w:val="32"/>
        </w:rPr>
        <w:t>一是对</w:t>
      </w:r>
      <w:r>
        <w:rPr>
          <w:rFonts w:hint="eastAsia" w:ascii="仿宋" w:hAnsi="仿宋" w:eastAsia="仿宋"/>
          <w:spacing w:val="-2"/>
          <w:sz w:val="32"/>
          <w:szCs w:val="32"/>
          <w:lang w:val="en-US" w:eastAsia="zh-CN"/>
        </w:rPr>
        <w:t>预算工作重视不够</w:t>
      </w:r>
      <w:r>
        <w:rPr>
          <w:rFonts w:hint="eastAsia" w:ascii="仿宋" w:hAnsi="仿宋" w:eastAsia="仿宋"/>
          <w:spacing w:val="-2"/>
          <w:sz w:val="32"/>
          <w:szCs w:val="32"/>
        </w:rPr>
        <w:t>，没有将绩效工作的重要性及必要性深入人心。平时各</w:t>
      </w:r>
      <w:r>
        <w:rPr>
          <w:rFonts w:hint="eastAsia" w:ascii="仿宋" w:hAnsi="仿宋" w:eastAsia="仿宋"/>
          <w:spacing w:val="-2"/>
          <w:sz w:val="32"/>
          <w:szCs w:val="32"/>
          <w:lang w:val="en-US" w:eastAsia="zh-CN"/>
        </w:rPr>
        <w:t>科</w:t>
      </w:r>
      <w:r>
        <w:rPr>
          <w:rFonts w:hint="eastAsia" w:ascii="仿宋" w:hAnsi="仿宋" w:eastAsia="仿宋"/>
          <w:spacing w:val="-2"/>
          <w:sz w:val="32"/>
          <w:szCs w:val="32"/>
        </w:rPr>
        <w:t>室忙于事务性工作和业务培训，</w:t>
      </w:r>
      <w:r>
        <w:rPr>
          <w:rFonts w:hint="eastAsia" w:ascii="仿宋" w:hAnsi="仿宋" w:eastAsia="仿宋"/>
          <w:spacing w:val="-2"/>
          <w:sz w:val="32"/>
          <w:szCs w:val="32"/>
          <w:lang w:val="en-US" w:eastAsia="zh-CN"/>
        </w:rPr>
        <w:t>财务</w:t>
      </w:r>
      <w:r>
        <w:rPr>
          <w:rFonts w:hint="eastAsia" w:ascii="仿宋" w:hAnsi="仿宋" w:eastAsia="仿宋"/>
          <w:spacing w:val="-2"/>
          <w:sz w:val="32"/>
          <w:szCs w:val="32"/>
        </w:rPr>
        <w:t>培训做得相对较少；二是预算执行进度全年不够均衡。我会部分重要业务活动集中安排在下半年，导致预算支出时间也相对集中在下半年。三是内控管理制度体系还有待完善，需进一步加强。</w:t>
      </w:r>
    </w:p>
    <w:p>
      <w:pPr>
        <w:pStyle w:val="13"/>
        <w:jc w:val="both"/>
        <w:rPr>
          <w:sz w:val="72"/>
          <w:szCs w:val="72"/>
        </w:rPr>
      </w:pPr>
    </w:p>
    <w:p>
      <w:pPr>
        <w:pStyle w:val="13"/>
        <w:jc w:val="both"/>
        <w:rPr>
          <w:rFonts w:hint="eastAsia" w:ascii="方正小标宋_GBK" w:hAnsi="方正小标宋_GBK" w:eastAsia="方正小标宋_GBK" w:cs="方正小标宋_GBK"/>
          <w:sz w:val="72"/>
          <w:szCs w:val="72"/>
        </w:rPr>
      </w:pPr>
    </w:p>
    <w:p>
      <w:pPr>
        <w:pStyle w:val="13"/>
        <w:jc w:val="both"/>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pPr>
        <w:jc w:val="center"/>
        <w:rPr>
          <w:rFonts w:hint="eastAsia" w:ascii="方正小标宋_GBK" w:hAnsi="方正小标宋_GBK" w:eastAsia="方正小标宋_GBK" w:cs="方正小标宋_GBK"/>
          <w:color w:val="000000"/>
          <w:kern w:val="0"/>
          <w:sz w:val="70"/>
          <w:szCs w:val="70"/>
        </w:rPr>
      </w:pPr>
    </w:p>
    <w:p>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pPr>
        <w:keepNext w:val="0"/>
        <w:keepLines w:val="0"/>
        <w:pageBreakBefore w:val="0"/>
        <w:widowControl/>
        <w:kinsoku/>
        <w:wordWrap/>
        <w:overflowPunct/>
        <w:topLinePunct w:val="0"/>
        <w:bidi w:val="0"/>
        <w:snapToGrid/>
        <w:spacing w:line="600" w:lineRule="exact"/>
        <w:ind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一、机关运行经费</w:t>
      </w:r>
      <w:r>
        <w:rPr>
          <w:rFonts w:hint="eastAsia" w:ascii="仿宋" w:hAnsi="仿宋" w:eastAsia="仿宋" w:cs="仿宋"/>
          <w:color w:val="000000"/>
          <w:kern w:val="0"/>
          <w:sz w:val="32"/>
          <w:szCs w:val="32"/>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pPr>
        <w:keepNext w:val="0"/>
        <w:keepLines w:val="0"/>
        <w:pageBreakBefore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二、“三公”经费</w:t>
      </w:r>
      <w:r>
        <w:rPr>
          <w:rFonts w:hint="eastAsia" w:ascii="仿宋" w:hAnsi="仿宋" w:eastAsia="仿宋" w:cs="仿宋"/>
          <w:color w:val="000000"/>
          <w:kern w:val="0"/>
          <w:sz w:val="32"/>
          <w:szCs w:val="32"/>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pStyle w:val="13"/>
        <w:jc w:val="center"/>
        <w:rPr>
          <w:sz w:val="72"/>
          <w:szCs w:val="72"/>
        </w:rPr>
      </w:pPr>
    </w:p>
    <w:p>
      <w:pPr>
        <w:pStyle w:val="13"/>
        <w:jc w:val="center"/>
        <w:rPr>
          <w:sz w:val="72"/>
          <w:szCs w:val="72"/>
        </w:rPr>
      </w:pPr>
    </w:p>
    <w:p>
      <w:pPr>
        <w:pStyle w:val="13"/>
        <w:jc w:val="center"/>
        <w:rPr>
          <w:sz w:val="72"/>
          <w:szCs w:val="72"/>
        </w:rPr>
      </w:pPr>
    </w:p>
    <w:p>
      <w:pPr>
        <w:pStyle w:val="13"/>
        <w:jc w:val="center"/>
        <w:rPr>
          <w:sz w:val="72"/>
          <w:szCs w:val="72"/>
        </w:rPr>
      </w:pPr>
    </w:p>
    <w:p>
      <w:pPr>
        <w:pStyle w:val="13"/>
        <w:jc w:val="center"/>
        <w:rPr>
          <w:sz w:val="72"/>
          <w:szCs w:val="72"/>
        </w:rPr>
      </w:pPr>
    </w:p>
    <w:p>
      <w:pPr>
        <w:pStyle w:val="13"/>
        <w:jc w:val="center"/>
        <w:rPr>
          <w:sz w:val="72"/>
          <w:szCs w:val="72"/>
        </w:rPr>
      </w:pPr>
    </w:p>
    <w:p>
      <w:pPr>
        <w:pStyle w:val="13"/>
        <w:jc w:val="center"/>
        <w:rPr>
          <w:sz w:val="72"/>
          <w:szCs w:val="72"/>
        </w:rPr>
      </w:pPr>
    </w:p>
    <w:p>
      <w:pPr>
        <w:pStyle w:val="13"/>
        <w:jc w:val="center"/>
        <w:rPr>
          <w:sz w:val="72"/>
          <w:szCs w:val="72"/>
        </w:rPr>
      </w:pPr>
    </w:p>
    <w:p>
      <w:pPr>
        <w:rPr>
          <w:sz w:val="72"/>
          <w:szCs w:val="72"/>
        </w:rPr>
      </w:pPr>
      <w:r>
        <w:rPr>
          <w:sz w:val="72"/>
          <w:szCs w:val="72"/>
        </w:rPr>
        <w:br w:type="page"/>
      </w:r>
    </w:p>
    <w:p>
      <w:pPr>
        <w:pStyle w:val="13"/>
        <w:jc w:val="center"/>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pPr>
        <w:pStyle w:val="13"/>
        <w:jc w:val="center"/>
        <w:rPr>
          <w:rFonts w:hint="eastAsia" w:ascii="方正小标宋_GBK" w:hAnsi="方正小标宋_GBK" w:eastAsia="方正小标宋_GBK" w:cs="方正小标宋_GBK"/>
          <w:sz w:val="70"/>
          <w:szCs w:val="70"/>
        </w:rPr>
      </w:pPr>
    </w:p>
    <w:p>
      <w:pPr>
        <w:pStyle w:val="13"/>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pPr>
        <w:rPr>
          <w:sz w:val="72"/>
          <w:szCs w:val="72"/>
        </w:rPr>
      </w:pPr>
      <w:r>
        <w:rPr>
          <w:sz w:val="72"/>
          <w:szCs w:val="72"/>
        </w:rPr>
        <w:br w:type="page"/>
      </w:r>
    </w:p>
    <w:p>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楷体" w:hAnsi="楷体" w:eastAsia="楷体" w:cs="楷体"/>
          <w:b/>
          <w:bCs/>
          <w:sz w:val="32"/>
          <w:szCs w:val="32"/>
          <w:lang w:eastAsia="zh-CN"/>
        </w:rPr>
        <w:t>一、</w:t>
      </w:r>
      <w:r>
        <w:rPr>
          <w:rFonts w:hint="eastAsia" w:ascii="Times New Roman" w:hAnsi="Times New Roman" w:eastAsia="仿宋_GB2312"/>
          <w:sz w:val="32"/>
          <w:szCs w:val="32"/>
          <w:lang w:val="en-US" w:eastAsia="zh-CN"/>
        </w:rPr>
        <w:t>2023年度部门(单位)整体支出绩效自评报告。</w:t>
      </w:r>
    </w:p>
    <w:p>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p>
    <w:p>
      <w:pPr>
        <w:pStyle w:val="13"/>
        <w:jc w:val="center"/>
        <w:rPr>
          <w:sz w:val="72"/>
          <w:szCs w:val="72"/>
        </w:rPr>
      </w:pPr>
    </w:p>
    <w:p>
      <w:pPr>
        <w:pStyle w:val="13"/>
        <w:jc w:val="center"/>
        <w:rPr>
          <w:sz w:val="72"/>
          <w:szCs w:val="72"/>
        </w:rPr>
      </w:pPr>
    </w:p>
    <w:p>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
    <w:altName w:val="DejaVu Math TeX Gyre"/>
    <w:panose1 w:val="00000000000000000000"/>
    <w:charset w:val="00"/>
    <w:family w:val="auto"/>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方正小标宋_GBK">
    <w:panose1 w:val="02000000000000000000"/>
    <w:charset w:val="86"/>
    <w:family w:val="script"/>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NTM5NzYwMDRjMzkwZTVkZjY2ODkwMGIxNGU0OTU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1C391EB4"/>
    <w:rsid w:val="1C611D78"/>
    <w:rsid w:val="1D97DEFF"/>
    <w:rsid w:val="1DFF72E5"/>
    <w:rsid w:val="1EFC6F07"/>
    <w:rsid w:val="2FDF85B8"/>
    <w:rsid w:val="2FFFEE04"/>
    <w:rsid w:val="34DF85B0"/>
    <w:rsid w:val="3B8F36BC"/>
    <w:rsid w:val="491FF225"/>
    <w:rsid w:val="4FFD214C"/>
    <w:rsid w:val="56A74B28"/>
    <w:rsid w:val="5777D4F5"/>
    <w:rsid w:val="59DD8326"/>
    <w:rsid w:val="5DEF592A"/>
    <w:rsid w:val="5FC6BB1E"/>
    <w:rsid w:val="5FF720F1"/>
    <w:rsid w:val="67FF5C0B"/>
    <w:rsid w:val="6EFC0924"/>
    <w:rsid w:val="6FB74722"/>
    <w:rsid w:val="6FEF8B7E"/>
    <w:rsid w:val="71A6591B"/>
    <w:rsid w:val="737D59BA"/>
    <w:rsid w:val="77C37683"/>
    <w:rsid w:val="79FF515B"/>
    <w:rsid w:val="7E9E1962"/>
    <w:rsid w:val="7E9F11B4"/>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B34F25"/>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nhideWhenUsed="0" w:uiPriority="0" w:semiHidden="0"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unhideWhenUsed/>
    <w:qFormat/>
    <w:uiPriority w:val="99"/>
    <w:pPr>
      <w:widowControl/>
      <w:spacing w:after="120"/>
      <w:ind w:left="420" w:leftChars="200"/>
      <w:jc w:val="left"/>
    </w:pPr>
    <w:rPr>
      <w:rFonts w:ascii="宋体" w:hAnsi="宋体" w:eastAsia="宋体" w:cs="宋体"/>
      <w:kern w:val="0"/>
      <w:sz w:val="24"/>
    </w:rPr>
  </w:style>
  <w:style w:type="paragraph" w:styleId="4">
    <w:name w:val="index 5"/>
    <w:basedOn w:val="1"/>
    <w:next w:val="1"/>
    <w:qFormat/>
    <w:uiPriority w:val="0"/>
    <w:pPr>
      <w:ind w:left="160"/>
    </w:pPr>
    <w:rPr>
      <w:rFonts w:ascii="????" w:hAnsi="????" w:eastAsia="方正小标宋_GBK"/>
      <w:sz w:val="24"/>
    </w:rPr>
  </w:style>
  <w:style w:type="paragraph" w:styleId="5">
    <w:name w:val="Balloon Text"/>
    <w:basedOn w:val="1"/>
    <w:link w:val="15"/>
    <w:semiHidden/>
    <w:unhideWhenUsed/>
    <w:qFormat/>
    <w:uiPriority w:val="99"/>
    <w:rPr>
      <w:sz w:val="18"/>
      <w:szCs w:val="18"/>
    </w:rPr>
  </w:style>
  <w:style w:type="paragraph" w:styleId="6">
    <w:name w:val="footer"/>
    <w:basedOn w:val="1"/>
    <w:link w:val="12"/>
    <w:unhideWhenUsed/>
    <w:qFormat/>
    <w:uiPriority w:val="99"/>
    <w:pPr>
      <w:tabs>
        <w:tab w:val="center" w:pos="4153"/>
        <w:tab w:val="right" w:pos="8306"/>
      </w:tabs>
      <w:snapToGrid w:val="0"/>
      <w:jc w:val="left"/>
    </w:pPr>
    <w:rPr>
      <w:sz w:val="18"/>
      <w:szCs w:val="18"/>
    </w:rPr>
  </w:style>
  <w:style w:type="paragraph" w:styleId="7">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next w:val="2"/>
    <w:semiHidden/>
    <w:qFormat/>
    <w:uiPriority w:val="0"/>
    <w:pPr>
      <w:snapToGrid w:val="0"/>
      <w:jc w:val="left"/>
    </w:pPr>
    <w:rPr>
      <w:sz w:val="18"/>
      <w:szCs w:val="18"/>
    </w:rPr>
  </w:style>
  <w:style w:type="character" w:customStyle="1" w:styleId="11">
    <w:name w:val="页眉 Char"/>
    <w:basedOn w:val="10"/>
    <w:link w:val="7"/>
    <w:qFormat/>
    <w:uiPriority w:val="99"/>
    <w:rPr>
      <w:sz w:val="18"/>
      <w:szCs w:val="18"/>
    </w:rPr>
  </w:style>
  <w:style w:type="character" w:customStyle="1" w:styleId="12">
    <w:name w:val="页脚 Char"/>
    <w:basedOn w:val="10"/>
    <w:link w:val="6"/>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5"/>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33</Pages>
  <Words>6730</Words>
  <Characters>8040</Characters>
  <Lines>63</Lines>
  <Paragraphs>18</Paragraphs>
  <TotalTime>5</TotalTime>
  <ScaleCrop>false</ScaleCrop>
  <LinksUpToDate>false</LinksUpToDate>
  <CharactersWithSpaces>8993</CharactersWithSpaces>
  <Application>WPS Office_12.8.2.1112_F1E327BC-269C-435d-A152-05C5408002CA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2020-07-08T10:32:00Z</dcterms:created>
  <dc:creator>李航 null</dc:creator>
  <cp:lastModifiedBy>宜烨</cp:lastModifiedBy>
  <cp:lastPrinted>2024-08-08T18:20:00Z</cp:lastPrinted>
  <dcterms:modified xsi:type="dcterms:W3CDTF">2024-09-26T08:32:42Z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2052-12.8.2.1112</vt:lpwstr>
  </property>
  <property fmtid="{D5CDD505-2E9C-101B-9397-08002B2CF9AE}" pid="3" name="ICV">
    <vt:lpwstr>59B6F1C2C248D82CAAABF466C6732949_43</vt:lpwstr>
  </property>
</Properties>
</file>