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A7597">
      <w:pPr>
        <w:pStyle w:val="12"/>
        <w:jc w:val="both"/>
        <w:rPr>
          <w:sz w:val="56"/>
          <w:szCs w:val="56"/>
        </w:rPr>
      </w:pPr>
    </w:p>
    <w:p w14:paraId="1C38296F">
      <w:pPr>
        <w:pStyle w:val="12"/>
        <w:jc w:val="center"/>
        <w:rPr>
          <w:sz w:val="84"/>
          <w:szCs w:val="84"/>
        </w:rPr>
      </w:pPr>
    </w:p>
    <w:p w14:paraId="56F34C97">
      <w:pPr>
        <w:pStyle w:val="12"/>
        <w:jc w:val="center"/>
        <w:rPr>
          <w:sz w:val="84"/>
          <w:szCs w:val="84"/>
        </w:rPr>
      </w:pPr>
    </w:p>
    <w:p w14:paraId="5FAED60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2DC32AC">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中共怀化市委老干部局</w:t>
      </w:r>
    </w:p>
    <w:p w14:paraId="4AB1CA47">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48A8C86">
      <w:pPr>
        <w:pStyle w:val="12"/>
        <w:jc w:val="center"/>
        <w:rPr>
          <w:rFonts w:ascii="方正小标宋_GBK" w:hAnsi="方正小标宋_GBK" w:eastAsia="方正小标宋_GBK" w:cs="方正小标宋_GBK"/>
          <w:sz w:val="56"/>
          <w:szCs w:val="56"/>
        </w:rPr>
      </w:pPr>
    </w:p>
    <w:p w14:paraId="72F7E900">
      <w:pPr>
        <w:pStyle w:val="12"/>
        <w:jc w:val="center"/>
        <w:rPr>
          <w:sz w:val="56"/>
          <w:szCs w:val="56"/>
        </w:rPr>
      </w:pPr>
    </w:p>
    <w:p w14:paraId="30FD5ADB">
      <w:pPr>
        <w:pStyle w:val="12"/>
        <w:jc w:val="center"/>
        <w:rPr>
          <w:sz w:val="56"/>
          <w:szCs w:val="56"/>
        </w:rPr>
      </w:pPr>
    </w:p>
    <w:p w14:paraId="7BFA8649">
      <w:pPr>
        <w:pStyle w:val="12"/>
        <w:jc w:val="center"/>
        <w:rPr>
          <w:sz w:val="56"/>
          <w:szCs w:val="56"/>
        </w:rPr>
      </w:pPr>
    </w:p>
    <w:p w14:paraId="154AA29F">
      <w:pPr>
        <w:pStyle w:val="12"/>
        <w:jc w:val="center"/>
        <w:rPr>
          <w:sz w:val="32"/>
          <w:szCs w:val="32"/>
        </w:rPr>
      </w:pPr>
    </w:p>
    <w:p w14:paraId="1CD9D936">
      <w:pPr>
        <w:pStyle w:val="12"/>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01FD6D7C">
      <w:pPr>
        <w:pStyle w:val="12"/>
        <w:spacing w:line="500" w:lineRule="exact"/>
        <w:rPr>
          <w:rFonts w:hAnsi="黑体"/>
          <w:bCs/>
          <w:sz w:val="28"/>
          <w:szCs w:val="28"/>
        </w:rPr>
      </w:pPr>
      <w:r>
        <w:rPr>
          <w:rFonts w:hint="eastAsia" w:hAnsi="黑体"/>
          <w:bCs/>
          <w:sz w:val="28"/>
          <w:szCs w:val="28"/>
        </w:rPr>
        <w:t>第一部分 中共怀化市委老干部局部门概况</w:t>
      </w:r>
    </w:p>
    <w:p w14:paraId="7AAD54EC">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1CBDA63">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87A8EA4">
      <w:pPr>
        <w:pStyle w:val="12"/>
        <w:spacing w:line="500" w:lineRule="exact"/>
        <w:rPr>
          <w:rFonts w:hAnsi="黑体"/>
          <w:bCs/>
          <w:sz w:val="28"/>
          <w:szCs w:val="28"/>
        </w:rPr>
      </w:pPr>
      <w:r>
        <w:rPr>
          <w:rFonts w:hint="eastAsia" w:hAnsi="黑体"/>
          <w:bCs/>
          <w:sz w:val="28"/>
          <w:szCs w:val="28"/>
        </w:rPr>
        <w:t>第二部分 部门决算表</w:t>
      </w:r>
    </w:p>
    <w:p w14:paraId="3B2C8DDA">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DBFE263">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778A8F9">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655A0C">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84CDB1D">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B72E99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A93F400">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A8E6786">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AAC783F">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8FBE5BC">
      <w:pPr>
        <w:pStyle w:val="12"/>
        <w:spacing w:line="500" w:lineRule="exact"/>
        <w:rPr>
          <w:rFonts w:hAnsi="黑体"/>
          <w:bCs/>
          <w:sz w:val="28"/>
          <w:szCs w:val="28"/>
        </w:rPr>
      </w:pPr>
      <w:r>
        <w:rPr>
          <w:rFonts w:hint="eastAsia" w:hAnsi="黑体"/>
          <w:bCs/>
          <w:sz w:val="28"/>
          <w:szCs w:val="28"/>
        </w:rPr>
        <w:t>第三部分 部门决算情况说明</w:t>
      </w:r>
    </w:p>
    <w:p w14:paraId="279DC761">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5939D11">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F8ED91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B11ECB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8F4DFF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7ACCAA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C64C3A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407465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7A752F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7CD9EEA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462E25D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4865585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0D371861">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269D6707">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十四、关于预算绩效情况的说明</w:t>
      </w:r>
    </w:p>
    <w:p w14:paraId="1BF16D7E">
      <w:pPr>
        <w:pStyle w:val="12"/>
        <w:spacing w:line="500" w:lineRule="exact"/>
        <w:rPr>
          <w:rFonts w:hAnsi="黑体"/>
          <w:bCs/>
          <w:sz w:val="28"/>
          <w:szCs w:val="28"/>
        </w:rPr>
      </w:pPr>
      <w:r>
        <w:rPr>
          <w:rFonts w:hint="eastAsia" w:hAnsi="黑体"/>
          <w:bCs/>
          <w:sz w:val="28"/>
          <w:szCs w:val="28"/>
        </w:rPr>
        <w:t>第四部分 名词解释</w:t>
      </w:r>
    </w:p>
    <w:p w14:paraId="6D3C134D">
      <w:pPr>
        <w:pStyle w:val="12"/>
        <w:spacing w:line="500" w:lineRule="exact"/>
        <w:rPr>
          <w:rFonts w:hAnsi="黑体"/>
          <w:bCs/>
          <w:sz w:val="28"/>
          <w:szCs w:val="28"/>
        </w:rPr>
      </w:pPr>
      <w:r>
        <w:rPr>
          <w:rFonts w:hint="eastAsia" w:hAnsi="黑体"/>
          <w:bCs/>
          <w:sz w:val="28"/>
          <w:szCs w:val="28"/>
        </w:rPr>
        <w:t>第五部分 附件</w:t>
      </w:r>
    </w:p>
    <w:p w14:paraId="2086ED03">
      <w:pPr>
        <w:jc w:val="both"/>
        <w:rPr>
          <w:sz w:val="72"/>
          <w:szCs w:val="72"/>
        </w:rPr>
      </w:pPr>
    </w:p>
    <w:p w14:paraId="07698BC3">
      <w:pPr>
        <w:jc w:val="center"/>
        <w:rPr>
          <w:sz w:val="72"/>
          <w:szCs w:val="72"/>
        </w:rPr>
      </w:pPr>
    </w:p>
    <w:p w14:paraId="448D614E">
      <w:pPr>
        <w:jc w:val="center"/>
        <w:rPr>
          <w:sz w:val="72"/>
          <w:szCs w:val="72"/>
        </w:rPr>
      </w:pPr>
    </w:p>
    <w:p w14:paraId="4E8D6517">
      <w:pPr>
        <w:jc w:val="center"/>
        <w:rPr>
          <w:sz w:val="72"/>
          <w:szCs w:val="72"/>
        </w:rPr>
      </w:pPr>
    </w:p>
    <w:p w14:paraId="5BA456F4">
      <w:pPr>
        <w:jc w:val="center"/>
        <w:rPr>
          <w:sz w:val="72"/>
          <w:szCs w:val="72"/>
        </w:rPr>
      </w:pPr>
    </w:p>
    <w:p w14:paraId="6BC6AFC7">
      <w:pPr>
        <w:jc w:val="center"/>
        <w:rPr>
          <w:sz w:val="72"/>
          <w:szCs w:val="72"/>
        </w:rPr>
      </w:pPr>
    </w:p>
    <w:p w14:paraId="5EE6194B">
      <w:pPr>
        <w:jc w:val="center"/>
        <w:rPr>
          <w:sz w:val="72"/>
          <w:szCs w:val="72"/>
        </w:rPr>
      </w:pPr>
    </w:p>
    <w:p w14:paraId="6BE8B61D">
      <w:pPr>
        <w:jc w:val="center"/>
        <w:rPr>
          <w:sz w:val="72"/>
          <w:szCs w:val="72"/>
        </w:rPr>
      </w:pPr>
    </w:p>
    <w:p w14:paraId="76A640AF">
      <w:pPr>
        <w:jc w:val="center"/>
        <w:rPr>
          <w:sz w:val="72"/>
          <w:szCs w:val="72"/>
        </w:rPr>
      </w:pPr>
    </w:p>
    <w:p w14:paraId="679D5EA0">
      <w:pPr>
        <w:jc w:val="center"/>
        <w:rPr>
          <w:sz w:val="72"/>
          <w:szCs w:val="72"/>
        </w:rPr>
      </w:pPr>
    </w:p>
    <w:p w14:paraId="72D03F46">
      <w:pPr>
        <w:pStyle w:val="12"/>
        <w:jc w:val="center"/>
        <w:rPr>
          <w:rFonts w:hint="eastAsia" w:ascii="方正小标宋_GBK" w:hAnsi="方正小标宋_GBK" w:eastAsia="方正小标宋_GBK" w:cs="方正小标宋_GBK"/>
          <w:sz w:val="84"/>
          <w:szCs w:val="84"/>
        </w:rPr>
      </w:pPr>
    </w:p>
    <w:p w14:paraId="43E51335">
      <w:pPr>
        <w:pStyle w:val="12"/>
        <w:jc w:val="center"/>
        <w:rPr>
          <w:rFonts w:hint="eastAsia" w:ascii="方正小标宋_GBK" w:hAnsi="方正小标宋_GBK" w:eastAsia="方正小标宋_GBK" w:cs="方正小标宋_GBK"/>
          <w:sz w:val="84"/>
          <w:szCs w:val="84"/>
        </w:rPr>
      </w:pPr>
    </w:p>
    <w:p w14:paraId="70E30DF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5A0DB3D">
      <w:pPr>
        <w:pStyle w:val="12"/>
        <w:jc w:val="center"/>
        <w:rPr>
          <w:rFonts w:ascii="方正小标宋_GBK" w:hAnsi="方正小标宋_GBK" w:eastAsia="方正小标宋_GBK" w:cs="方正小标宋_GBK"/>
          <w:sz w:val="84"/>
          <w:szCs w:val="84"/>
        </w:rPr>
      </w:pPr>
    </w:p>
    <w:p w14:paraId="40D6E633">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中共怀化市委老干部局</w:t>
      </w:r>
    </w:p>
    <w:p w14:paraId="7FD462F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部门概况</w:t>
      </w:r>
    </w:p>
    <w:p w14:paraId="1349A672">
      <w:pPr>
        <w:jc w:val="center"/>
        <w:rPr>
          <w:rFonts w:ascii="方正小标宋_GBK" w:hAnsi="方正小标宋_GBK" w:eastAsia="方正小标宋_GBK" w:cs="方正小标宋_GBK"/>
          <w:sz w:val="72"/>
          <w:szCs w:val="72"/>
        </w:rPr>
      </w:pPr>
    </w:p>
    <w:p w14:paraId="2E3AD868">
      <w:pPr>
        <w:rPr>
          <w:sz w:val="72"/>
          <w:szCs w:val="72"/>
        </w:rPr>
      </w:pPr>
      <w:r>
        <w:rPr>
          <w:rFonts w:hint="eastAsia"/>
          <w:sz w:val="72"/>
          <w:szCs w:val="72"/>
        </w:rPr>
        <w:t xml:space="preserve"> </w:t>
      </w:r>
    </w:p>
    <w:p w14:paraId="30B8B1AB">
      <w:pPr>
        <w:rPr>
          <w:sz w:val="72"/>
          <w:szCs w:val="72"/>
        </w:rPr>
      </w:pPr>
    </w:p>
    <w:p w14:paraId="56238C48">
      <w:pPr>
        <w:pStyle w:val="13"/>
        <w:keepNext w:val="0"/>
        <w:keepLines w:val="0"/>
        <w:pageBreakBefore w:val="0"/>
        <w:numPr>
          <w:ilvl w:val="0"/>
          <w:numId w:val="1"/>
        </w:numPr>
        <w:kinsoku/>
        <w:wordWrap/>
        <w:overflowPunct/>
        <w:topLinePunct w:val="0"/>
        <w:autoSpaceDE/>
        <w:autoSpaceDN/>
        <w:bidi w:val="0"/>
        <w:adjustRightInd/>
        <w:snapToGrid/>
        <w:spacing w:line="580" w:lineRule="exact"/>
        <w:ind w:firstLineChars="0"/>
        <w:jc w:val="left"/>
        <w:textAlignment w:val="auto"/>
        <w:rPr>
          <w:rFonts w:ascii="黑体" w:hAnsi="黑体" w:eastAsia="黑体" w:cs="黑体"/>
          <w:sz w:val="32"/>
          <w:szCs w:val="32"/>
        </w:rPr>
      </w:pPr>
      <w:r>
        <w:rPr>
          <w:rFonts w:hint="eastAsia" w:ascii="黑体" w:hAnsi="黑体" w:eastAsia="黑体" w:cs="黑体"/>
          <w:sz w:val="32"/>
          <w:szCs w:val="32"/>
        </w:rPr>
        <w:t>部门职责</w:t>
      </w:r>
    </w:p>
    <w:p w14:paraId="2D1AE1B3">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怀化市委老干部局主要履行以下10项职能：</w:t>
      </w:r>
    </w:p>
    <w:p w14:paraId="56D5C745">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贯彻执行党中央、国务院和省委、省政府及市委、市政府关于老干部工作的方针、政策、法规；开展调查研究，为市委、市政府制订有关老干部工作的政策规定提供情况和依据；负责对全市老干部工作进行督查、指导和协调，督促老干部政治待遇和生活待遇落实，组织指导老干部开展活动、发挥作用；指导、督查离退休干部的党组织建设，开展老干部思想政治工作，加强老干部的学习教育；负责老干部和老干部工作的宣传，开展尊老、敬老、爱老活动，依法维护老干部的合法权益；指导全市老干部工作部门的自身建设工作；按照有关规定，做好来怀老干部的接待服务工作；承担市老干部工作领导小组办公室的日常工作；承担市关心下一代工作委员会的日常工作；负责对所属事业单位的国有资产和财务进行管理和监督，充分发挥各种场地和设施的作用，发展老干部事业；承办市委和市委组织部交办的其他事项。</w:t>
      </w:r>
    </w:p>
    <w:p w14:paraId="5A38EB60">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338D2C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（一）内设机构设置。中共怀化市委老干部局单位内设机构包括：办公室、活动指导科（组织宣传科）、待遇科、老年教育科、市关心下一代委员会办公室。</w:t>
      </w:r>
    </w:p>
    <w:p w14:paraId="71EA36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（二）决算单位构成。中共怀化市委老干部局单位202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年部门决算汇总公开单位构成包括：中共怀化市委老干部局单位本级。</w:t>
      </w:r>
    </w:p>
    <w:p w14:paraId="4357599E">
      <w:pPr>
        <w:keepNext w:val="0"/>
        <w:keepLines w:val="0"/>
        <w:pageBreakBefore w:val="0"/>
        <w:widowControl w:val="0"/>
        <w:kinsoku/>
        <w:wordWrap/>
        <w:overflowPunct/>
        <w:topLinePunct w:val="0"/>
        <w:autoSpaceDE/>
        <w:autoSpaceDN/>
        <w:bidi w:val="0"/>
        <w:adjustRightInd/>
        <w:snapToGrid/>
        <w:jc w:val="left"/>
        <w:textAlignment w:val="auto"/>
        <w:rPr>
          <w:rFonts w:ascii="仿宋_GB2312" w:eastAsia="仿宋_GB2312" w:hAnsiTheme="minorEastAsia"/>
          <w:sz w:val="28"/>
          <w:szCs w:val="32"/>
        </w:rPr>
      </w:pPr>
    </w:p>
    <w:p w14:paraId="264B6D85">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sz w:val="28"/>
          <w:szCs w:val="28"/>
        </w:rPr>
      </w:pPr>
    </w:p>
    <w:p w14:paraId="2A589BF2">
      <w:pPr>
        <w:jc w:val="center"/>
        <w:rPr>
          <w:rFonts w:ascii="黑体" w:hAnsi="黑体" w:eastAsia="黑体"/>
          <w:sz w:val="28"/>
          <w:szCs w:val="28"/>
        </w:rPr>
      </w:pPr>
    </w:p>
    <w:p w14:paraId="2C7D01AC">
      <w:pPr>
        <w:rPr>
          <w:sz w:val="72"/>
          <w:szCs w:val="72"/>
        </w:rPr>
      </w:pPr>
    </w:p>
    <w:p w14:paraId="70E58F8F">
      <w:pPr>
        <w:pStyle w:val="12"/>
        <w:jc w:val="center"/>
        <w:rPr>
          <w:rFonts w:ascii="方正小标宋_GBK" w:hAnsi="方正小标宋_GBK" w:eastAsia="方正小标宋_GBK" w:cs="方正小标宋_GBK"/>
          <w:sz w:val="84"/>
          <w:szCs w:val="84"/>
        </w:rPr>
      </w:pPr>
    </w:p>
    <w:p w14:paraId="2A88207B">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C1609DC">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928D6F5">
      <w:pPr>
        <w:pStyle w:val="12"/>
        <w:rPr>
          <w:sz w:val="72"/>
          <w:szCs w:val="72"/>
        </w:rPr>
      </w:pPr>
      <w:bookmarkStart w:id="0" w:name="RANGE!A1:I22"/>
      <w:bookmarkEnd w:id="0"/>
    </w:p>
    <w:p w14:paraId="07B42CF1">
      <w:pPr>
        <w:pStyle w:val="12"/>
        <w:rPr>
          <w:sz w:val="72"/>
          <w:szCs w:val="72"/>
        </w:rPr>
      </w:pPr>
    </w:p>
    <w:p w14:paraId="7C309CA6">
      <w:pPr>
        <w:pStyle w:val="12"/>
        <w:rPr>
          <w:sz w:val="72"/>
          <w:szCs w:val="72"/>
        </w:rPr>
      </w:pPr>
    </w:p>
    <w:p w14:paraId="6B6CC2B1">
      <w:pPr>
        <w:widowControl/>
        <w:spacing w:line="600" w:lineRule="exact"/>
        <w:ind w:firstLine="4160" w:firstLineChars="13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见附表</w:t>
      </w:r>
    </w:p>
    <w:p w14:paraId="5B5C48C0">
      <w:pPr>
        <w:pStyle w:val="12"/>
        <w:rPr>
          <w:sz w:val="72"/>
          <w:szCs w:val="72"/>
        </w:rPr>
      </w:pPr>
    </w:p>
    <w:p w14:paraId="02E7565D">
      <w:pPr>
        <w:pStyle w:val="12"/>
        <w:rPr>
          <w:sz w:val="72"/>
          <w:szCs w:val="72"/>
        </w:rPr>
      </w:pPr>
    </w:p>
    <w:p w14:paraId="7562905F">
      <w:pPr>
        <w:pStyle w:val="12"/>
        <w:jc w:val="center"/>
        <w:rPr>
          <w:rFonts w:ascii="方正小标宋_GBK" w:hAnsi="方正小标宋_GBK" w:eastAsia="方正小标宋_GBK" w:cs="方正小标宋_GBK"/>
          <w:sz w:val="72"/>
          <w:szCs w:val="72"/>
        </w:rPr>
      </w:pPr>
    </w:p>
    <w:p w14:paraId="0C01D24C">
      <w:pPr>
        <w:pStyle w:val="12"/>
        <w:jc w:val="center"/>
        <w:rPr>
          <w:rFonts w:ascii="方正小标宋_GBK" w:hAnsi="方正小标宋_GBK" w:eastAsia="方正小标宋_GBK" w:cs="方正小标宋_GBK"/>
          <w:sz w:val="72"/>
          <w:szCs w:val="72"/>
        </w:rPr>
      </w:pPr>
    </w:p>
    <w:p w14:paraId="769CA3A6">
      <w:pPr>
        <w:pStyle w:val="12"/>
        <w:jc w:val="center"/>
        <w:rPr>
          <w:rFonts w:ascii="方正小标宋_GBK" w:hAnsi="方正小标宋_GBK" w:eastAsia="方正小标宋_GBK" w:cs="方正小标宋_GBK"/>
          <w:sz w:val="72"/>
          <w:szCs w:val="72"/>
        </w:rPr>
      </w:pPr>
    </w:p>
    <w:p w14:paraId="1F9EB017">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124415F">
      <w:pPr>
        <w:pStyle w:val="12"/>
        <w:jc w:val="center"/>
        <w:rPr>
          <w:rFonts w:ascii="方正小标宋_GBK" w:hAnsi="方正小标宋_GBK" w:eastAsia="方正小标宋_GBK" w:cs="方正小标宋_GBK"/>
          <w:sz w:val="70"/>
          <w:szCs w:val="70"/>
        </w:rPr>
      </w:pPr>
    </w:p>
    <w:p w14:paraId="52255A04">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5FE11BA">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311468C4">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2E5CE9A6">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年度收、支总计617.16万元。与上年相比，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38.67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6.68</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2023</w:t>
      </w:r>
      <w:r>
        <w:rPr>
          <w:rFonts w:hint="eastAsia" w:ascii="Times New Roman" w:hAnsi="Times New Roman" w:eastAsia="仿宋_GB2312"/>
          <w:color w:val="auto"/>
          <w:sz w:val="32"/>
          <w:szCs w:val="32"/>
          <w:lang w:eastAsia="zh-CN"/>
        </w:rPr>
        <w:t>年为关工委成立</w:t>
      </w:r>
      <w:r>
        <w:rPr>
          <w:rFonts w:hint="eastAsia" w:ascii="Times New Roman" w:hAnsi="Times New Roman" w:eastAsia="仿宋_GB2312"/>
          <w:color w:val="auto"/>
          <w:sz w:val="32"/>
          <w:szCs w:val="32"/>
          <w:lang w:val="en-US" w:eastAsia="zh-CN"/>
        </w:rPr>
        <w:t>35周年以及为第五届最美孝心少年表彰年，工作任务增加，</w:t>
      </w:r>
      <w:r>
        <w:rPr>
          <w:rFonts w:hint="eastAsia" w:ascii="Times New Roman" w:hAnsi="Times New Roman" w:eastAsia="仿宋_GB2312"/>
          <w:color w:val="auto"/>
          <w:sz w:val="32"/>
          <w:szCs w:val="32"/>
          <w:lang w:eastAsia="zh-CN"/>
        </w:rPr>
        <w:t>项目经费支出</w:t>
      </w:r>
      <w:r>
        <w:rPr>
          <w:rFonts w:hint="eastAsia" w:ascii="Times New Roman" w:hAnsi="Times New Roman" w:eastAsia="仿宋_GB2312"/>
          <w:color w:val="auto"/>
          <w:sz w:val="32"/>
          <w:szCs w:val="32"/>
          <w:lang w:val="en-US" w:eastAsia="zh-CN"/>
        </w:rPr>
        <w:t>增长较多</w:t>
      </w:r>
      <w:r>
        <w:rPr>
          <w:rFonts w:hint="default" w:ascii="Times New Roman" w:hAnsi="Times New Roman" w:eastAsia="仿宋_GB2312"/>
          <w:color w:val="auto"/>
          <w:sz w:val="32"/>
          <w:szCs w:val="32"/>
          <w:lang w:eastAsia="zh-CN"/>
        </w:rPr>
        <w:t>。</w:t>
      </w:r>
    </w:p>
    <w:p w14:paraId="2D12C7F9">
      <w:pPr>
        <w:pStyle w:val="12"/>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3C5A7DAE">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年度收入合计617.16万元，其中：财政拨款收入6</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7.16万元，占</w:t>
      </w:r>
      <w:r>
        <w:rPr>
          <w:rFonts w:hint="eastAsia" w:ascii="Times New Roman" w:hAnsi="Times New Roman" w:eastAsia="仿宋_GB2312"/>
          <w:color w:val="auto"/>
          <w:sz w:val="32"/>
          <w:szCs w:val="32"/>
          <w:lang w:val="en-US" w:eastAsia="zh-CN"/>
        </w:rPr>
        <w:t>98.38</w:t>
      </w:r>
      <w:r>
        <w:rPr>
          <w:rFonts w:hint="eastAsia" w:ascii="Times New Roman" w:hAnsi="Times New Roman" w:eastAsia="仿宋_GB2312"/>
          <w:color w:val="auto"/>
          <w:sz w:val="32"/>
          <w:szCs w:val="32"/>
        </w:rPr>
        <w:t>%；上级补助收入0万元，占0%；事业收入0万元，占0%；经营收入0万元，占0%；附属单位上缴收入0万元，占0%；其他收入</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0万元，占</w:t>
      </w:r>
      <w:r>
        <w:rPr>
          <w:rFonts w:hint="eastAsia" w:ascii="Times New Roman" w:hAnsi="Times New Roman" w:eastAsia="仿宋_GB2312"/>
          <w:color w:val="auto"/>
          <w:sz w:val="32"/>
          <w:szCs w:val="32"/>
          <w:lang w:val="en-US" w:eastAsia="zh-CN"/>
        </w:rPr>
        <w:t>1.62</w:t>
      </w:r>
      <w:r>
        <w:rPr>
          <w:rFonts w:hint="eastAsia" w:ascii="Times New Roman" w:hAnsi="Times New Roman" w:eastAsia="仿宋_GB2312"/>
          <w:color w:val="auto"/>
          <w:sz w:val="32"/>
          <w:szCs w:val="32"/>
        </w:rPr>
        <w:t>%。</w:t>
      </w:r>
    </w:p>
    <w:p w14:paraId="178C687B">
      <w:pPr>
        <w:pStyle w:val="12"/>
        <w:spacing w:line="60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三、支出决算情况说明</w:t>
      </w:r>
    </w:p>
    <w:p w14:paraId="6DEF0CC7">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w:t>
      </w:r>
      <w:r>
        <w:rPr>
          <w:rFonts w:hint="eastAsia" w:ascii="Times New Roman" w:hAnsi="Times New Roman" w:eastAsia="仿宋_GB2312"/>
          <w:color w:val="auto"/>
          <w:sz w:val="32"/>
          <w:szCs w:val="32"/>
          <w:lang w:eastAsia="zh-CN"/>
        </w:rPr>
        <w:t>一般公共预算支出</w:t>
      </w:r>
      <w:r>
        <w:rPr>
          <w:rFonts w:hint="eastAsia" w:ascii="Times New Roman" w:hAnsi="Times New Roman" w:eastAsia="仿宋_GB2312"/>
          <w:color w:val="auto"/>
          <w:sz w:val="32"/>
          <w:szCs w:val="32"/>
          <w:lang w:val="en-US" w:eastAsia="zh-CN"/>
        </w:rPr>
        <w:t>607.16万元，</w:t>
      </w:r>
      <w:r>
        <w:rPr>
          <w:rFonts w:hint="eastAsia" w:ascii="Times New Roman" w:hAnsi="Times New Roman" w:eastAsia="仿宋_GB2312"/>
          <w:color w:val="auto"/>
          <w:sz w:val="32"/>
          <w:szCs w:val="32"/>
        </w:rPr>
        <w:t>其中：</w:t>
      </w:r>
      <w:r>
        <w:rPr>
          <w:rFonts w:hint="eastAsia" w:ascii="Times New Roman" w:hAnsi="Times New Roman" w:eastAsia="仿宋_GB2312"/>
          <w:color w:val="auto"/>
          <w:sz w:val="32"/>
          <w:szCs w:val="32"/>
          <w:lang w:val="en-US" w:eastAsia="zh-CN"/>
        </w:rPr>
        <w:t>基本支出282.88万元，占45.84%；项目支出324.28万元，占52.54%；占</w:t>
      </w:r>
      <w:r>
        <w:rPr>
          <w:rFonts w:hint="eastAsia" w:ascii="Times New Roman" w:hAnsi="Times New Roman" w:eastAsia="仿宋_GB2312"/>
          <w:color w:val="auto"/>
          <w:sz w:val="32"/>
          <w:szCs w:val="32"/>
        </w:rPr>
        <w:t>上缴上级支出0万元，占0%；经营支出0万元，占0%；对附属单位补助支出0万元，占0%。</w:t>
      </w:r>
    </w:p>
    <w:p w14:paraId="3C385882">
      <w:pPr>
        <w:pStyle w:val="12"/>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635D995D">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年度财政拨款收、支总计</w:t>
      </w:r>
      <w:r>
        <w:rPr>
          <w:rFonts w:hint="eastAsia" w:ascii="Times New Roman" w:hAnsi="Times New Roman" w:eastAsia="仿宋_GB2312"/>
          <w:color w:val="auto"/>
          <w:sz w:val="32"/>
          <w:szCs w:val="32"/>
          <w:lang w:val="en-US" w:eastAsia="zh-CN"/>
        </w:rPr>
        <w:t>607.16</w:t>
      </w:r>
      <w:r>
        <w:rPr>
          <w:rFonts w:hint="eastAsia" w:ascii="Times New Roman" w:hAnsi="Times New Roman" w:eastAsia="仿宋_GB2312"/>
          <w:color w:val="auto"/>
          <w:sz w:val="32"/>
          <w:szCs w:val="32"/>
        </w:rPr>
        <w:t>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28.67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4.96</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2023</w:t>
      </w:r>
      <w:r>
        <w:rPr>
          <w:rFonts w:hint="eastAsia" w:ascii="Times New Roman" w:hAnsi="Times New Roman" w:eastAsia="仿宋_GB2312"/>
          <w:color w:val="auto"/>
          <w:sz w:val="32"/>
          <w:szCs w:val="32"/>
          <w:lang w:eastAsia="zh-CN"/>
        </w:rPr>
        <w:t>年为关工委成立</w:t>
      </w:r>
      <w:r>
        <w:rPr>
          <w:rFonts w:hint="eastAsia" w:ascii="Times New Roman" w:hAnsi="Times New Roman" w:eastAsia="仿宋_GB2312"/>
          <w:color w:val="auto"/>
          <w:sz w:val="32"/>
          <w:szCs w:val="32"/>
          <w:lang w:val="en-US" w:eastAsia="zh-CN"/>
        </w:rPr>
        <w:t>35周年以及为第五届最美孝心少年表彰年，工作任务增加，</w:t>
      </w:r>
      <w:r>
        <w:rPr>
          <w:rFonts w:hint="eastAsia" w:ascii="Times New Roman" w:hAnsi="Times New Roman" w:eastAsia="仿宋_GB2312"/>
          <w:color w:val="auto"/>
          <w:sz w:val="32"/>
          <w:szCs w:val="32"/>
          <w:lang w:eastAsia="zh-CN"/>
        </w:rPr>
        <w:t>项目经费支出</w:t>
      </w:r>
      <w:r>
        <w:rPr>
          <w:rFonts w:hint="eastAsia" w:ascii="Times New Roman" w:hAnsi="Times New Roman" w:eastAsia="仿宋_GB2312"/>
          <w:color w:val="auto"/>
          <w:sz w:val="32"/>
          <w:szCs w:val="32"/>
          <w:lang w:val="en-US" w:eastAsia="zh-CN"/>
        </w:rPr>
        <w:t>增长较多</w:t>
      </w:r>
      <w:r>
        <w:rPr>
          <w:rFonts w:hint="default" w:ascii="Times New Roman" w:hAnsi="Times New Roman" w:eastAsia="仿宋_GB2312"/>
          <w:color w:val="auto"/>
          <w:sz w:val="32"/>
          <w:szCs w:val="32"/>
          <w:lang w:eastAsia="zh-CN"/>
        </w:rPr>
        <w:t>。</w:t>
      </w:r>
    </w:p>
    <w:p w14:paraId="55A3B39E">
      <w:pPr>
        <w:pStyle w:val="12"/>
        <w:spacing w:line="600" w:lineRule="exact"/>
        <w:rPr>
          <w:rFonts w:ascii="Times New Roman" w:hAnsi="Times New Roman" w:eastAsia="仿宋_GB2312"/>
          <w:color w:val="auto"/>
          <w:sz w:val="32"/>
          <w:szCs w:val="32"/>
        </w:rPr>
      </w:pPr>
    </w:p>
    <w:p w14:paraId="430AF332">
      <w:pPr>
        <w:pStyle w:val="12"/>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11AD6654">
      <w:pPr>
        <w:pStyle w:val="12"/>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（一）财政拨款支出决算总体情况</w:t>
      </w:r>
    </w:p>
    <w:p w14:paraId="2FA93776">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607.16</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98.38</w:t>
      </w:r>
      <w:r>
        <w:rPr>
          <w:rFonts w:hint="eastAsia" w:ascii="Times New Roman" w:hAnsi="Times New Roman" w:eastAsia="仿宋_GB2312"/>
          <w:color w:val="auto"/>
          <w:sz w:val="32"/>
          <w:szCs w:val="32"/>
        </w:rPr>
        <w:t>%，与上年相比，财政拨款支出</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28.67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4.96</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2023</w:t>
      </w:r>
      <w:r>
        <w:rPr>
          <w:rFonts w:hint="eastAsia" w:ascii="Times New Roman" w:hAnsi="Times New Roman" w:eastAsia="仿宋_GB2312"/>
          <w:color w:val="auto"/>
          <w:sz w:val="32"/>
          <w:szCs w:val="32"/>
          <w:lang w:eastAsia="zh-CN"/>
        </w:rPr>
        <w:t>年为关工委成立</w:t>
      </w:r>
      <w:r>
        <w:rPr>
          <w:rFonts w:hint="eastAsia" w:ascii="Times New Roman" w:hAnsi="Times New Roman" w:eastAsia="仿宋_GB2312"/>
          <w:color w:val="auto"/>
          <w:sz w:val="32"/>
          <w:szCs w:val="32"/>
          <w:lang w:val="en-US" w:eastAsia="zh-CN"/>
        </w:rPr>
        <w:t>35周年以及为第五届最美孝心少年表彰年，工作任务增加，</w:t>
      </w:r>
      <w:r>
        <w:rPr>
          <w:rFonts w:hint="eastAsia" w:ascii="Times New Roman" w:hAnsi="Times New Roman" w:eastAsia="仿宋_GB2312"/>
          <w:color w:val="auto"/>
          <w:sz w:val="32"/>
          <w:szCs w:val="32"/>
          <w:lang w:eastAsia="zh-CN"/>
        </w:rPr>
        <w:t>项目经费支出</w:t>
      </w:r>
      <w:r>
        <w:rPr>
          <w:rFonts w:hint="eastAsia" w:ascii="Times New Roman" w:hAnsi="Times New Roman" w:eastAsia="仿宋_GB2312"/>
          <w:color w:val="auto"/>
          <w:sz w:val="32"/>
          <w:szCs w:val="32"/>
          <w:lang w:val="en-US" w:eastAsia="zh-CN"/>
        </w:rPr>
        <w:t>增长较多</w:t>
      </w:r>
      <w:r>
        <w:rPr>
          <w:rFonts w:hint="default" w:ascii="Times New Roman" w:hAnsi="Times New Roman" w:eastAsia="仿宋_GB2312"/>
          <w:color w:val="auto"/>
          <w:sz w:val="32"/>
          <w:szCs w:val="32"/>
          <w:lang w:eastAsia="zh-CN"/>
        </w:rPr>
        <w:t>。</w:t>
      </w:r>
    </w:p>
    <w:p w14:paraId="7F8D0C8B">
      <w:pPr>
        <w:pStyle w:val="12"/>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779B666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607.16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401.45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66.12</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196.26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32.32</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9.45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w:t>
      </w:r>
    </w:p>
    <w:p w14:paraId="12B8B2FA">
      <w:pPr>
        <w:pStyle w:val="12"/>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0E187FF8">
      <w:pPr>
        <w:keepNext w:val="0"/>
        <w:keepLines w:val="0"/>
        <w:widowControl/>
        <w:suppressLineNumbers w:val="0"/>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default" w:ascii="Times New Roman" w:hAnsi="Times New Roman" w:eastAsia="宋体" w:cs="Times New Roman"/>
          <w:i w:val="0"/>
          <w:caps w:val="0"/>
          <w:color w:val="3D3D3D"/>
          <w:spacing w:val="0"/>
          <w:kern w:val="0"/>
          <w:sz w:val="32"/>
          <w:szCs w:val="32"/>
          <w:shd w:val="clear" w:fill="FFFFFF"/>
          <w:lang w:val="en-US" w:eastAsia="zh-CN" w:bidi="ar"/>
        </w:rPr>
        <w:t>46</w:t>
      </w:r>
      <w:r>
        <w:rPr>
          <w:rFonts w:hint="default" w:ascii="Times New Roman" w:hAnsi="Times New Roman" w:eastAsia="仿宋_GB2312"/>
          <w:sz w:val="32"/>
          <w:szCs w:val="32"/>
          <w:lang w:val="en-US" w:eastAsia="zh-CN"/>
        </w:rPr>
        <w:t>2.13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607.16</w:t>
      </w:r>
      <w:r>
        <w:rPr>
          <w:rFonts w:hint="eastAsia" w:ascii="Times New Roman" w:hAnsi="Times New Roman" w:eastAsia="仿宋_GB2312"/>
          <w:sz w:val="32"/>
          <w:szCs w:val="32"/>
        </w:rPr>
        <w:t>万元，完成年初预算的1</w:t>
      </w:r>
      <w:r>
        <w:rPr>
          <w:rFonts w:hint="eastAsia" w:ascii="Times New Roman" w:hAnsi="Times New Roman" w:eastAsia="仿宋_GB2312"/>
          <w:sz w:val="32"/>
          <w:szCs w:val="32"/>
          <w:lang w:val="en-US" w:eastAsia="zh-CN"/>
        </w:rPr>
        <w:t>31.38</w:t>
      </w:r>
      <w:r>
        <w:rPr>
          <w:rFonts w:hint="eastAsia" w:ascii="Times New Roman" w:hAnsi="Times New Roman" w:eastAsia="仿宋_GB2312"/>
          <w:sz w:val="32"/>
          <w:szCs w:val="32"/>
        </w:rPr>
        <w:t>%，其中：</w:t>
      </w:r>
    </w:p>
    <w:p w14:paraId="7AACF7C2">
      <w:pPr>
        <w:pStyle w:val="12"/>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1、一般公共服务（类）政府办公厅（室）及相关机构事务（款）行政运行（项）。</w:t>
      </w:r>
    </w:p>
    <w:p w14:paraId="419B840D">
      <w:pPr>
        <w:pStyle w:val="12"/>
        <w:spacing w:line="600" w:lineRule="exact"/>
        <w:ind w:firstLine="800" w:firstLineChars="250"/>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年初预算为0万元，</w:t>
      </w:r>
      <w:r>
        <w:rPr>
          <w:rFonts w:hint="eastAsia" w:ascii="Times New Roman" w:hAnsi="Times New Roman" w:eastAsia="仿宋_GB2312"/>
          <w:color w:val="auto"/>
          <w:sz w:val="32"/>
          <w:szCs w:val="32"/>
        </w:rPr>
        <w:t>支出决算为</w:t>
      </w:r>
      <w:r>
        <w:rPr>
          <w:rFonts w:hint="eastAsia" w:ascii="Times New Roman" w:hAnsi="Times New Roman" w:eastAsia="仿宋_GB2312"/>
          <w:color w:val="auto"/>
          <w:sz w:val="32"/>
          <w:szCs w:val="32"/>
          <w:lang w:val="en-US" w:eastAsia="zh-CN"/>
        </w:rPr>
        <w:t>18.57</w:t>
      </w:r>
      <w:r>
        <w:rPr>
          <w:rFonts w:hint="eastAsia" w:ascii="Times New Roman" w:hAnsi="Times New Roman" w:eastAsia="仿宋_GB2312"/>
          <w:color w:val="auto"/>
          <w:sz w:val="32"/>
          <w:szCs w:val="32"/>
        </w:rPr>
        <w:t>万元，完成</w:t>
      </w:r>
      <w:r>
        <w:rPr>
          <w:rFonts w:hint="eastAsia" w:ascii="Times New Roman" w:hAnsi="Times New Roman" w:eastAsia="仿宋_GB2312"/>
          <w:sz w:val="32"/>
          <w:szCs w:val="32"/>
        </w:rPr>
        <w:t>年初预算的100%，决算数大于年初预算数的主要原因是</w:t>
      </w:r>
      <w:r>
        <w:rPr>
          <w:rFonts w:hint="eastAsia" w:ascii="Times New Roman" w:hAnsi="Times New Roman" w:eastAsia="仿宋_GB2312"/>
          <w:color w:val="auto"/>
          <w:sz w:val="32"/>
          <w:szCs w:val="32"/>
        </w:rPr>
        <w:t>：预决算下达的功能口子不一致，年初为党委办公厅（室）及相关机构事务（款）行政运行口子下达。</w:t>
      </w:r>
    </w:p>
    <w:p w14:paraId="41DC25D1">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2、一般公共服务（类）党委办公厅（室）及相关机构事务（款）行政运行（项）。</w:t>
      </w:r>
    </w:p>
    <w:p w14:paraId="5F30E7C1">
      <w:pPr>
        <w:pStyle w:val="12"/>
        <w:spacing w:line="600" w:lineRule="exact"/>
        <w:ind w:firstLine="800" w:firstLineChars="250"/>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342.57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281.64</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97.9</w:t>
      </w:r>
      <w:r>
        <w:rPr>
          <w:rFonts w:hint="eastAsia" w:ascii="Times New Roman" w:hAnsi="Times New Roman" w:eastAsia="仿宋_GB2312"/>
          <w:color w:val="auto"/>
          <w:sz w:val="32"/>
          <w:szCs w:val="32"/>
        </w:rPr>
        <w:t>7%，决算数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于年初预算数的主要原因是：预决算下达的功能口子不一致，</w:t>
      </w:r>
      <w:r>
        <w:rPr>
          <w:rFonts w:hint="eastAsia" w:ascii="Times New Roman" w:hAnsi="Times New Roman" w:eastAsia="仿宋_GB2312"/>
          <w:color w:val="auto"/>
          <w:sz w:val="32"/>
          <w:szCs w:val="32"/>
          <w:lang w:eastAsia="zh-CN"/>
        </w:rPr>
        <w:t>部分经费</w:t>
      </w:r>
      <w:r>
        <w:rPr>
          <w:rFonts w:hint="eastAsia" w:ascii="Times New Roman" w:hAnsi="Times New Roman" w:eastAsia="仿宋_GB2312"/>
          <w:color w:val="auto"/>
          <w:sz w:val="32"/>
          <w:szCs w:val="32"/>
        </w:rPr>
        <w:t>下达</w:t>
      </w:r>
      <w:r>
        <w:rPr>
          <w:rFonts w:hint="eastAsia" w:ascii="Times New Roman" w:hAnsi="Times New Roman" w:eastAsia="仿宋_GB2312"/>
          <w:color w:val="auto"/>
          <w:sz w:val="32"/>
          <w:szCs w:val="32"/>
          <w:lang w:eastAsia="zh-CN"/>
        </w:rPr>
        <w:t>至</w:t>
      </w:r>
      <w:r>
        <w:rPr>
          <w:rFonts w:hint="eastAsia" w:ascii="Times New Roman" w:hAnsi="Times New Roman" w:eastAsia="仿宋_GB2312"/>
          <w:color w:val="auto"/>
          <w:sz w:val="32"/>
          <w:szCs w:val="32"/>
        </w:rPr>
        <w:t>政府办公厅（室）及相关机构事务（款）行政运行（项）。</w:t>
      </w:r>
    </w:p>
    <w:p w14:paraId="5C609147">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3、一般公共服务（类）党委办公厅（室）及相关机构事务（款）一般行政管理事务（项）。</w:t>
      </w:r>
    </w:p>
    <w:p w14:paraId="144DAF5D">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w:t>
      </w:r>
      <w:r>
        <w:rPr>
          <w:rFonts w:hint="eastAsia" w:ascii="Times New Roman" w:hAnsi="Times New Roman" w:eastAsia="仿宋_GB2312"/>
          <w:color w:val="auto"/>
          <w:sz w:val="32"/>
          <w:szCs w:val="32"/>
        </w:rPr>
        <w:t>为18.00万元，支出决算为1</w:t>
      </w:r>
      <w:r>
        <w:rPr>
          <w:rFonts w:hint="eastAsia" w:ascii="Times New Roman" w:hAnsi="Times New Roman" w:eastAsia="仿宋_GB2312"/>
          <w:color w:val="auto"/>
          <w:sz w:val="32"/>
          <w:szCs w:val="32"/>
          <w:lang w:val="en-US" w:eastAsia="zh-CN"/>
        </w:rPr>
        <w:t>4.69</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81.61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于年初预算数的主要原因是严格按照财政要求，厉行节约，严格控制经费</w:t>
      </w:r>
      <w:r>
        <w:rPr>
          <w:rFonts w:hint="eastAsia" w:ascii="Times New Roman" w:hAnsi="Times New Roman" w:eastAsia="仿宋_GB2312"/>
          <w:color w:val="auto"/>
          <w:sz w:val="32"/>
          <w:szCs w:val="32"/>
          <w:lang w:eastAsia="zh-CN"/>
        </w:rPr>
        <w:t>开支。</w:t>
      </w:r>
    </w:p>
    <w:p w14:paraId="16BD5CB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4、一般公共服务（类）党委办公厅（室）及相关机构事务（款）其他党委办公厅（室）及相关机构事务支出（项）。</w:t>
      </w:r>
    </w:p>
    <w:p w14:paraId="1C2570A2">
      <w:pPr>
        <w:pStyle w:val="12"/>
        <w:spacing w:line="600" w:lineRule="exact"/>
        <w:ind w:firstLine="800" w:firstLineChars="25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年初预算为8.80万元，支出决算为</w:t>
      </w:r>
      <w:r>
        <w:rPr>
          <w:rFonts w:hint="eastAsia" w:ascii="Times New Roman" w:hAnsi="Times New Roman" w:eastAsia="仿宋_GB2312"/>
          <w:color w:val="auto"/>
          <w:sz w:val="32"/>
          <w:szCs w:val="32"/>
          <w:lang w:val="en-US" w:eastAsia="zh-CN"/>
        </w:rPr>
        <w:t>65.54</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744.77</w:t>
      </w:r>
      <w:r>
        <w:rPr>
          <w:rFonts w:hint="eastAsia" w:ascii="Times New Roman" w:hAnsi="Times New Roman" w:eastAsia="仿宋_GB2312"/>
          <w:color w:val="auto"/>
          <w:sz w:val="32"/>
          <w:szCs w:val="32"/>
        </w:rPr>
        <w:t>%，决算数大于年初预算数的主要原因是：</w:t>
      </w:r>
      <w:r>
        <w:rPr>
          <w:rFonts w:hint="eastAsia" w:ascii="Times New Roman" w:hAnsi="Times New Roman" w:eastAsia="仿宋_GB2312"/>
          <w:color w:val="auto"/>
          <w:sz w:val="32"/>
          <w:szCs w:val="32"/>
          <w:lang w:eastAsia="zh-CN"/>
        </w:rPr>
        <w:t>预算调整，代付企业离休干部春节一次性生活补助</w:t>
      </w:r>
      <w:r>
        <w:rPr>
          <w:rFonts w:hint="eastAsia" w:ascii="Times New Roman" w:hAnsi="Times New Roman" w:eastAsia="仿宋_GB2312"/>
          <w:color w:val="auto"/>
          <w:sz w:val="32"/>
          <w:szCs w:val="32"/>
        </w:rPr>
        <w:t>。</w:t>
      </w:r>
    </w:p>
    <w:p w14:paraId="362DDF75">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5、一般公共服务（类）其他一般公共服务支出（款）其他一般公共服务支出（项）。</w:t>
      </w:r>
    </w:p>
    <w:p w14:paraId="6425B312">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年初预算为20.00万元，支出决算为2</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.00万元，完成年初预算的10</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决算数大于年初预算数的主要原因是</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有一万元经费</w:t>
      </w:r>
      <w:r>
        <w:rPr>
          <w:rFonts w:hint="eastAsia" w:ascii="Times New Roman" w:hAnsi="Times New Roman" w:eastAsia="仿宋_GB2312"/>
          <w:sz w:val="32"/>
          <w:szCs w:val="32"/>
          <w:lang w:val="en-US" w:eastAsia="zh-CN"/>
        </w:rPr>
        <w:t>预决算功能口子不一致。</w:t>
      </w:r>
    </w:p>
    <w:p w14:paraId="4A85A8BD">
      <w:pPr>
        <w:pStyle w:val="12"/>
        <w:spacing w:line="600" w:lineRule="exact"/>
        <w:ind w:firstLine="800" w:firstLineChars="25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6、社会保障和就业支出（类）行政事业单位养老支出（款）行政单位离退休（项）。</w:t>
      </w:r>
    </w:p>
    <w:p w14:paraId="6D8B49A9">
      <w:pPr>
        <w:pStyle w:val="12"/>
        <w:spacing w:line="600" w:lineRule="exact"/>
        <w:ind w:firstLine="800" w:firstLineChars="25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37.31</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5.95</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15.95</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eastAsia="zh-CN"/>
        </w:rPr>
        <w:t>小</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lang w:val="en-US" w:eastAsia="zh-CN"/>
        </w:rPr>
        <w:t>预决算功能口子不一致。</w:t>
      </w:r>
    </w:p>
    <w:p w14:paraId="52BEBCA8">
      <w:pPr>
        <w:pStyle w:val="12"/>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7、社会保障和就业支出（类）行政事业单位养老支出（款）机关事业单位基本养老保险缴费支出（项）。</w:t>
      </w:r>
    </w:p>
    <w:p w14:paraId="4278A94B">
      <w:pPr>
        <w:pStyle w:val="12"/>
        <w:spacing w:line="60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24.92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22.15</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88.88</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2023年有人员调整</w:t>
      </w:r>
      <w:r>
        <w:rPr>
          <w:rFonts w:hint="eastAsia" w:ascii="Times New Roman" w:hAnsi="Times New Roman" w:eastAsia="仿宋_GB2312"/>
          <w:color w:val="auto"/>
          <w:sz w:val="32"/>
          <w:szCs w:val="32"/>
        </w:rPr>
        <w:t>。</w:t>
      </w:r>
    </w:p>
    <w:p w14:paraId="7E01DCE1">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8、社会保障和就业支出（类）行政事业单位养老支出（款）其他行政事业单位养老支出（项）。</w:t>
      </w:r>
    </w:p>
    <w:p w14:paraId="1FAB0506">
      <w:pPr>
        <w:pStyle w:val="12"/>
        <w:spacing w:line="60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168.17</w:t>
      </w:r>
      <w:r>
        <w:rPr>
          <w:rFonts w:hint="eastAsia" w:ascii="Times New Roman" w:hAnsi="Times New Roman" w:eastAsia="仿宋_GB2312"/>
          <w:color w:val="auto"/>
          <w:sz w:val="32"/>
          <w:szCs w:val="32"/>
        </w:rPr>
        <w:t>万元，完成年初预算的100%，决算数大于年初预算数的主要原因是：</w:t>
      </w:r>
      <w:r>
        <w:rPr>
          <w:rFonts w:hint="eastAsia" w:ascii="Times New Roman" w:hAnsi="Times New Roman" w:eastAsia="仿宋_GB2312"/>
          <w:color w:val="auto"/>
          <w:sz w:val="32"/>
          <w:szCs w:val="32"/>
          <w:lang w:val="en-US" w:eastAsia="zh-CN"/>
        </w:rPr>
        <w:t>追加2022年绩效奖。</w:t>
      </w:r>
    </w:p>
    <w:p w14:paraId="32A323DF">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9、卫生健康支出（类）行政事业单位医疗（款） 行政单位医疗（项）。</w:t>
      </w:r>
    </w:p>
    <w:p w14:paraId="109813B9">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9.45</w:t>
      </w:r>
      <w:r>
        <w:rPr>
          <w:rFonts w:hint="eastAsia" w:ascii="Times New Roman" w:hAnsi="Times New Roman" w:eastAsia="仿宋_GB2312"/>
          <w:sz w:val="32"/>
          <w:szCs w:val="32"/>
        </w:rPr>
        <w:t>万元，完成年初预算的89.90%，决算数小于年初预算数的主要原因是：年初生育保险纳入行政单位医疗预算。</w:t>
      </w:r>
    </w:p>
    <w:p w14:paraId="7F1DFC62">
      <w:pPr>
        <w:pStyle w:val="12"/>
        <w:spacing w:line="600" w:lineRule="exact"/>
        <w:ind w:firstLine="640" w:firstLineChars="200"/>
        <w:rPr>
          <w:rFonts w:hAnsi="黑体"/>
          <w:bCs/>
          <w:sz w:val="32"/>
          <w:szCs w:val="32"/>
          <w:highlight w:val="none"/>
        </w:rPr>
      </w:pPr>
      <w:r>
        <w:rPr>
          <w:rFonts w:hint="eastAsia" w:hAnsi="黑体"/>
          <w:bCs/>
          <w:sz w:val="32"/>
          <w:szCs w:val="32"/>
          <w:highlight w:val="none"/>
        </w:rPr>
        <w:t>六、一般公共预算财政拨款基本支出决算情况说明</w:t>
      </w:r>
    </w:p>
    <w:p w14:paraId="0E7BBF30">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282.88</w:t>
      </w:r>
      <w:r>
        <w:rPr>
          <w:rFonts w:hint="eastAsia" w:ascii="Times New Roman" w:hAnsi="Times New Roman" w:eastAsia="仿宋_GB2312"/>
          <w:sz w:val="32"/>
          <w:szCs w:val="32"/>
        </w:rPr>
        <w:t>万元，其中：</w:t>
      </w:r>
    </w:p>
    <w:p w14:paraId="757B0A44">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257.89万元，占基本支出的9</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%,主要包括基本工资、津贴补贴、奖金、机关事业单位基本养老保险缴费、职工基本医疗保险缴费、其他社会保障缴费、退休费、生活补助、</w:t>
      </w:r>
      <w:r>
        <w:rPr>
          <w:rFonts w:hint="eastAsia" w:ascii="Times New Roman" w:hAnsi="Times New Roman" w:eastAsia="仿宋_GB2312"/>
          <w:sz w:val="32"/>
          <w:szCs w:val="32"/>
          <w:lang w:eastAsia="zh-CN"/>
        </w:rPr>
        <w:t>奖励金</w:t>
      </w:r>
      <w:r>
        <w:rPr>
          <w:rFonts w:hint="eastAsia" w:ascii="Times New Roman" w:hAnsi="Times New Roman" w:eastAsia="仿宋_GB2312"/>
          <w:sz w:val="32"/>
          <w:szCs w:val="32"/>
        </w:rPr>
        <w:t>、其他对个人和家庭的补助。</w:t>
      </w:r>
    </w:p>
    <w:p w14:paraId="1D78E313">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4.99</w:t>
      </w:r>
      <w:r>
        <w:rPr>
          <w:rFonts w:hint="eastAsia" w:ascii="Times New Roman" w:hAnsi="Times New Roman" w:eastAsia="仿宋_GB2312"/>
          <w:sz w:val="32"/>
          <w:szCs w:val="32"/>
        </w:rPr>
        <w:t>万元，占基本支出的8%，主要包括工会经费、福利费、其他交通费用、其他商品服务支出。</w:t>
      </w:r>
    </w:p>
    <w:p w14:paraId="19C71639">
      <w:pPr>
        <w:pStyle w:val="12"/>
        <w:numPr>
          <w:ilvl w:val="0"/>
          <w:numId w:val="2"/>
        </w:numPr>
        <w:spacing w:line="600" w:lineRule="exact"/>
        <w:ind w:firstLine="640" w:firstLineChars="200"/>
        <w:rPr>
          <w:rFonts w:hAnsi="黑体"/>
          <w:bCs/>
          <w:sz w:val="32"/>
          <w:szCs w:val="32"/>
        </w:rPr>
      </w:pPr>
      <w:r>
        <w:rPr>
          <w:rFonts w:hint="eastAsia" w:hAnsi="黑体"/>
          <w:bCs/>
          <w:sz w:val="32"/>
          <w:szCs w:val="32"/>
        </w:rPr>
        <w:t>财政拨款三公经费支出决算情况说明</w:t>
      </w:r>
    </w:p>
    <w:p w14:paraId="4C640926">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78769A1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8.39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8.18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%，其中：</w:t>
      </w:r>
    </w:p>
    <w:p w14:paraId="630DBAAB">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因公出国（境）费支出预算为0万元，支出决算为0万元，完成预算的0%，与上年相比减少（增加）0万元，减少（增长）0%。</w:t>
      </w:r>
    </w:p>
    <w:p w14:paraId="1065547F">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2.09</w:t>
      </w:r>
      <w:r>
        <w:rPr>
          <w:rFonts w:hint="eastAsia" w:ascii="Times New Roman" w:hAnsi="Times New Roman" w:eastAsia="仿宋_GB2312"/>
          <w:sz w:val="32"/>
          <w:szCs w:val="32"/>
        </w:rPr>
        <w:t>万元，支出决算为1.</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0%，与上年相比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0.</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万元，决算数小于年初预算数的主要原因是：严格按照财政要求，厉行节约，严格控制三公经费。</w:t>
      </w:r>
    </w:p>
    <w:p w14:paraId="128702BB">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公务用车购置费支出预算为0万元，支出决算为0万元，完成预算的0%，与上年相比减少（增加）0万元，减少（增长）0%。</w:t>
      </w:r>
    </w:p>
    <w:p w14:paraId="62EA0512">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万元，完成预算的100%，与上年相比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1.32万元，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26.99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车辆老化，修理费用增加</w:t>
      </w:r>
      <w:r>
        <w:rPr>
          <w:rFonts w:hint="eastAsia" w:ascii="Times New Roman" w:hAnsi="Times New Roman" w:eastAsia="仿宋_GB2312"/>
          <w:sz w:val="32"/>
          <w:szCs w:val="32"/>
        </w:rPr>
        <w:t>。</w:t>
      </w:r>
    </w:p>
    <w:p w14:paraId="2D021B11">
      <w:pPr>
        <w:pStyle w:val="12"/>
        <w:spacing w:line="600" w:lineRule="exact"/>
        <w:ind w:firstLine="640" w:firstLineChars="200"/>
        <w:rPr>
          <w:rFonts w:ascii="楷体" w:hAnsi="楷体" w:eastAsia="楷体" w:cs="楷体"/>
          <w:b/>
          <w:sz w:val="32"/>
          <w:szCs w:val="32"/>
          <w:highlight w:val="none"/>
        </w:rPr>
      </w:pPr>
      <w:r>
        <w:rPr>
          <w:rFonts w:hint="eastAsia" w:ascii="楷体" w:hAnsi="楷体" w:eastAsia="楷体" w:cs="楷体"/>
          <w:b/>
          <w:sz w:val="32"/>
          <w:szCs w:val="32"/>
          <w:highlight w:val="none"/>
        </w:rPr>
        <w:t>（二）“三公”经费财政拨款支出决算具体情况说明</w:t>
      </w:r>
    </w:p>
    <w:p w14:paraId="03E94B2C">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年度“三公”经费财政拨款支出决算中，公务接待费支出决算1.</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22.98</w:t>
      </w:r>
      <w:r>
        <w:rPr>
          <w:rFonts w:hint="eastAsia" w:ascii="Times New Roman" w:hAnsi="Times New Roman" w:eastAsia="仿宋_GB2312"/>
          <w:sz w:val="32"/>
          <w:szCs w:val="32"/>
        </w:rPr>
        <w:t>%,因公出国（境）费支出决算0万元，占0%,公务用车购置费及运行维护费支出决算</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77.02</w:t>
      </w:r>
      <w:r>
        <w:rPr>
          <w:rFonts w:hint="eastAsia" w:ascii="Times New Roman" w:hAnsi="Times New Roman" w:eastAsia="仿宋_GB2312"/>
          <w:sz w:val="32"/>
          <w:szCs w:val="32"/>
        </w:rPr>
        <w:t>%。其中：</w:t>
      </w:r>
    </w:p>
    <w:p w14:paraId="7D9CF7E7">
      <w:pPr>
        <w:pStyle w:val="12"/>
        <w:spacing w:line="600" w:lineRule="exact"/>
        <w:ind w:firstLine="800" w:firstLineChars="250"/>
        <w:rPr>
          <w:rFonts w:ascii="楷体" w:hAnsi="楷体" w:eastAsia="仿宋_GB2312"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0B33B158">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2、公务接待费支出决算为1.</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，全年共接待来访团组</w:t>
      </w: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123</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rPr>
        <w:t>主要是各县市区请示汇报离退休党支部示范创建等工作，关工委系统工作汇报及交流等发生的接待支出。</w:t>
      </w:r>
    </w:p>
    <w:p w14:paraId="1972DC66">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万元，其中：公务用车购置费0万元，中共怀化市委老干部工作局更新公务用车0辆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万元，主要是日常公务用车支出，截止202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年12月31日，我单位开支财政拨款的公务用车保有量为2辆。</w:t>
      </w:r>
    </w:p>
    <w:p w14:paraId="110F1DC1">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642F817">
      <w:pPr>
        <w:pStyle w:val="12"/>
        <w:spacing w:line="600" w:lineRule="exact"/>
        <w:rPr>
          <w:rFonts w:ascii="Times New Roman" w:hAnsi="Times New Roman" w:eastAsia="仿宋_GB2312" w:cstheme="minorBidi"/>
          <w:color w:val="auto"/>
          <w:kern w:val="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cstheme="minorBidi"/>
          <w:color w:val="auto"/>
          <w:kern w:val="2"/>
          <w:sz w:val="32"/>
          <w:szCs w:val="32"/>
        </w:rPr>
        <w:t>本单位无政府性基金收支。</w:t>
      </w:r>
    </w:p>
    <w:p w14:paraId="419C1CD1">
      <w:pPr>
        <w:pStyle w:val="12"/>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九、国有资本经营预算收入支出决算情况</w:t>
      </w:r>
    </w:p>
    <w:p w14:paraId="5648782F">
      <w:pPr>
        <w:pStyle w:val="12"/>
        <w:spacing w:line="600" w:lineRule="exact"/>
        <w:ind w:firstLine="640" w:firstLineChars="200"/>
        <w:rPr>
          <w:rFonts w:hint="eastAsia" w:ascii="Times New Roman" w:hAnsi="Times New Roman" w:eastAsia="仿宋_GB2312"/>
          <w:b/>
          <w:sz w:val="32"/>
          <w:szCs w:val="32"/>
          <w:highlight w:val="yellow"/>
          <w:lang w:eastAsia="zh-CN"/>
        </w:rPr>
      </w:pPr>
      <w:r>
        <w:rPr>
          <w:rFonts w:hint="eastAsia" w:ascii="Times New Roman" w:hAnsi="Times New Roman" w:eastAsia="仿宋_GB2312" w:cstheme="minorBidi"/>
          <w:color w:val="auto"/>
          <w:kern w:val="2"/>
          <w:sz w:val="32"/>
          <w:szCs w:val="32"/>
        </w:rPr>
        <w:t>本单位无国有资本经营预算收支。</w:t>
      </w:r>
    </w:p>
    <w:p w14:paraId="394116DB">
      <w:pPr>
        <w:pStyle w:val="12"/>
        <w:spacing w:line="600" w:lineRule="exact"/>
        <w:ind w:firstLine="640" w:firstLineChars="200"/>
        <w:rPr>
          <w:rFonts w:hint="eastAsia"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14:paraId="1B10F6C6">
      <w:pPr>
        <w:pStyle w:val="12"/>
        <w:spacing w:line="60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stheme="minorBidi"/>
          <w:color w:val="auto"/>
          <w:kern w:val="2"/>
          <w:sz w:val="32"/>
          <w:szCs w:val="32"/>
          <w:lang w:val="en-US" w:eastAsia="zh-CN" w:bidi="ar-SA"/>
        </w:rPr>
        <w:t>本部门2023年度机关运行经费支出24.99万元，比上年决算数减少2.53万元，降低9.19%。主要原因是严</w:t>
      </w:r>
      <w:r>
        <w:rPr>
          <w:rFonts w:hint="eastAsia" w:ascii="Times New Roman" w:hAnsi="Times New Roman" w:eastAsia="仿宋_GB2312"/>
          <w:color w:val="auto"/>
          <w:sz w:val="32"/>
          <w:szCs w:val="32"/>
        </w:rPr>
        <w:t>格按照财政要求，厉行节约，严格控制经费</w:t>
      </w:r>
      <w:r>
        <w:rPr>
          <w:rFonts w:hint="eastAsia" w:ascii="Times New Roman" w:hAnsi="Times New Roman" w:eastAsia="仿宋_GB2312"/>
          <w:color w:val="auto"/>
          <w:sz w:val="32"/>
          <w:szCs w:val="32"/>
          <w:lang w:eastAsia="zh-CN"/>
        </w:rPr>
        <w:t>开支</w:t>
      </w:r>
      <w:r>
        <w:rPr>
          <w:rFonts w:hint="eastAsia" w:ascii="Times New Roman" w:hAnsi="Times New Roman" w:eastAsia="仿宋_GB2312"/>
          <w:color w:val="auto"/>
          <w:sz w:val="32"/>
          <w:szCs w:val="32"/>
        </w:rPr>
        <w:t>。</w:t>
      </w:r>
    </w:p>
    <w:p w14:paraId="0F1113AA">
      <w:pPr>
        <w:pStyle w:val="12"/>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一</w:t>
      </w:r>
      <w:r>
        <w:rPr>
          <w:rFonts w:hint="eastAsia" w:hAnsi="黑体"/>
          <w:bCs/>
          <w:sz w:val="32"/>
          <w:szCs w:val="32"/>
        </w:rPr>
        <w:t>、一般性支出情况说明</w:t>
      </w:r>
    </w:p>
    <w:p w14:paraId="51E1B4D9">
      <w:pPr>
        <w:pStyle w:val="12"/>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7.75</w:t>
      </w:r>
      <w:r>
        <w:rPr>
          <w:rFonts w:hint="eastAsia" w:ascii="Times New Roman" w:hAnsi="Times New Roman" w:eastAsia="仿宋_GB2312"/>
          <w:sz w:val="32"/>
          <w:szCs w:val="32"/>
        </w:rPr>
        <w:t>万元，一是用于召开202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年全市老干部暨关工委工作座谈会议，人数120人，内容为总结202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年老干部工作及关工委工作，部署202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年全年工作，并对老干部工作者进行业务培训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w:t>
      </w:r>
      <w:r>
        <w:rPr>
          <w:rFonts w:hint="eastAsia" w:ascii="Times New Roman" w:hAnsi="Times New Roman" w:eastAsia="仿宋_GB2312"/>
          <w:sz w:val="32"/>
          <w:szCs w:val="32"/>
          <w:lang w:eastAsia="zh-CN"/>
        </w:rPr>
        <w:t>用于召开全市关工委宣传暨办公室工作会，共</w:t>
      </w:r>
      <w:r>
        <w:rPr>
          <w:rFonts w:hint="eastAsia" w:ascii="Times New Roman" w:hAnsi="Times New Roman" w:eastAsia="仿宋_GB2312"/>
          <w:sz w:val="32"/>
          <w:szCs w:val="32"/>
          <w:lang w:val="en-US" w:eastAsia="zh-CN"/>
        </w:rPr>
        <w:t>50人，内容为总结关工委2022年关工委宣传工作，部署2023年关工委重点宣传工作，推进关工委办公室提升履职能力</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三是召开</w:t>
      </w:r>
      <w:r>
        <w:rPr>
          <w:rFonts w:hint="eastAsia" w:ascii="Times New Roman" w:hAnsi="Times New Roman" w:eastAsia="仿宋_GB2312"/>
          <w:sz w:val="32"/>
          <w:szCs w:val="32"/>
          <w:lang w:val="en-US" w:eastAsia="zh-CN"/>
        </w:rPr>
        <w:t>2023年老干部重阳节座谈会，人数103人，对老干部进行重阳节慰问，并向老干部通报全市经济社会发展情况，更好地发挥老干部在经济社会建设中的参与和支持作用。</w:t>
      </w:r>
      <w:bookmarkStart w:id="1" w:name="_GoBack"/>
      <w:bookmarkEnd w:id="1"/>
      <w:r>
        <w:rPr>
          <w:rFonts w:hint="eastAsia" w:ascii="Times New Roman" w:hAnsi="Times New Roman" w:eastAsia="仿宋_GB2312"/>
          <w:sz w:val="32"/>
          <w:szCs w:val="32"/>
          <w:lang w:val="en-US" w:eastAsia="zh-CN"/>
        </w:rPr>
        <w:t>未举办节庆、晚会、论坛、赛事等活动。</w:t>
      </w:r>
    </w:p>
    <w:p w14:paraId="5B3383B5">
      <w:pPr>
        <w:pStyle w:val="12"/>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二</w:t>
      </w:r>
      <w:r>
        <w:rPr>
          <w:rFonts w:hint="eastAsia" w:hAnsi="黑体"/>
          <w:bCs/>
          <w:sz w:val="32"/>
          <w:szCs w:val="32"/>
        </w:rPr>
        <w:t>、关于政府采购支出说明</w:t>
      </w:r>
    </w:p>
    <w:p w14:paraId="6A0FB6CF">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w:t>
      </w:r>
      <w:r>
        <w:rPr>
          <w:rFonts w:hint="eastAsia" w:ascii="Times New Roman" w:hAnsi="Times New Roman" w:eastAsia="仿宋_GB2312"/>
          <w:sz w:val="32"/>
          <w:szCs w:val="32"/>
          <w:lang w:val="en-US" w:eastAsia="zh-CN"/>
        </w:rPr>
        <w:t>府采购支出总额83.52万元，其中：政府采购货物支出81.22万元、政府采购工程支出0万元、政府采购服务支出2.30万元。授予中小企业合同金额83.52万元，占政府采购支出总额的100%，其中：授予小微企业合同金额83.52万元</w:t>
      </w:r>
      <w:r>
        <w:rPr>
          <w:rFonts w:hint="eastAsia" w:ascii="Times New Roman" w:hAnsi="Times New Roman" w:eastAsia="仿宋_GB2312"/>
          <w:sz w:val="32"/>
          <w:szCs w:val="32"/>
        </w:rPr>
        <w:t>，占政府采购支出总额的100%。货物采购授予中小企业合同金额占货物支出金额的100%，工程采购授予中小企业合同金额占工程支出金额的0%，服务采购授予中小企业合同金额占服务支出金额的100%。</w:t>
      </w:r>
    </w:p>
    <w:p w14:paraId="4BECBDAC">
      <w:pPr>
        <w:pStyle w:val="12"/>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三</w:t>
      </w:r>
      <w:r>
        <w:rPr>
          <w:rFonts w:hint="eastAsia" w:hAnsi="黑体"/>
          <w:bCs/>
          <w:sz w:val="32"/>
          <w:szCs w:val="32"/>
        </w:rPr>
        <w:t>、关于国有资产占用情况说明</w:t>
      </w:r>
    </w:p>
    <w:p w14:paraId="12BDE4B0">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2辆，其中，主要领导干部用车0辆，机要通信用车1辆、应急保障用车0辆、执法执勤用车0辆、特种专业技术用车0辆、其他用车1辆，其他用车主要是离退休老干部用车和日常公务用车；单位价值50万元以上通用设备0台（套）；单位价值100万元以上专用设备0台（套）。</w:t>
      </w:r>
    </w:p>
    <w:p w14:paraId="74649E6D">
      <w:pPr>
        <w:pStyle w:val="12"/>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四</w:t>
      </w:r>
      <w:r>
        <w:rPr>
          <w:rFonts w:hint="eastAsia" w:hAnsi="黑体"/>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hAnsi="黑体"/>
          <w:bCs/>
          <w:sz w:val="32"/>
          <w:szCs w:val="32"/>
        </w:rPr>
        <w:t>年度预算绩效情况的说明</w:t>
      </w:r>
    </w:p>
    <w:p w14:paraId="556A8EC4">
      <w:pPr>
        <w:pStyle w:val="12"/>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14:paraId="3EB63C2B">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年按财政局要求认真开展落实绩效管理工作，切实完成年度绩效目标和绩效评价工作。自评报告见附件。</w:t>
      </w:r>
    </w:p>
    <w:p w14:paraId="3A18F7DE">
      <w:pPr>
        <w:pStyle w:val="12"/>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14:paraId="46AC7ED8">
      <w:pPr>
        <w:pStyle w:val="12"/>
        <w:spacing w:line="600" w:lineRule="exact"/>
        <w:ind w:firstLine="640" w:firstLineChars="200"/>
        <w:rPr>
          <w:rFonts w:ascii="方正小标宋_GBK" w:hAnsi="方正小标宋_GBK" w:eastAsia="方正小标宋_GBK" w:cs="方正小标宋_GBK"/>
          <w:sz w:val="72"/>
          <w:szCs w:val="72"/>
        </w:rPr>
      </w:pPr>
      <w:r>
        <w:rPr>
          <w:rFonts w:hint="eastAsia" w:ascii="Times New Roman" w:hAnsi="Times New Roman" w:eastAsia="仿宋_GB2312"/>
          <w:sz w:val="32"/>
          <w:szCs w:val="32"/>
        </w:rPr>
        <w:t>无</w:t>
      </w:r>
    </w:p>
    <w:p w14:paraId="64E297F4">
      <w:pPr>
        <w:pStyle w:val="12"/>
        <w:jc w:val="center"/>
        <w:rPr>
          <w:rFonts w:ascii="方正小标宋_GBK" w:hAnsi="方正小标宋_GBK" w:eastAsia="方正小标宋_GBK" w:cs="方正小标宋_GBK"/>
          <w:sz w:val="72"/>
          <w:szCs w:val="72"/>
        </w:rPr>
      </w:pPr>
    </w:p>
    <w:p w14:paraId="09FB341D">
      <w:pPr>
        <w:pStyle w:val="12"/>
        <w:jc w:val="center"/>
        <w:rPr>
          <w:rFonts w:ascii="方正小标宋_GBK" w:hAnsi="方正小标宋_GBK" w:eastAsia="方正小标宋_GBK" w:cs="方正小标宋_GBK"/>
          <w:sz w:val="72"/>
          <w:szCs w:val="72"/>
        </w:rPr>
      </w:pPr>
    </w:p>
    <w:p w14:paraId="427DAFC2">
      <w:pPr>
        <w:pStyle w:val="12"/>
        <w:jc w:val="center"/>
        <w:rPr>
          <w:rFonts w:ascii="方正小标宋_GBK" w:hAnsi="方正小标宋_GBK" w:eastAsia="方正小标宋_GBK" w:cs="方正小标宋_GBK"/>
          <w:sz w:val="72"/>
          <w:szCs w:val="72"/>
        </w:rPr>
      </w:pPr>
    </w:p>
    <w:p w14:paraId="07F73FF5">
      <w:pPr>
        <w:pStyle w:val="12"/>
        <w:jc w:val="center"/>
        <w:rPr>
          <w:rFonts w:ascii="方正小标宋_GBK" w:hAnsi="方正小标宋_GBK" w:eastAsia="方正小标宋_GBK" w:cs="方正小标宋_GBK"/>
          <w:sz w:val="72"/>
          <w:szCs w:val="72"/>
        </w:rPr>
      </w:pPr>
    </w:p>
    <w:p w14:paraId="56D4AE48">
      <w:pPr>
        <w:pStyle w:val="12"/>
        <w:jc w:val="center"/>
        <w:rPr>
          <w:rFonts w:ascii="方正小标宋_GBK" w:hAnsi="方正小标宋_GBK" w:eastAsia="方正小标宋_GBK" w:cs="方正小标宋_GBK"/>
          <w:sz w:val="72"/>
          <w:szCs w:val="72"/>
        </w:rPr>
      </w:pPr>
    </w:p>
    <w:p w14:paraId="5F929901">
      <w:pPr>
        <w:pStyle w:val="12"/>
        <w:jc w:val="center"/>
        <w:rPr>
          <w:rFonts w:ascii="方正小标宋_GBK" w:hAnsi="方正小标宋_GBK" w:eastAsia="方正小标宋_GBK" w:cs="方正小标宋_GBK"/>
          <w:sz w:val="72"/>
          <w:szCs w:val="72"/>
        </w:rPr>
      </w:pPr>
    </w:p>
    <w:p w14:paraId="71EA126B">
      <w:pPr>
        <w:pStyle w:val="12"/>
        <w:jc w:val="center"/>
        <w:rPr>
          <w:rFonts w:ascii="方正小标宋_GBK" w:hAnsi="方正小标宋_GBK" w:eastAsia="方正小标宋_GBK" w:cs="方正小标宋_GBK"/>
          <w:sz w:val="72"/>
          <w:szCs w:val="72"/>
        </w:rPr>
      </w:pPr>
    </w:p>
    <w:p w14:paraId="081DC7E3">
      <w:pPr>
        <w:pStyle w:val="12"/>
        <w:jc w:val="center"/>
        <w:rPr>
          <w:rFonts w:ascii="方正小标宋_GBK" w:hAnsi="方正小标宋_GBK" w:eastAsia="方正小标宋_GBK" w:cs="方正小标宋_GBK"/>
          <w:sz w:val="72"/>
          <w:szCs w:val="72"/>
        </w:rPr>
      </w:pPr>
    </w:p>
    <w:p w14:paraId="4E293CD3">
      <w:pPr>
        <w:pStyle w:val="12"/>
        <w:jc w:val="center"/>
        <w:rPr>
          <w:rFonts w:ascii="方正小标宋_GBK" w:hAnsi="方正小标宋_GBK" w:eastAsia="方正小标宋_GBK" w:cs="方正小标宋_GBK"/>
          <w:sz w:val="72"/>
          <w:szCs w:val="72"/>
        </w:rPr>
      </w:pPr>
    </w:p>
    <w:p w14:paraId="5F32BC67">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89CF374">
      <w:pPr>
        <w:jc w:val="center"/>
        <w:rPr>
          <w:rFonts w:ascii="方正小标宋_GBK" w:hAnsi="方正小标宋_GBK" w:eastAsia="方正小标宋_GBK" w:cs="方正小标宋_GBK"/>
          <w:color w:val="000000"/>
          <w:kern w:val="0"/>
          <w:sz w:val="70"/>
          <w:szCs w:val="70"/>
        </w:rPr>
      </w:pPr>
    </w:p>
    <w:p w14:paraId="4813FD86">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B1B343E">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E97668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一、财政拨款收入：指财政当年拨付的资金。 </w:t>
      </w:r>
    </w:p>
    <w:p w14:paraId="086CE91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12951FD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三、经营收入：指事业单位在专业业务活动及其辅助活动之外开展非独立核算经营活动取得的收入。如：中国财政杂志社广告收入等。 </w:t>
      </w:r>
    </w:p>
    <w:p w14:paraId="3FD6807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四、其他收入：指除上述“财政拨款收入”、“事业收入”、“经营收入”等以外的收入。主要是按规定动用的售房收入、存款利息收入等。 </w:t>
      </w:r>
    </w:p>
    <w:p w14:paraId="2765B08E">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7E86CDED">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六、年初结转和结余：指以前年度尚未完成、结转到本年按有关规定继续使用的资金。 </w:t>
      </w:r>
    </w:p>
    <w:p w14:paraId="69F9AEB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14:paraId="2B14D338">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八、年末结转和结余：指本年度或以前年度预算安排、因客观条件发生变化无法按原计划实施，需要延迟到以后年度按有关规定继续使用的资金。 </w:t>
      </w:r>
    </w:p>
    <w:p w14:paraId="558CEE8F">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九、基本支出：指为保障机构正常运转、完成日常工作任务而发生的人员支出和公用支出。 </w:t>
      </w:r>
    </w:p>
    <w:p w14:paraId="408E41E9">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十、项目支出：指在基本支出之外为完成特定行政任务和事业发展目标所发生的支出。 </w:t>
      </w:r>
    </w:p>
    <w:p w14:paraId="1DD0F8A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十一、经营支出：指事业单位在专业业务活动及其辅助活动之外开展非独立核算经营活动发生的支出。 </w:t>
      </w:r>
    </w:p>
    <w:p w14:paraId="282B0C69">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7CC2722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lang w:eastAsia="zh-CN"/>
        </w:rPr>
        <w:t>。</w:t>
      </w:r>
    </w:p>
    <w:p w14:paraId="4BD3CAAF">
      <w:pPr>
        <w:pStyle w:val="12"/>
        <w:spacing w:line="600" w:lineRule="exact"/>
        <w:ind w:firstLine="640" w:firstLineChars="200"/>
        <w:rPr>
          <w:rFonts w:ascii="Times New Roman" w:hAnsi="Times New Roman" w:eastAsia="仿宋_GB2312"/>
          <w:sz w:val="32"/>
          <w:szCs w:val="32"/>
        </w:rPr>
      </w:pPr>
    </w:p>
    <w:p w14:paraId="57F6F371">
      <w:pPr>
        <w:pStyle w:val="12"/>
        <w:jc w:val="center"/>
        <w:rPr>
          <w:sz w:val="72"/>
          <w:szCs w:val="72"/>
        </w:rPr>
      </w:pPr>
    </w:p>
    <w:p w14:paraId="61FF5558">
      <w:pPr>
        <w:pStyle w:val="12"/>
        <w:jc w:val="center"/>
        <w:rPr>
          <w:sz w:val="72"/>
          <w:szCs w:val="72"/>
        </w:rPr>
      </w:pPr>
    </w:p>
    <w:p w14:paraId="60C70FD7">
      <w:pPr>
        <w:pStyle w:val="12"/>
        <w:jc w:val="center"/>
        <w:rPr>
          <w:sz w:val="72"/>
          <w:szCs w:val="72"/>
        </w:rPr>
      </w:pPr>
    </w:p>
    <w:p w14:paraId="1274C8EF">
      <w:pPr>
        <w:pStyle w:val="12"/>
        <w:jc w:val="center"/>
        <w:rPr>
          <w:sz w:val="72"/>
          <w:szCs w:val="72"/>
        </w:rPr>
      </w:pPr>
    </w:p>
    <w:p w14:paraId="12EE679A">
      <w:pPr>
        <w:pStyle w:val="12"/>
        <w:jc w:val="center"/>
        <w:rPr>
          <w:sz w:val="72"/>
          <w:szCs w:val="72"/>
        </w:rPr>
      </w:pPr>
    </w:p>
    <w:p w14:paraId="03E1D2DF">
      <w:pPr>
        <w:pStyle w:val="12"/>
        <w:jc w:val="center"/>
        <w:rPr>
          <w:sz w:val="72"/>
          <w:szCs w:val="72"/>
        </w:rPr>
      </w:pPr>
      <w:r>
        <w:rPr>
          <w:rFonts w:hint="eastAsia"/>
          <w:sz w:val="72"/>
          <w:szCs w:val="72"/>
        </w:rPr>
        <w:t>第五部分</w:t>
      </w:r>
    </w:p>
    <w:p w14:paraId="0652A09F">
      <w:pPr>
        <w:jc w:val="center"/>
        <w:rPr>
          <w:rFonts w:ascii="黑体" w:eastAsia="黑体" w:cs="黑体"/>
          <w:color w:val="000000"/>
          <w:kern w:val="0"/>
          <w:sz w:val="70"/>
          <w:szCs w:val="70"/>
        </w:rPr>
      </w:pPr>
    </w:p>
    <w:p w14:paraId="62ADEC60">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676BA86">
      <w:pPr>
        <w:jc w:val="left"/>
        <w:rPr>
          <w:rFonts w:cs="黑体" w:asciiTheme="minorEastAsia" w:hAnsiTheme="minorEastAsia"/>
          <w:color w:val="000000"/>
          <w:kern w:val="0"/>
          <w:sz w:val="32"/>
          <w:szCs w:val="32"/>
        </w:rPr>
      </w:pPr>
    </w:p>
    <w:p w14:paraId="061CC557">
      <w:pPr>
        <w:pStyle w:val="12"/>
        <w:jc w:val="center"/>
        <w:rPr>
          <w:sz w:val="72"/>
          <w:szCs w:val="72"/>
        </w:rPr>
      </w:pPr>
    </w:p>
    <w:p w14:paraId="37149B77">
      <w:pPr>
        <w:pStyle w:val="12"/>
        <w:jc w:val="center"/>
        <w:rPr>
          <w:sz w:val="72"/>
          <w:szCs w:val="72"/>
        </w:rPr>
      </w:pPr>
    </w:p>
    <w:p w14:paraId="3454A2A3">
      <w:pPr>
        <w:pStyle w:val="12"/>
        <w:jc w:val="center"/>
        <w:rPr>
          <w:sz w:val="72"/>
          <w:szCs w:val="72"/>
        </w:rPr>
      </w:pPr>
    </w:p>
    <w:p w14:paraId="194EE6D3">
      <w:pPr>
        <w:pStyle w:val="12"/>
        <w:jc w:val="center"/>
        <w:rPr>
          <w:sz w:val="72"/>
          <w:szCs w:val="72"/>
        </w:rPr>
      </w:pPr>
    </w:p>
    <w:p w14:paraId="2AD8DBF1">
      <w:pPr>
        <w:pStyle w:val="12"/>
        <w:jc w:val="center"/>
        <w:rPr>
          <w:sz w:val="72"/>
          <w:szCs w:val="72"/>
        </w:rPr>
      </w:pPr>
    </w:p>
    <w:sectPr>
      <w:pgSz w:w="11906" w:h="16838"/>
      <w:pgMar w:top="2154" w:right="1531" w:bottom="1871" w:left="153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CCB695"/>
    <w:multiLevelType w:val="singleLevel"/>
    <w:tmpl w:val="4FCCB69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3NTdjZjgyZjFlNDIxZGQ2NjE4NGI3NjViMjZmOGIifQ=="/>
  </w:docVars>
  <w:rsids>
    <w:rsidRoot w:val="004506F9"/>
    <w:rsid w:val="0002229B"/>
    <w:rsid w:val="000273BD"/>
    <w:rsid w:val="00040CBC"/>
    <w:rsid w:val="000415B7"/>
    <w:rsid w:val="00041E3F"/>
    <w:rsid w:val="00055DAA"/>
    <w:rsid w:val="00061F7B"/>
    <w:rsid w:val="000658A3"/>
    <w:rsid w:val="00074155"/>
    <w:rsid w:val="0009219D"/>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31920"/>
    <w:rsid w:val="0084478C"/>
    <w:rsid w:val="00864ADC"/>
    <w:rsid w:val="0086638C"/>
    <w:rsid w:val="008A3E8D"/>
    <w:rsid w:val="009237C4"/>
    <w:rsid w:val="00942531"/>
    <w:rsid w:val="00944C48"/>
    <w:rsid w:val="00950252"/>
    <w:rsid w:val="00967F5D"/>
    <w:rsid w:val="009A0F95"/>
    <w:rsid w:val="009A1A09"/>
    <w:rsid w:val="009B3ADF"/>
    <w:rsid w:val="009C3B52"/>
    <w:rsid w:val="009E6817"/>
    <w:rsid w:val="009E6E9A"/>
    <w:rsid w:val="009F728B"/>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35468"/>
    <w:rsid w:val="00C77645"/>
    <w:rsid w:val="00CC0C83"/>
    <w:rsid w:val="00CE04C3"/>
    <w:rsid w:val="00CE76A0"/>
    <w:rsid w:val="00D148C6"/>
    <w:rsid w:val="00D17A8A"/>
    <w:rsid w:val="00D415BA"/>
    <w:rsid w:val="00D63780"/>
    <w:rsid w:val="00D644EE"/>
    <w:rsid w:val="00D753DD"/>
    <w:rsid w:val="00DD06FF"/>
    <w:rsid w:val="00DD51B1"/>
    <w:rsid w:val="00DD5FE9"/>
    <w:rsid w:val="00E00C7A"/>
    <w:rsid w:val="00E37D6C"/>
    <w:rsid w:val="00E55B68"/>
    <w:rsid w:val="00E561AE"/>
    <w:rsid w:val="00E67BE6"/>
    <w:rsid w:val="00E8683C"/>
    <w:rsid w:val="00E916E5"/>
    <w:rsid w:val="00EA2B72"/>
    <w:rsid w:val="00F74360"/>
    <w:rsid w:val="00FB462F"/>
    <w:rsid w:val="00FE16FA"/>
    <w:rsid w:val="00FE328A"/>
    <w:rsid w:val="00FE6269"/>
    <w:rsid w:val="00FF5CD6"/>
    <w:rsid w:val="00FF66FC"/>
    <w:rsid w:val="04DA26C6"/>
    <w:rsid w:val="084367D4"/>
    <w:rsid w:val="117F671F"/>
    <w:rsid w:val="17C030EC"/>
    <w:rsid w:val="18BA2A5A"/>
    <w:rsid w:val="1F7C6855"/>
    <w:rsid w:val="210448FA"/>
    <w:rsid w:val="23FAA12E"/>
    <w:rsid w:val="27A1D6AE"/>
    <w:rsid w:val="29DE0192"/>
    <w:rsid w:val="2F013F1F"/>
    <w:rsid w:val="2FBDEF6F"/>
    <w:rsid w:val="30EE1123"/>
    <w:rsid w:val="349B3E98"/>
    <w:rsid w:val="381256F7"/>
    <w:rsid w:val="3FEFA0E0"/>
    <w:rsid w:val="468405A1"/>
    <w:rsid w:val="49A32653"/>
    <w:rsid w:val="4E4F4B57"/>
    <w:rsid w:val="5777D4F5"/>
    <w:rsid w:val="59EA2C8B"/>
    <w:rsid w:val="5D77CFA5"/>
    <w:rsid w:val="5EFBAEF2"/>
    <w:rsid w:val="5FC6BB1E"/>
    <w:rsid w:val="5FF720F1"/>
    <w:rsid w:val="62FE3CBE"/>
    <w:rsid w:val="634FE398"/>
    <w:rsid w:val="63F2BC3F"/>
    <w:rsid w:val="67FE9EBA"/>
    <w:rsid w:val="6BEFD172"/>
    <w:rsid w:val="6E93609D"/>
    <w:rsid w:val="737D59BA"/>
    <w:rsid w:val="74C01A5C"/>
    <w:rsid w:val="75777B81"/>
    <w:rsid w:val="774C8DFA"/>
    <w:rsid w:val="77C37683"/>
    <w:rsid w:val="79FF515B"/>
    <w:rsid w:val="7C614FB6"/>
    <w:rsid w:val="7D7DA444"/>
    <w:rsid w:val="7E9F11B4"/>
    <w:rsid w:val="7F3F99D6"/>
    <w:rsid w:val="7FC69637"/>
    <w:rsid w:val="7FFDB408"/>
    <w:rsid w:val="A9E753FA"/>
    <w:rsid w:val="CBFF70E0"/>
    <w:rsid w:val="DE8E61CE"/>
    <w:rsid w:val="EEABED75"/>
    <w:rsid w:val="EF6C3C2B"/>
    <w:rsid w:val="F4FEAEB2"/>
    <w:rsid w:val="FB36E1A6"/>
    <w:rsid w:val="FBBC92E5"/>
    <w:rsid w:val="FBDEF740"/>
    <w:rsid w:val="FBFE8D72"/>
    <w:rsid w:val="FDFFCE2C"/>
    <w:rsid w:val="FE0BB489"/>
    <w:rsid w:val="FF395BA4"/>
    <w:rsid w:val="FF5D9C64"/>
    <w:rsid w:val="FFDC32CA"/>
    <w:rsid w:val="FFEDECBC"/>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5318</Words>
  <Characters>5799</Characters>
  <Lines>44</Lines>
  <Paragraphs>12</Paragraphs>
  <TotalTime>2</TotalTime>
  <ScaleCrop>false</ScaleCrop>
  <LinksUpToDate>false</LinksUpToDate>
  <CharactersWithSpaces>5829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2020-07-06T10:32:00Z</dcterms:created>
  <dc:creator>李航 null</dc:creator>
  <cp:lastModifiedBy>Ivie</cp:lastModifiedBy>
  <cp:lastPrinted>2023-08-17T01:28:00Z</cp:lastPrinted>
  <dcterms:modified xsi:type="dcterms:W3CDTF">2024-09-25T07:18:17Z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96931646F9D04455B6BF3044534A5F33_12</vt:lpwstr>
  </property>
</Properties>
</file>