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atLeast"/>
        <w:rPr>
          <w:rFonts w:hint="eastAsia" w:eastAsia="仿宋_GB2312"/>
          <w:spacing w:val="-2"/>
          <w:sz w:val="28"/>
          <w:szCs w:val="28"/>
          <w:lang w:val="en-US" w:eastAsia="zh-CN"/>
        </w:rPr>
      </w:pPr>
      <w:bookmarkStart w:id="2" w:name="_GoBack"/>
      <w:bookmarkEnd w:id="2"/>
      <w:r>
        <w:rPr>
          <w:rFonts w:hint="eastAsia" w:eastAsia="仿宋_GB2312"/>
          <w:b/>
          <w:spacing w:val="-2"/>
          <w:sz w:val="32"/>
          <w:szCs w:val="44"/>
        </w:rPr>
        <w:t xml:space="preserve">  </w:t>
      </w:r>
    </w:p>
    <w:p>
      <w:pPr>
        <w:spacing w:line="600" w:lineRule="exact"/>
        <w:rPr>
          <w:rFonts w:ascii="Times New Roman" w:hAnsi="Times New Roman" w:eastAsia="黑体" w:cs="Times New Roman"/>
          <w:sz w:val="32"/>
          <w:szCs w:val="32"/>
        </w:rPr>
      </w:pPr>
    </w:p>
    <w:p>
      <w:pPr>
        <w:spacing w:line="600" w:lineRule="exact"/>
        <w:rPr>
          <w:rFonts w:ascii="Times New Roman" w:hAnsi="Times New Roman" w:eastAsia="黑体" w:cs="Times New Roman"/>
          <w:sz w:val="32"/>
          <w:szCs w:val="32"/>
        </w:rPr>
      </w:pPr>
    </w:p>
    <w:p>
      <w:pPr>
        <w:spacing w:line="600" w:lineRule="exact"/>
        <w:rPr>
          <w:rFonts w:ascii="Times New Roman" w:hAnsi="Times New Roman" w:eastAsia="黑体" w:cs="Times New Roman"/>
          <w:sz w:val="32"/>
          <w:szCs w:val="32"/>
        </w:rPr>
      </w:pPr>
    </w:p>
    <w:p>
      <w:pPr>
        <w:spacing w:line="600" w:lineRule="exact"/>
        <w:rPr>
          <w:rFonts w:ascii="Times New Roman" w:hAnsi="Times New Roman" w:eastAsia="黑体" w:cs="Times New Roman"/>
          <w:sz w:val="32"/>
          <w:szCs w:val="32"/>
        </w:rPr>
      </w:pPr>
    </w:p>
    <w:p>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3</w:t>
      </w:r>
      <w:r>
        <w:rPr>
          <w:rFonts w:ascii="Times New Roman" w:hAnsi="Times New Roman" w:eastAsia="方正小标宋_GBK" w:cs="Times New Roman"/>
          <w:sz w:val="52"/>
          <w:szCs w:val="52"/>
        </w:rPr>
        <w:t>年度</w:t>
      </w:r>
      <w:r>
        <w:rPr>
          <w:rFonts w:hint="eastAsia" w:ascii="Times New Roman" w:hAnsi="Times New Roman" w:eastAsia="方正小标宋_GBK" w:cs="Times New Roman"/>
          <w:sz w:val="52"/>
          <w:szCs w:val="52"/>
        </w:rPr>
        <w:t>怀化市委</w:t>
      </w:r>
      <w:r>
        <w:rPr>
          <w:rFonts w:hint="eastAsia" w:ascii="Times New Roman" w:hAnsi="Times New Roman" w:eastAsia="方正小标宋_GBK" w:cs="Times New Roman"/>
          <w:sz w:val="52"/>
          <w:szCs w:val="52"/>
          <w:lang w:val="en-US" w:eastAsia="zh-CN"/>
        </w:rPr>
        <w:t>市</w:t>
      </w:r>
      <w:r>
        <w:rPr>
          <w:rFonts w:hint="eastAsia" w:ascii="Times New Roman" w:hAnsi="Times New Roman" w:eastAsia="方正小标宋_GBK" w:cs="Times New Roman"/>
          <w:sz w:val="52"/>
          <w:szCs w:val="52"/>
        </w:rPr>
        <w:t>政府机关老干部休养所</w:t>
      </w:r>
      <w:r>
        <w:rPr>
          <w:rFonts w:ascii="Times New Roman" w:hAnsi="Times New Roman" w:eastAsia="方正小标宋_GBK" w:cs="Times New Roman"/>
          <w:sz w:val="52"/>
          <w:szCs w:val="52"/>
        </w:rPr>
        <w:t>整体支出绩效自评报告</w:t>
      </w:r>
    </w:p>
    <w:p>
      <w:pPr>
        <w:jc w:val="both"/>
        <w:rPr>
          <w:rFonts w:ascii="Times New Roman" w:hAnsi="Times New Roman" w:eastAsia="楷体_GB2312" w:cs="Times New Roman"/>
          <w:b/>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both"/>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spacing w:line="600" w:lineRule="exact"/>
        <w:ind w:firstLine="320" w:firstLineChars="1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单位名称：</w:t>
      </w:r>
      <w:r>
        <w:rPr>
          <w:rFonts w:hint="eastAsia" w:ascii="Times New Roman" w:hAnsi="Times New Roman" w:eastAsia="仿宋_GB2312" w:cs="Times New Roman"/>
          <w:sz w:val="32"/>
          <w:szCs w:val="32"/>
          <w:u w:val="single"/>
        </w:rPr>
        <w:t>怀化市委</w:t>
      </w:r>
      <w:r>
        <w:rPr>
          <w:rFonts w:hint="eastAsia" w:ascii="Times New Roman" w:hAnsi="Times New Roman" w:eastAsia="仿宋_GB2312" w:cs="Times New Roman"/>
          <w:sz w:val="32"/>
          <w:szCs w:val="32"/>
          <w:u w:val="single"/>
          <w:lang w:val="en-US" w:eastAsia="zh-CN"/>
        </w:rPr>
        <w:t>市</w:t>
      </w:r>
      <w:r>
        <w:rPr>
          <w:rFonts w:hint="eastAsia" w:ascii="Times New Roman" w:hAnsi="Times New Roman" w:eastAsia="仿宋_GB2312" w:cs="Times New Roman"/>
          <w:sz w:val="32"/>
          <w:szCs w:val="32"/>
          <w:u w:val="single"/>
        </w:rPr>
        <w:t>政府机关老干部休养所</w:t>
      </w:r>
      <w:r>
        <w:rPr>
          <w:rFonts w:ascii="Times New Roman" w:hAnsi="Times New Roman" w:eastAsia="仿宋_GB2312" w:cs="Times New Roman"/>
          <w:sz w:val="32"/>
          <w:szCs w:val="32"/>
          <w:u w:val="single"/>
        </w:rPr>
        <w:t>（盖章）</w:t>
      </w:r>
    </w:p>
    <w:p>
      <w:pPr>
        <w:spacing w:line="600" w:lineRule="exact"/>
        <w:ind w:firstLine="3200" w:firstLineChars="1000"/>
        <w:rPr>
          <w:rFonts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2023</w:t>
      </w:r>
      <w:r>
        <w:rPr>
          <w:rFonts w:ascii="Times New Roman" w:hAnsi="Times New Roman" w:eastAsia="楷体_GB2312" w:cs="Times New Roman"/>
          <w:sz w:val="32"/>
          <w:szCs w:val="32"/>
        </w:rPr>
        <w:t>年</w:t>
      </w:r>
      <w:r>
        <w:rPr>
          <w:rFonts w:hint="eastAsia" w:ascii="Times New Roman" w:hAnsi="Times New Roman" w:eastAsia="楷体_GB2312" w:cs="Times New Roman"/>
          <w:sz w:val="32"/>
          <w:szCs w:val="32"/>
          <w:lang w:val="en-US" w:eastAsia="zh-CN"/>
        </w:rPr>
        <w:t>6</w:t>
      </w:r>
      <w:r>
        <w:rPr>
          <w:rFonts w:ascii="Times New Roman" w:hAnsi="Times New Roman" w:eastAsia="楷体_GB2312" w:cs="Times New Roman"/>
          <w:sz w:val="32"/>
          <w:szCs w:val="32"/>
        </w:rPr>
        <w:t>月</w:t>
      </w:r>
      <w:r>
        <w:rPr>
          <w:rFonts w:hint="eastAsia" w:ascii="Times New Roman" w:hAnsi="Times New Roman" w:eastAsia="楷体_GB2312" w:cs="Times New Roman"/>
          <w:sz w:val="32"/>
          <w:szCs w:val="32"/>
          <w:lang w:val="en-US" w:eastAsia="zh-CN"/>
        </w:rPr>
        <w:t>20</w:t>
      </w:r>
      <w:r>
        <w:rPr>
          <w:rFonts w:ascii="Times New Roman" w:hAnsi="Times New Roman" w:eastAsia="楷体_GB2312" w:cs="Times New Roman"/>
          <w:sz w:val="32"/>
          <w:szCs w:val="32"/>
        </w:rPr>
        <w:t>日</w:t>
      </w:r>
    </w:p>
    <w:p>
      <w:pPr>
        <w:jc w:val="center"/>
        <w:rPr>
          <w:rFonts w:ascii="Times New Roman" w:hAnsi="Times New Roman" w:eastAsia="黑体" w:cs="Times New Roman"/>
          <w:sz w:val="32"/>
          <w:szCs w:val="32"/>
        </w:rPr>
      </w:pP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（此页为封面）</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sectPr>
          <w:pgSz w:w="11906" w:h="16838"/>
          <w:pgMar w:top="2098" w:right="1531" w:bottom="1871" w:left="1531" w:header="851" w:footer="992" w:gutter="0"/>
          <w:pgNumType w:fmt="decimal"/>
          <w:cols w:space="425" w:num="1"/>
          <w:docGrid w:type="lines" w:linePitch="312" w:charSpace="0"/>
        </w:sect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pPr>
      <w:r>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t>怀化市委市政府机关老干部休养所</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0"/>
        <w:jc w:val="both"/>
        <w:textAlignment w:val="auto"/>
        <w:rPr>
          <w:rFonts w:ascii="仿宋_GB2312" w:eastAsia="仿宋_GB2312" w:cs="仿宋_GB2312"/>
          <w:i w:val="0"/>
          <w:iCs w:val="0"/>
          <w:caps w:val="0"/>
          <w:color w:val="000000"/>
          <w:spacing w:val="0"/>
          <w:sz w:val="24"/>
          <w:szCs w:val="24"/>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481" w:firstLineChars="150"/>
        <w:textAlignment w:val="auto"/>
        <w:rPr>
          <w:rFonts w:hint="default" w:ascii="楷体_GB2312" w:eastAsia="楷体_GB2312" w:cs="楷体_GB2312"/>
          <w:b/>
          <w:bCs/>
          <w:i w:val="0"/>
          <w:iCs w:val="0"/>
          <w:caps w:val="0"/>
          <w:color w:val="000000"/>
          <w:spacing w:val="0"/>
          <w:sz w:val="32"/>
          <w:szCs w:val="32"/>
          <w:shd w:val="clear" w:fill="FFFFFF"/>
        </w:rPr>
      </w:pPr>
      <w:r>
        <w:rPr>
          <w:rFonts w:hint="default" w:ascii="楷体_GB2312" w:eastAsia="楷体_GB2312" w:cs="楷体_GB2312"/>
          <w:b/>
          <w:bCs/>
          <w:i w:val="0"/>
          <w:iCs w:val="0"/>
          <w:caps w:val="0"/>
          <w:color w:val="000000"/>
          <w:spacing w:val="0"/>
          <w:sz w:val="32"/>
          <w:szCs w:val="32"/>
          <w:shd w:val="clear" w:fill="FFFFFF"/>
        </w:rPr>
        <w:t>（一）机构设置情况</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怀化市委市政府机关老干部休养所作为怀化市委老干部局的二级部门预算单位，内设科室为：</w:t>
      </w:r>
      <w:r>
        <w:rPr>
          <w:rFonts w:hint="default" w:ascii="仿宋_GB2312" w:eastAsia="仿宋_GB2312" w:cs="仿宋_GB2312"/>
          <w:i w:val="0"/>
          <w:iCs w:val="0"/>
          <w:caps w:val="0"/>
          <w:color w:val="000000"/>
          <w:spacing w:val="0"/>
          <w:sz w:val="32"/>
          <w:szCs w:val="32"/>
          <w:shd w:val="clear" w:fill="FFFFFF"/>
        </w:rPr>
        <w:t>办公室、活动</w:t>
      </w:r>
      <w:r>
        <w:rPr>
          <w:rFonts w:hint="eastAsia" w:ascii="仿宋_GB2312" w:eastAsia="仿宋_GB2312" w:cs="仿宋_GB2312"/>
          <w:i w:val="0"/>
          <w:iCs w:val="0"/>
          <w:caps w:val="0"/>
          <w:color w:val="000000"/>
          <w:spacing w:val="0"/>
          <w:sz w:val="32"/>
          <w:szCs w:val="32"/>
          <w:shd w:val="clear" w:fill="FFFFFF"/>
          <w:lang w:eastAsia="zh-CN"/>
        </w:rPr>
        <w:t>组织部</w:t>
      </w:r>
      <w:r>
        <w:rPr>
          <w:rFonts w:hint="default" w:ascii="仿宋_GB2312" w:eastAsia="仿宋_GB2312" w:cs="仿宋_GB2312"/>
          <w:i w:val="0"/>
          <w:iCs w:val="0"/>
          <w:caps w:val="0"/>
          <w:color w:val="000000"/>
          <w:spacing w:val="0"/>
          <w:sz w:val="32"/>
          <w:szCs w:val="32"/>
          <w:shd w:val="clear" w:fill="FFFFFF"/>
        </w:rPr>
        <w:t>。</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481" w:firstLineChars="150"/>
        <w:textAlignment w:val="auto"/>
        <w:rPr>
          <w:rFonts w:hint="default" w:ascii="楷体_GB2312" w:eastAsia="楷体_GB2312" w:cs="楷体_GB2312"/>
          <w:b/>
          <w:bCs/>
          <w:i w:val="0"/>
          <w:iCs w:val="0"/>
          <w:caps w:val="0"/>
          <w:color w:val="000000"/>
          <w:spacing w:val="0"/>
          <w:sz w:val="32"/>
          <w:szCs w:val="32"/>
          <w:shd w:val="clear" w:fill="FFFFFF"/>
        </w:rPr>
      </w:pPr>
      <w:r>
        <w:rPr>
          <w:rFonts w:hint="default" w:ascii="楷体_GB2312" w:eastAsia="楷体_GB2312" w:cs="楷体_GB2312"/>
          <w:b/>
          <w:bCs/>
          <w:i w:val="0"/>
          <w:iCs w:val="0"/>
          <w:caps w:val="0"/>
          <w:color w:val="000000"/>
          <w:spacing w:val="0"/>
          <w:sz w:val="32"/>
          <w:szCs w:val="32"/>
          <w:shd w:val="clear" w:fill="FFFFFF"/>
        </w:rPr>
        <w:t>（二）人员编制情况</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2023年末编制人数9人，其中行政编0人，参公编9人；2023年末实有人员7人。</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481" w:firstLineChars="150"/>
        <w:textAlignment w:val="auto"/>
        <w:rPr>
          <w:rFonts w:hint="default" w:ascii="楷体_GB2312" w:eastAsia="楷体_GB2312" w:cs="楷体_GB2312"/>
          <w:b/>
          <w:bCs/>
          <w:i w:val="0"/>
          <w:iCs w:val="0"/>
          <w:caps w:val="0"/>
          <w:color w:val="000000"/>
          <w:spacing w:val="0"/>
          <w:sz w:val="32"/>
          <w:szCs w:val="32"/>
          <w:shd w:val="clear" w:fill="FFFFFF"/>
        </w:rPr>
      </w:pPr>
      <w:r>
        <w:rPr>
          <w:rFonts w:hint="default" w:ascii="楷体_GB2312" w:eastAsia="楷体_GB2312" w:cs="楷体_GB2312"/>
          <w:b/>
          <w:bCs/>
          <w:i w:val="0"/>
          <w:iCs w:val="0"/>
          <w:caps w:val="0"/>
          <w:color w:val="000000"/>
          <w:spacing w:val="0"/>
          <w:sz w:val="32"/>
          <w:szCs w:val="32"/>
          <w:shd w:val="clear" w:fill="FFFFFF"/>
        </w:rPr>
        <w:t>（三）主要职能职责</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eastAsia" w:ascii="Times New Roman" w:hAnsi="Times New Roman" w:eastAsia="宋体" w:cs="Times New Roman"/>
          <w:i w:val="0"/>
          <w:caps w:val="0"/>
          <w:color w:val="3D3D3D"/>
          <w:spacing w:val="0"/>
          <w:sz w:val="32"/>
          <w:szCs w:val="32"/>
          <w:shd w:val="clear" w:fill="FFFFFF"/>
          <w:lang w:eastAsia="zh-CN"/>
        </w:rPr>
        <w:t>（</w:t>
      </w:r>
      <w:r>
        <w:rPr>
          <w:rFonts w:hint="default" w:ascii="仿宋_GB2312" w:eastAsia="仿宋_GB2312" w:cs="仿宋_GB2312"/>
          <w:i w:val="0"/>
          <w:iCs w:val="0"/>
          <w:caps w:val="0"/>
          <w:color w:val="000000"/>
          <w:spacing w:val="0"/>
          <w:sz w:val="32"/>
          <w:szCs w:val="32"/>
          <w:shd w:val="clear" w:fill="FFFFFF"/>
          <w:lang w:val="en-US" w:eastAsia="zh-CN"/>
        </w:rPr>
        <w:t>1</w:t>
      </w:r>
      <w:r>
        <w:rPr>
          <w:rFonts w:hint="eastAsia" w:ascii="仿宋_GB2312" w:eastAsia="仿宋_GB2312" w:cs="仿宋_GB2312"/>
          <w:i w:val="0"/>
          <w:iCs w:val="0"/>
          <w:caps w:val="0"/>
          <w:color w:val="000000"/>
          <w:spacing w:val="0"/>
          <w:sz w:val="32"/>
          <w:szCs w:val="32"/>
          <w:shd w:val="clear" w:fill="FFFFFF"/>
          <w:lang w:val="en-US" w:eastAsia="zh-CN"/>
        </w:rPr>
        <w:t>）认真宣传、贯彻执行党中央、国务院关于离退休干部的各项方针政策。</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default" w:ascii="仿宋_GB2312" w:eastAsia="仿宋_GB2312" w:cs="仿宋_GB2312"/>
          <w:i w:val="0"/>
          <w:iCs w:val="0"/>
          <w:caps w:val="0"/>
          <w:color w:val="000000"/>
          <w:spacing w:val="0"/>
          <w:sz w:val="32"/>
          <w:szCs w:val="32"/>
          <w:shd w:val="clear" w:fill="FFFFFF"/>
          <w:lang w:val="en-US" w:eastAsia="zh-CN"/>
        </w:rPr>
        <w:t>（2）负责做好离退休干部的政治学习、文件传阅、听重要报告、参加重要会议和政治活动等具体组织工作，落实好各项政治待遇。</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default" w:ascii="仿宋_GB2312" w:eastAsia="仿宋_GB2312" w:cs="仿宋_GB2312"/>
          <w:i w:val="0"/>
          <w:iCs w:val="0"/>
          <w:caps w:val="0"/>
          <w:color w:val="000000"/>
          <w:spacing w:val="0"/>
          <w:sz w:val="32"/>
          <w:szCs w:val="32"/>
          <w:shd w:val="clear" w:fill="FFFFFF"/>
          <w:lang w:val="en-US" w:eastAsia="zh-CN"/>
        </w:rPr>
        <w:t>（3）协助做好离退休干部的医疗保健工作，安排好老干部的体检、疗养和用车。</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default" w:ascii="仿宋_GB2312" w:eastAsia="仿宋_GB2312" w:cs="仿宋_GB2312"/>
          <w:i w:val="0"/>
          <w:iCs w:val="0"/>
          <w:caps w:val="0"/>
          <w:color w:val="000000"/>
          <w:spacing w:val="0"/>
          <w:sz w:val="32"/>
          <w:szCs w:val="32"/>
          <w:shd w:val="clear" w:fill="FFFFFF"/>
          <w:lang w:val="en-US" w:eastAsia="zh-CN"/>
        </w:rPr>
        <w:t>（4）组织开展有益老干部身心健康的各项活动，发挥老干部在社会建设中的作用。</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default" w:ascii="仿宋_GB2312" w:eastAsia="仿宋_GB2312" w:cs="仿宋_GB2312"/>
          <w:i w:val="0"/>
          <w:iCs w:val="0"/>
          <w:caps w:val="0"/>
          <w:color w:val="000000"/>
          <w:spacing w:val="0"/>
          <w:sz w:val="32"/>
          <w:szCs w:val="32"/>
          <w:shd w:val="clear" w:fill="FFFFFF"/>
          <w:lang w:val="en-US" w:eastAsia="zh-CN"/>
        </w:rPr>
        <w:t>（5）生活上关心照顾好老干部，经常了解老干部的思想、身体、生活情况，坚持走访慰问等制度。</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default" w:ascii="仿宋_GB2312" w:eastAsia="仿宋_GB2312" w:cs="仿宋_GB2312"/>
          <w:i w:val="0"/>
          <w:iCs w:val="0"/>
          <w:caps w:val="0"/>
          <w:color w:val="000000"/>
          <w:spacing w:val="0"/>
          <w:sz w:val="32"/>
          <w:szCs w:val="32"/>
          <w:shd w:val="clear" w:fill="FFFFFF"/>
          <w:lang w:val="en-US" w:eastAsia="zh-CN"/>
        </w:rPr>
        <w:t>（6）认真接待好老干部的来电、来信、来访，及时反映他们的合理要求，尽力帮助他们排忧解难。</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lang w:val="en-US" w:eastAsia="zh-CN"/>
        </w:rPr>
      </w:pPr>
      <w:r>
        <w:rPr>
          <w:rFonts w:hint="default" w:ascii="仿宋_GB2312" w:eastAsia="仿宋_GB2312" w:cs="仿宋_GB2312"/>
          <w:i w:val="0"/>
          <w:iCs w:val="0"/>
          <w:caps w:val="0"/>
          <w:color w:val="000000"/>
          <w:spacing w:val="0"/>
          <w:sz w:val="32"/>
          <w:szCs w:val="32"/>
          <w:shd w:val="clear" w:fill="FFFFFF"/>
          <w:lang w:val="en-US" w:eastAsia="zh-CN"/>
        </w:rPr>
        <w:t>（7）会同有关部门办理老干部及遗孀丧葬事宜。</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481" w:firstLineChars="150"/>
        <w:textAlignment w:val="auto"/>
        <w:rPr>
          <w:rFonts w:hint="default" w:ascii="楷体_GB2312" w:eastAsia="楷体_GB2312" w:cs="楷体_GB2312"/>
          <w:b/>
          <w:bCs/>
          <w:i w:val="0"/>
          <w:iCs w:val="0"/>
          <w:caps w:val="0"/>
          <w:color w:val="000000"/>
          <w:spacing w:val="0"/>
          <w:sz w:val="32"/>
          <w:szCs w:val="32"/>
          <w:shd w:val="clear" w:fill="FFFFFF"/>
        </w:rPr>
      </w:pPr>
      <w:r>
        <w:rPr>
          <w:rFonts w:hint="default" w:ascii="楷体_GB2312" w:eastAsia="楷体_GB2312" w:cs="楷体_GB2312"/>
          <w:b/>
          <w:bCs/>
          <w:i w:val="0"/>
          <w:iCs w:val="0"/>
          <w:caps w:val="0"/>
          <w:color w:val="000000"/>
          <w:spacing w:val="0"/>
          <w:sz w:val="32"/>
          <w:szCs w:val="32"/>
          <w:shd w:val="clear" w:fill="FFFFFF"/>
        </w:rPr>
        <w:t>（四）绩效目标设定情况</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lang w:val="en-US" w:eastAsia="zh-CN"/>
        </w:rPr>
      </w:pPr>
      <w:bookmarkStart w:id="0" w:name="_Toc15372272"/>
      <w:r>
        <w:rPr>
          <w:rFonts w:hint="default" w:ascii="仿宋_GB2312" w:eastAsia="仿宋_GB2312" w:cs="仿宋_GB2312"/>
          <w:i w:val="0"/>
          <w:iCs w:val="0"/>
          <w:caps w:val="0"/>
          <w:color w:val="000000"/>
          <w:spacing w:val="0"/>
          <w:sz w:val="32"/>
          <w:szCs w:val="32"/>
          <w:shd w:val="clear" w:fill="FFFFFF"/>
          <w:lang w:val="en-US" w:eastAsia="zh-CN"/>
        </w:rPr>
        <w:t>认真抓好离退</w:t>
      </w:r>
      <w:r>
        <w:rPr>
          <w:rFonts w:hint="default" w:ascii="仿宋_GB2312" w:eastAsia="仿宋_GB2312" w:cs="仿宋_GB2312"/>
          <w:i w:val="0"/>
          <w:iCs w:val="0"/>
          <w:caps w:val="0"/>
          <w:color w:val="000000"/>
          <w:spacing w:val="0"/>
          <w:sz w:val="32"/>
          <w:szCs w:val="32"/>
          <w:shd w:val="clear" w:fill="FFFFFF"/>
          <w:lang w:eastAsia="zh-CN"/>
        </w:rPr>
        <w:t>休</w:t>
      </w:r>
      <w:r>
        <w:rPr>
          <w:rFonts w:hint="default" w:ascii="仿宋_GB2312" w:eastAsia="仿宋_GB2312" w:cs="仿宋_GB2312"/>
          <w:i w:val="0"/>
          <w:iCs w:val="0"/>
          <w:caps w:val="0"/>
          <w:color w:val="000000"/>
          <w:spacing w:val="0"/>
          <w:sz w:val="32"/>
          <w:szCs w:val="32"/>
          <w:shd w:val="clear" w:fill="FFFFFF"/>
          <w:lang w:val="en-US" w:eastAsia="zh-CN"/>
        </w:rPr>
        <w:t>党</w:t>
      </w:r>
      <w:r>
        <w:rPr>
          <w:rFonts w:hint="default" w:ascii="仿宋_GB2312" w:eastAsia="仿宋_GB2312" w:cs="仿宋_GB2312"/>
          <w:i w:val="0"/>
          <w:iCs w:val="0"/>
          <w:caps w:val="0"/>
          <w:color w:val="000000"/>
          <w:spacing w:val="0"/>
          <w:sz w:val="32"/>
          <w:szCs w:val="32"/>
          <w:shd w:val="clear" w:fill="FFFFFF"/>
          <w:lang w:eastAsia="zh-CN"/>
        </w:rPr>
        <w:t>支部</w:t>
      </w:r>
      <w:r>
        <w:rPr>
          <w:rFonts w:hint="default" w:ascii="仿宋_GB2312" w:eastAsia="仿宋_GB2312" w:cs="仿宋_GB2312"/>
          <w:i w:val="0"/>
          <w:iCs w:val="0"/>
          <w:caps w:val="0"/>
          <w:color w:val="000000"/>
          <w:spacing w:val="0"/>
          <w:sz w:val="32"/>
          <w:szCs w:val="32"/>
          <w:shd w:val="clear" w:fill="FFFFFF"/>
          <w:lang w:val="en-US" w:eastAsia="zh-CN"/>
        </w:rPr>
        <w:t>建设，更加注重党建引领，更加注重作用发挥，更加注重服务管理，用心用情、精准服务，全面落实老干部</w:t>
      </w:r>
      <w:r>
        <w:rPr>
          <w:rFonts w:hint="default" w:ascii="仿宋_GB2312" w:eastAsia="仿宋_GB2312" w:cs="仿宋_GB2312"/>
          <w:i w:val="0"/>
          <w:iCs w:val="0"/>
          <w:caps w:val="0"/>
          <w:color w:val="000000"/>
          <w:spacing w:val="0"/>
          <w:sz w:val="32"/>
          <w:szCs w:val="32"/>
          <w:shd w:val="clear" w:fill="FFFFFF"/>
          <w:lang w:eastAsia="zh-CN"/>
        </w:rPr>
        <w:t>的政治待遇和</w:t>
      </w:r>
      <w:r>
        <w:rPr>
          <w:rFonts w:hint="default" w:ascii="仿宋_GB2312" w:eastAsia="仿宋_GB2312" w:cs="仿宋_GB2312"/>
          <w:i w:val="0"/>
          <w:iCs w:val="0"/>
          <w:caps w:val="0"/>
          <w:color w:val="000000"/>
          <w:spacing w:val="0"/>
          <w:sz w:val="32"/>
          <w:szCs w:val="32"/>
          <w:shd w:val="clear" w:fill="FFFFFF"/>
          <w:lang w:val="en-US" w:eastAsia="zh-CN"/>
        </w:rPr>
        <w:t>生活待遇，提高老干部幸福指数；</w:t>
      </w:r>
      <w:r>
        <w:rPr>
          <w:rFonts w:hint="eastAsia" w:ascii="仿宋_GB2312" w:eastAsia="仿宋_GB2312" w:cs="仿宋_GB2312"/>
          <w:i w:val="0"/>
          <w:iCs w:val="0"/>
          <w:caps w:val="0"/>
          <w:color w:val="000000"/>
          <w:spacing w:val="0"/>
          <w:sz w:val="32"/>
          <w:szCs w:val="32"/>
          <w:shd w:val="clear" w:fill="FFFFFF"/>
          <w:lang w:val="en-US" w:eastAsia="zh-CN"/>
        </w:rPr>
        <w:t>进一步贯彻落实全国、全省离退休干部“双先”表彰大会精神</w:t>
      </w:r>
      <w:r>
        <w:rPr>
          <w:rFonts w:hint="default" w:ascii="仿宋_GB2312" w:eastAsia="仿宋_GB2312" w:cs="仿宋_GB2312"/>
          <w:i w:val="0"/>
          <w:iCs w:val="0"/>
          <w:caps w:val="0"/>
          <w:color w:val="000000"/>
          <w:spacing w:val="0"/>
          <w:sz w:val="32"/>
          <w:szCs w:val="32"/>
          <w:shd w:val="clear" w:fill="FFFFFF"/>
          <w:lang w:val="en-US" w:eastAsia="zh-CN"/>
        </w:rPr>
        <w:t>，组织老干部</w:t>
      </w:r>
      <w:r>
        <w:rPr>
          <w:rFonts w:hint="default" w:ascii="仿宋_GB2312" w:eastAsia="仿宋_GB2312" w:cs="仿宋_GB2312"/>
          <w:i w:val="0"/>
          <w:iCs w:val="0"/>
          <w:caps w:val="0"/>
          <w:color w:val="000000"/>
          <w:spacing w:val="0"/>
          <w:sz w:val="32"/>
          <w:szCs w:val="32"/>
          <w:shd w:val="clear" w:fill="FFFFFF"/>
          <w:lang w:eastAsia="zh-CN"/>
        </w:rPr>
        <w:t>参观工农业生产</w:t>
      </w:r>
      <w:r>
        <w:rPr>
          <w:rFonts w:hint="default" w:ascii="仿宋_GB2312" w:eastAsia="仿宋_GB2312" w:cs="仿宋_GB2312"/>
          <w:i w:val="0"/>
          <w:iCs w:val="0"/>
          <w:caps w:val="0"/>
          <w:color w:val="000000"/>
          <w:spacing w:val="0"/>
          <w:sz w:val="32"/>
          <w:szCs w:val="32"/>
          <w:shd w:val="clear" w:fill="FFFFFF"/>
          <w:lang w:val="en-US" w:eastAsia="zh-CN"/>
        </w:rPr>
        <w:t>，订阅杂志，健康体</w:t>
      </w:r>
      <w:r>
        <w:rPr>
          <w:rFonts w:hint="default" w:ascii="仿宋_GB2312" w:eastAsia="仿宋_GB2312" w:cs="仿宋_GB2312"/>
          <w:i w:val="0"/>
          <w:iCs w:val="0"/>
          <w:caps w:val="0"/>
          <w:color w:val="000000"/>
          <w:spacing w:val="0"/>
          <w:sz w:val="32"/>
          <w:szCs w:val="32"/>
          <w:shd w:val="clear" w:fill="FFFFFF"/>
          <w:lang w:eastAsia="zh-CN"/>
        </w:rPr>
        <w:t>检；</w:t>
      </w:r>
      <w:r>
        <w:rPr>
          <w:rFonts w:hint="default" w:ascii="仿宋_GB2312" w:eastAsia="仿宋_GB2312" w:cs="仿宋_GB2312"/>
          <w:i w:val="0"/>
          <w:iCs w:val="0"/>
          <w:caps w:val="0"/>
          <w:color w:val="000000"/>
          <w:spacing w:val="0"/>
          <w:sz w:val="32"/>
          <w:szCs w:val="32"/>
          <w:shd w:val="clear" w:fill="FFFFFF"/>
          <w:lang w:val="en-US" w:eastAsia="zh-CN"/>
        </w:rPr>
        <w:t>对家庭困难的离休干部及遗属进行平时帮扶和节日走访慰问；组织离退休老干部开展文化、体育活动，维修维护活动场所，更新活动设施；为</w:t>
      </w:r>
      <w:r>
        <w:rPr>
          <w:rFonts w:hint="default" w:ascii="仿宋_GB2312" w:eastAsia="仿宋_GB2312" w:cs="仿宋_GB2312"/>
          <w:i w:val="0"/>
          <w:iCs w:val="0"/>
          <w:caps w:val="0"/>
          <w:color w:val="000000"/>
          <w:spacing w:val="0"/>
          <w:sz w:val="32"/>
          <w:szCs w:val="32"/>
          <w:shd w:val="clear" w:fill="FFFFFF"/>
          <w:lang w:eastAsia="zh-CN"/>
        </w:rPr>
        <w:t>老年大学分校</w:t>
      </w:r>
      <w:r>
        <w:rPr>
          <w:rFonts w:hint="default" w:ascii="仿宋_GB2312" w:eastAsia="仿宋_GB2312" w:cs="仿宋_GB2312"/>
          <w:i w:val="0"/>
          <w:iCs w:val="0"/>
          <w:caps w:val="0"/>
          <w:color w:val="000000"/>
          <w:spacing w:val="0"/>
          <w:sz w:val="32"/>
          <w:szCs w:val="32"/>
          <w:shd w:val="clear" w:fill="FFFFFF"/>
          <w:lang w:val="en-US" w:eastAsia="zh-CN"/>
        </w:rPr>
        <w:t>提供教</w:t>
      </w:r>
      <w:r>
        <w:rPr>
          <w:rFonts w:hint="default" w:ascii="仿宋_GB2312" w:eastAsia="仿宋_GB2312" w:cs="仿宋_GB2312"/>
          <w:i w:val="0"/>
          <w:iCs w:val="0"/>
          <w:caps w:val="0"/>
          <w:color w:val="000000"/>
          <w:spacing w:val="0"/>
          <w:sz w:val="32"/>
          <w:szCs w:val="32"/>
          <w:shd w:val="clear" w:fill="FFFFFF"/>
          <w:lang w:eastAsia="zh-CN"/>
        </w:rPr>
        <w:t>学场所</w:t>
      </w:r>
      <w:r>
        <w:rPr>
          <w:rFonts w:hint="default" w:ascii="仿宋_GB2312" w:eastAsia="仿宋_GB2312" w:cs="仿宋_GB2312"/>
          <w:i w:val="0"/>
          <w:iCs w:val="0"/>
          <w:caps w:val="0"/>
          <w:color w:val="000000"/>
          <w:spacing w:val="0"/>
          <w:sz w:val="32"/>
          <w:szCs w:val="32"/>
          <w:shd w:val="clear" w:fill="FFFFFF"/>
          <w:lang w:val="en-US" w:eastAsia="zh-CN"/>
        </w:rPr>
        <w:t>服务。</w:t>
      </w:r>
      <w:bookmarkEnd w:id="0"/>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二、部门整体支出管理及使用情况</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怀化市委市政府机关老干部休养所2023年整体支出451.85万元，主要用于支付机关人员经费、保障机关正常运转完成日常工作任务发生的公用经费及业务工作经费。</w:t>
      </w:r>
    </w:p>
    <w:p>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rightChars="0" w:firstLine="642" w:firstLineChars="200"/>
        <w:textAlignment w:val="auto"/>
        <w:rPr>
          <w:rFonts w:hint="eastAsia" w:ascii="楷体_GB2312" w:eastAsia="楷体_GB2312" w:cs="楷体_GB2312"/>
          <w:i w:val="0"/>
          <w:iCs w:val="0"/>
          <w:caps w:val="0"/>
          <w:color w:val="000000"/>
          <w:spacing w:val="0"/>
          <w:sz w:val="32"/>
          <w:szCs w:val="32"/>
          <w:shd w:val="clear" w:fill="FFFFFF"/>
        </w:rPr>
      </w:pPr>
      <w:r>
        <w:rPr>
          <w:rFonts w:hint="eastAsia" w:ascii="楷体_GB2312" w:eastAsia="楷体_GB2312" w:cs="楷体_GB2312"/>
          <w:b/>
          <w:bCs/>
          <w:i w:val="0"/>
          <w:iCs w:val="0"/>
          <w:caps w:val="0"/>
          <w:color w:val="000000"/>
          <w:spacing w:val="0"/>
          <w:sz w:val="32"/>
          <w:szCs w:val="32"/>
          <w:shd w:val="clear" w:fill="FFFFFF"/>
          <w:lang w:eastAsia="zh-CN"/>
        </w:rPr>
        <w:t>（一）</w:t>
      </w:r>
      <w:r>
        <w:rPr>
          <w:rFonts w:hint="eastAsia" w:ascii="楷体_GB2312" w:eastAsia="楷体_GB2312" w:cs="楷体_GB2312"/>
          <w:b/>
          <w:bCs/>
          <w:i w:val="0"/>
          <w:iCs w:val="0"/>
          <w:caps w:val="0"/>
          <w:color w:val="000000"/>
          <w:spacing w:val="0"/>
          <w:sz w:val="32"/>
          <w:szCs w:val="32"/>
          <w:shd w:val="clear" w:fill="FFFFFF"/>
        </w:rPr>
        <w:t>预算执行、使用、管理总体情况。</w:t>
      </w:r>
    </w:p>
    <w:p>
      <w:pPr>
        <w:keepNext w:val="0"/>
        <w:keepLines w:val="0"/>
        <w:pageBreakBefore w:val="0"/>
        <w:widowControl w:val="0"/>
        <w:shd w:val="clear" w:color="auto" w:fill="FFFFFF"/>
        <w:kinsoku/>
        <w:wordWrap/>
        <w:overflowPunct/>
        <w:topLinePunct w:val="0"/>
        <w:autoSpaceDE/>
        <w:autoSpaceDN/>
        <w:bidi w:val="0"/>
        <w:adjustRightInd/>
        <w:spacing w:line="580" w:lineRule="exact"/>
        <w:ind w:firstLine="640"/>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eastAsia" w:ascii="仿宋" w:hAnsi="仿宋" w:eastAsia="仿宋"/>
          <w:b/>
          <w:bCs/>
          <w:spacing w:val="-2"/>
          <w:sz w:val="32"/>
          <w:szCs w:val="32"/>
          <w:highlight w:val="none"/>
          <w:lang w:val="en-US" w:eastAsia="zh-CN"/>
        </w:rPr>
        <w:t>1.预算执行、使用情况</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按照综合预算的原则，怀化市委市政府机关老干部休养所收入包括：一般公共预算拨款收入；支出包括：行政运行、其他财政事务支出、机关事业单位基本养老保险缴费支出、机关事业单位职业年金缴费支出、住房公积金、事业运行、财政国库业务。202</w:t>
      </w:r>
      <w:r>
        <w:rPr>
          <w:rFonts w:hint="default" w:ascii="仿宋_GB2312" w:eastAsia="仿宋_GB2312" w:cs="仿宋_GB2312"/>
          <w:i w:val="0"/>
          <w:iCs w:val="0"/>
          <w:caps w:val="0"/>
          <w:color w:val="000000"/>
          <w:spacing w:val="0"/>
          <w:sz w:val="32"/>
          <w:szCs w:val="32"/>
          <w:shd w:val="clear" w:fill="FFFFFF"/>
          <w:lang w:val="en-US" w:eastAsia="zh-CN"/>
        </w:rPr>
        <w:t>3</w:t>
      </w:r>
      <w:r>
        <w:rPr>
          <w:rFonts w:hint="eastAsia" w:ascii="仿宋_GB2312" w:eastAsia="仿宋_GB2312" w:cs="仿宋_GB2312"/>
          <w:i w:val="0"/>
          <w:iCs w:val="0"/>
          <w:caps w:val="0"/>
          <w:color w:val="000000"/>
          <w:spacing w:val="0"/>
          <w:sz w:val="32"/>
          <w:szCs w:val="32"/>
          <w:shd w:val="clear" w:fill="FFFFFF"/>
          <w:lang w:val="en-US" w:eastAsia="zh-CN"/>
        </w:rPr>
        <w:t>年收入预算为</w:t>
      </w:r>
      <w:r>
        <w:rPr>
          <w:rFonts w:hint="default" w:ascii="仿宋_GB2312" w:eastAsia="仿宋_GB2312" w:cs="仿宋_GB2312"/>
          <w:i w:val="0"/>
          <w:iCs w:val="0"/>
          <w:caps w:val="0"/>
          <w:color w:val="000000"/>
          <w:spacing w:val="0"/>
          <w:sz w:val="32"/>
          <w:szCs w:val="32"/>
          <w:shd w:val="clear" w:fill="FFFFFF"/>
          <w:lang w:eastAsia="zh-CN"/>
        </w:rPr>
        <w:t>451.85</w:t>
      </w:r>
      <w:r>
        <w:rPr>
          <w:rFonts w:hint="eastAsia" w:ascii="仿宋_GB2312" w:eastAsia="仿宋_GB2312" w:cs="仿宋_GB2312"/>
          <w:i w:val="0"/>
          <w:iCs w:val="0"/>
          <w:caps w:val="0"/>
          <w:color w:val="000000"/>
          <w:spacing w:val="0"/>
          <w:sz w:val="32"/>
          <w:szCs w:val="32"/>
          <w:shd w:val="clear" w:fill="FFFFFF"/>
          <w:lang w:val="en-US" w:eastAsia="zh-CN"/>
        </w:rPr>
        <w:t>万元，其中，财政拨款</w:t>
      </w:r>
      <w:r>
        <w:rPr>
          <w:rFonts w:hint="default" w:ascii="仿宋_GB2312" w:eastAsia="仿宋_GB2312" w:cs="仿宋_GB2312"/>
          <w:i w:val="0"/>
          <w:iCs w:val="0"/>
          <w:caps w:val="0"/>
          <w:color w:val="000000"/>
          <w:spacing w:val="0"/>
          <w:sz w:val="32"/>
          <w:szCs w:val="32"/>
          <w:shd w:val="clear" w:fill="FFFFFF"/>
          <w:lang w:eastAsia="zh-CN"/>
        </w:rPr>
        <w:t>451.85</w:t>
      </w:r>
      <w:r>
        <w:rPr>
          <w:rFonts w:hint="eastAsia" w:ascii="仿宋_GB2312" w:eastAsia="仿宋_GB2312" w:cs="仿宋_GB2312"/>
          <w:i w:val="0"/>
          <w:iCs w:val="0"/>
          <w:caps w:val="0"/>
          <w:color w:val="000000"/>
          <w:spacing w:val="0"/>
          <w:sz w:val="32"/>
          <w:szCs w:val="32"/>
          <w:shd w:val="clear" w:fill="FFFFFF"/>
          <w:lang w:val="en-US" w:eastAsia="zh-CN"/>
        </w:rPr>
        <w:t>万元，占100％。202</w:t>
      </w:r>
      <w:r>
        <w:rPr>
          <w:rFonts w:hint="default" w:ascii="仿宋_GB2312" w:eastAsia="仿宋_GB2312" w:cs="仿宋_GB2312"/>
          <w:i w:val="0"/>
          <w:iCs w:val="0"/>
          <w:caps w:val="0"/>
          <w:color w:val="000000"/>
          <w:spacing w:val="0"/>
          <w:sz w:val="32"/>
          <w:szCs w:val="32"/>
          <w:shd w:val="clear" w:fill="FFFFFF"/>
          <w:lang w:val="en-US" w:eastAsia="zh-CN"/>
        </w:rPr>
        <w:t>3</w:t>
      </w:r>
      <w:r>
        <w:rPr>
          <w:rFonts w:hint="eastAsia" w:ascii="仿宋_GB2312" w:eastAsia="仿宋_GB2312" w:cs="仿宋_GB2312"/>
          <w:i w:val="0"/>
          <w:iCs w:val="0"/>
          <w:caps w:val="0"/>
          <w:color w:val="000000"/>
          <w:spacing w:val="0"/>
          <w:sz w:val="32"/>
          <w:szCs w:val="32"/>
          <w:shd w:val="clear" w:fill="FFFFFF"/>
          <w:lang w:val="en-US" w:eastAsia="zh-CN"/>
        </w:rPr>
        <w:t>年支出合计</w:t>
      </w:r>
      <w:r>
        <w:rPr>
          <w:rFonts w:hint="default" w:ascii="仿宋_GB2312" w:eastAsia="仿宋_GB2312" w:cs="仿宋_GB2312"/>
          <w:i w:val="0"/>
          <w:iCs w:val="0"/>
          <w:caps w:val="0"/>
          <w:color w:val="000000"/>
          <w:spacing w:val="0"/>
          <w:sz w:val="32"/>
          <w:szCs w:val="32"/>
          <w:shd w:val="clear" w:fill="FFFFFF"/>
          <w:lang w:eastAsia="zh-CN"/>
        </w:rPr>
        <w:t>451.85</w:t>
      </w:r>
      <w:r>
        <w:rPr>
          <w:rFonts w:hint="eastAsia" w:ascii="仿宋_GB2312" w:eastAsia="仿宋_GB2312" w:cs="仿宋_GB2312"/>
          <w:i w:val="0"/>
          <w:iCs w:val="0"/>
          <w:caps w:val="0"/>
          <w:color w:val="000000"/>
          <w:spacing w:val="0"/>
          <w:sz w:val="32"/>
          <w:szCs w:val="32"/>
          <w:shd w:val="clear" w:fill="FFFFFF"/>
          <w:lang w:val="en-US" w:eastAsia="zh-CN"/>
        </w:rPr>
        <w:t>万元，其中：基本支出</w:t>
      </w:r>
      <w:r>
        <w:rPr>
          <w:rFonts w:hint="default" w:ascii="仿宋_GB2312" w:eastAsia="仿宋_GB2312" w:cs="仿宋_GB2312"/>
          <w:i w:val="0"/>
          <w:iCs w:val="0"/>
          <w:caps w:val="0"/>
          <w:color w:val="000000"/>
          <w:spacing w:val="0"/>
          <w:sz w:val="32"/>
          <w:szCs w:val="32"/>
          <w:shd w:val="clear" w:fill="FFFFFF"/>
          <w:lang w:eastAsia="zh-CN"/>
        </w:rPr>
        <w:t>361.76</w:t>
      </w:r>
      <w:r>
        <w:rPr>
          <w:rFonts w:hint="eastAsia" w:ascii="仿宋_GB2312" w:eastAsia="仿宋_GB2312" w:cs="仿宋_GB2312"/>
          <w:i w:val="0"/>
          <w:iCs w:val="0"/>
          <w:caps w:val="0"/>
          <w:color w:val="000000"/>
          <w:spacing w:val="0"/>
          <w:sz w:val="32"/>
          <w:szCs w:val="32"/>
          <w:shd w:val="clear" w:fill="FFFFFF"/>
          <w:lang w:val="en-US" w:eastAsia="zh-CN"/>
        </w:rPr>
        <w:t>万元，占</w:t>
      </w:r>
      <w:r>
        <w:rPr>
          <w:rFonts w:hint="default" w:ascii="仿宋_GB2312" w:eastAsia="仿宋_GB2312" w:cs="仿宋_GB2312"/>
          <w:i w:val="0"/>
          <w:iCs w:val="0"/>
          <w:caps w:val="0"/>
          <w:color w:val="000000"/>
          <w:spacing w:val="0"/>
          <w:sz w:val="32"/>
          <w:szCs w:val="32"/>
          <w:shd w:val="clear" w:fill="FFFFFF"/>
          <w:lang w:eastAsia="zh-CN"/>
        </w:rPr>
        <w:t>80</w:t>
      </w:r>
      <w:r>
        <w:rPr>
          <w:rFonts w:hint="eastAsia" w:ascii="仿宋_GB2312" w:eastAsia="仿宋_GB2312" w:cs="仿宋_GB2312"/>
          <w:i w:val="0"/>
          <w:iCs w:val="0"/>
          <w:caps w:val="0"/>
          <w:color w:val="000000"/>
          <w:spacing w:val="0"/>
          <w:sz w:val="32"/>
          <w:szCs w:val="32"/>
          <w:shd w:val="clear" w:fill="FFFFFF"/>
          <w:lang w:val="en-US" w:eastAsia="zh-CN"/>
        </w:rPr>
        <w:t>％；项目支出</w:t>
      </w:r>
      <w:r>
        <w:rPr>
          <w:rFonts w:hint="default" w:ascii="仿宋_GB2312" w:eastAsia="仿宋_GB2312" w:cs="仿宋_GB2312"/>
          <w:i w:val="0"/>
          <w:iCs w:val="0"/>
          <w:caps w:val="0"/>
          <w:color w:val="000000"/>
          <w:spacing w:val="0"/>
          <w:sz w:val="32"/>
          <w:szCs w:val="32"/>
          <w:shd w:val="clear" w:fill="FFFFFF"/>
          <w:lang w:eastAsia="zh-CN"/>
        </w:rPr>
        <w:t>90.09</w:t>
      </w:r>
      <w:r>
        <w:rPr>
          <w:rFonts w:hint="eastAsia" w:ascii="仿宋_GB2312" w:eastAsia="仿宋_GB2312" w:cs="仿宋_GB2312"/>
          <w:i w:val="0"/>
          <w:iCs w:val="0"/>
          <w:caps w:val="0"/>
          <w:color w:val="000000"/>
          <w:spacing w:val="0"/>
          <w:sz w:val="32"/>
          <w:szCs w:val="32"/>
          <w:shd w:val="clear" w:fill="FFFFFF"/>
          <w:lang w:val="en-US" w:eastAsia="zh-CN"/>
        </w:rPr>
        <w:t>万元，占</w:t>
      </w:r>
      <w:r>
        <w:rPr>
          <w:rFonts w:hint="default" w:ascii="仿宋_GB2312" w:eastAsia="仿宋_GB2312" w:cs="仿宋_GB2312"/>
          <w:i w:val="0"/>
          <w:iCs w:val="0"/>
          <w:caps w:val="0"/>
          <w:color w:val="000000"/>
          <w:spacing w:val="0"/>
          <w:sz w:val="32"/>
          <w:szCs w:val="32"/>
          <w:shd w:val="clear" w:fill="FFFFFF"/>
          <w:lang w:eastAsia="zh-CN"/>
        </w:rPr>
        <w:t>20</w:t>
      </w:r>
      <w:r>
        <w:rPr>
          <w:rFonts w:hint="eastAsia" w:ascii="仿宋_GB2312" w:eastAsia="仿宋_GB2312" w:cs="仿宋_GB2312"/>
          <w:i w:val="0"/>
          <w:iCs w:val="0"/>
          <w:caps w:val="0"/>
          <w:color w:val="000000"/>
          <w:spacing w:val="0"/>
          <w:sz w:val="32"/>
          <w:szCs w:val="32"/>
          <w:shd w:val="clear" w:fill="FFFFFF"/>
          <w:lang w:val="en-US" w:eastAsia="zh-CN"/>
        </w:rPr>
        <w:t>％。</w:t>
      </w:r>
    </w:p>
    <w:p>
      <w:pPr>
        <w:pStyle w:val="11"/>
        <w:keepNext w:val="0"/>
        <w:keepLines w:val="0"/>
        <w:pageBreakBefore w:val="0"/>
        <w:widowControl w:val="0"/>
        <w:numPr>
          <w:ilvl w:val="0"/>
          <w:numId w:val="0"/>
        </w:numPr>
        <w:kinsoku/>
        <w:wordWrap/>
        <w:overflowPunct/>
        <w:topLinePunct w:val="0"/>
        <w:autoSpaceDE/>
        <w:autoSpaceDN/>
        <w:bidi w:val="0"/>
        <w:adjustRightInd/>
        <w:spacing w:line="580" w:lineRule="exact"/>
        <w:ind w:firstLine="642" w:firstLineChars="200"/>
        <w:jc w:val="left"/>
        <w:textAlignment w:val="auto"/>
        <w:rPr>
          <w:rFonts w:hint="eastAsia" w:ascii="仿宋_GB2312" w:hAnsi="Calibri" w:eastAsia="仿宋_GB2312" w:cs="仿宋_GB2312"/>
          <w:b/>
          <w:bCs/>
          <w:i w:val="0"/>
          <w:iCs w:val="0"/>
          <w:caps w:val="0"/>
          <w:color w:val="000000"/>
          <w:spacing w:val="0"/>
          <w:kern w:val="0"/>
          <w:sz w:val="32"/>
          <w:szCs w:val="32"/>
          <w:shd w:val="clear" w:color="auto" w:fill="FFFFFF"/>
          <w:lang w:val="en-US" w:eastAsia="zh-CN" w:bidi="ar"/>
        </w:rPr>
      </w:pPr>
      <w:r>
        <w:rPr>
          <w:rFonts w:hint="eastAsia" w:ascii="仿宋_GB2312" w:hAnsi="Calibri" w:cs="仿宋_GB2312"/>
          <w:b/>
          <w:bCs/>
          <w:i w:val="0"/>
          <w:iCs w:val="0"/>
          <w:caps w:val="0"/>
          <w:color w:val="000000"/>
          <w:spacing w:val="0"/>
          <w:kern w:val="0"/>
          <w:sz w:val="32"/>
          <w:szCs w:val="32"/>
          <w:shd w:val="clear" w:color="auto" w:fill="FFFFFF"/>
          <w:lang w:val="en-US" w:eastAsia="zh-CN" w:bidi="ar"/>
        </w:rPr>
        <w:t>2.</w:t>
      </w:r>
      <w:r>
        <w:rPr>
          <w:rFonts w:hint="eastAsia" w:ascii="仿宋_GB2312" w:hAnsi="Calibri" w:eastAsia="仿宋_GB2312" w:cs="仿宋_GB2312"/>
          <w:b/>
          <w:bCs/>
          <w:i w:val="0"/>
          <w:iCs w:val="0"/>
          <w:caps w:val="0"/>
          <w:color w:val="000000"/>
          <w:spacing w:val="0"/>
          <w:kern w:val="0"/>
          <w:sz w:val="32"/>
          <w:szCs w:val="32"/>
          <w:shd w:val="clear" w:color="auto" w:fill="FFFFFF"/>
          <w:lang w:val="en-US" w:eastAsia="zh-CN" w:bidi="ar"/>
        </w:rPr>
        <w:t>预算管理情况</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lang w:val="en-US" w:eastAsia="zh-CN"/>
        </w:rPr>
      </w:pPr>
      <w:r>
        <w:rPr>
          <w:rFonts w:hint="eastAsia" w:ascii="仿宋_GB2312" w:hAnsi="Times New Roman" w:eastAsia="仿宋_GB2312" w:cs="仿宋_GB2312"/>
          <w:i w:val="0"/>
          <w:iCs w:val="0"/>
          <w:caps w:val="0"/>
          <w:color w:val="000000"/>
          <w:spacing w:val="0"/>
          <w:sz w:val="32"/>
          <w:szCs w:val="32"/>
          <w:shd w:val="clear" w:color="auto" w:fill="FFFFFF"/>
          <w:lang w:val="en-US" w:eastAsia="zh-CN"/>
        </w:rPr>
        <w:t>（1）对所有资金实行从申报到执行结束的全过程管理，督促各预算资金执行进度，提高预算资金使用效益。（2）预算资金下达后，及时制定实施方案，明确使用内容和范围，对预算执行中存在的问题进行逐项分析，提高预算执行质量。（3）规范财务运行、健全内部控制制度、强化监督检查、确保资金使用安全有效。</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481" w:firstLineChars="150"/>
        <w:textAlignment w:val="auto"/>
        <w:rPr>
          <w:rFonts w:hint="default" w:ascii="楷体_GB2312" w:eastAsia="楷体_GB2312" w:cs="楷体_GB2312"/>
          <w:b/>
          <w:bCs/>
          <w:i w:val="0"/>
          <w:iCs w:val="0"/>
          <w:caps w:val="0"/>
          <w:color w:val="000000"/>
          <w:spacing w:val="0"/>
          <w:sz w:val="32"/>
          <w:szCs w:val="32"/>
          <w:shd w:val="clear" w:fill="FFFFFF"/>
          <w:lang w:val="en-US" w:eastAsia="zh-CN"/>
        </w:rPr>
      </w:pPr>
      <w:r>
        <w:rPr>
          <w:rFonts w:hint="default" w:ascii="楷体_GB2312" w:eastAsia="楷体_GB2312" w:cs="楷体_GB2312"/>
          <w:b/>
          <w:bCs/>
          <w:i w:val="0"/>
          <w:iCs w:val="0"/>
          <w:caps w:val="0"/>
          <w:color w:val="000000"/>
          <w:spacing w:val="0"/>
          <w:sz w:val="32"/>
          <w:szCs w:val="32"/>
          <w:shd w:val="clear" w:fill="FFFFFF"/>
          <w:lang w:val="en-US" w:eastAsia="zh-CN"/>
        </w:rPr>
        <w:t>（二）部门预算执行情况</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lang w:val="en-US" w:eastAsia="zh-CN"/>
        </w:rPr>
      </w:pPr>
      <w:r>
        <w:rPr>
          <w:rFonts w:hint="default" w:ascii="仿宋_GB2312" w:eastAsia="仿宋_GB2312" w:cs="仿宋_GB2312"/>
          <w:i w:val="0"/>
          <w:iCs w:val="0"/>
          <w:caps w:val="0"/>
          <w:color w:val="000000"/>
          <w:spacing w:val="0"/>
          <w:sz w:val="32"/>
          <w:szCs w:val="32"/>
          <w:shd w:val="clear" w:fill="FFFFFF"/>
          <w:lang w:val="en-US" w:eastAsia="zh-CN"/>
        </w:rPr>
        <w:t>1.基本支出情况</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2023年部门整体全年共计支出451.85万元，年末结转和结余0元。主要包含人员支出、公用经费支出，具体支出情况如下：</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default" w:ascii="仿宋_GB2312" w:eastAsia="仿宋_GB2312" w:cs="仿宋_GB2312"/>
          <w:i w:val="0"/>
          <w:iCs w:val="0"/>
          <w:caps w:val="0"/>
          <w:color w:val="000000"/>
          <w:spacing w:val="0"/>
          <w:sz w:val="32"/>
          <w:szCs w:val="32"/>
          <w:shd w:val="clear" w:fill="FFFFFF"/>
          <w:lang w:eastAsia="zh-CN"/>
        </w:rPr>
        <w:t>（1）</w:t>
      </w:r>
      <w:r>
        <w:rPr>
          <w:rFonts w:hint="eastAsia" w:ascii="仿宋_GB2312" w:eastAsia="仿宋_GB2312" w:cs="仿宋_GB2312"/>
          <w:i w:val="0"/>
          <w:iCs w:val="0"/>
          <w:caps w:val="0"/>
          <w:color w:val="000000"/>
          <w:spacing w:val="0"/>
          <w:sz w:val="32"/>
          <w:szCs w:val="32"/>
          <w:shd w:val="clear" w:fill="FFFFFF"/>
          <w:lang w:val="en-US" w:eastAsia="zh-CN"/>
        </w:rPr>
        <w:t>工资福利支出113.50万元，主要包括基本工资支出、津补贴支出、奖金支出、机关事业单位基本养老保险缴费、职工基本医疗保险缴费、其他工资福利支出、其他社会保障缴费。</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default" w:ascii="仿宋_GB2312" w:eastAsia="仿宋_GB2312" w:cs="仿宋_GB2312"/>
          <w:i w:val="0"/>
          <w:iCs w:val="0"/>
          <w:caps w:val="0"/>
          <w:color w:val="000000"/>
          <w:spacing w:val="0"/>
          <w:sz w:val="32"/>
          <w:szCs w:val="32"/>
          <w:shd w:val="clear" w:fill="FFFFFF"/>
          <w:lang w:eastAsia="zh-CN"/>
        </w:rPr>
        <w:t>（2）</w:t>
      </w:r>
      <w:r>
        <w:rPr>
          <w:rFonts w:hint="eastAsia" w:ascii="仿宋_GB2312" w:eastAsia="仿宋_GB2312" w:cs="仿宋_GB2312"/>
          <w:i w:val="0"/>
          <w:iCs w:val="0"/>
          <w:caps w:val="0"/>
          <w:color w:val="000000"/>
          <w:spacing w:val="0"/>
          <w:sz w:val="32"/>
          <w:szCs w:val="32"/>
          <w:shd w:val="clear" w:fill="FFFFFF"/>
          <w:lang w:val="en-US" w:eastAsia="zh-CN"/>
        </w:rPr>
        <w:t>商品和服务支出76.66万元，主要包括办公费、邮电费、差旅费、劳务费、工会经费、福利费、公务用车运行维护费、其他交通费用、其他商品和服务支出。</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default" w:ascii="仿宋_GB2312" w:eastAsia="仿宋_GB2312" w:cs="仿宋_GB2312"/>
          <w:i w:val="0"/>
          <w:iCs w:val="0"/>
          <w:caps w:val="0"/>
          <w:color w:val="000000"/>
          <w:spacing w:val="0"/>
          <w:sz w:val="32"/>
          <w:szCs w:val="32"/>
          <w:shd w:val="clear" w:fill="FFFFFF"/>
          <w:lang w:eastAsia="zh-CN"/>
        </w:rPr>
        <w:t>（3）</w:t>
      </w:r>
      <w:r>
        <w:rPr>
          <w:rFonts w:hint="eastAsia" w:ascii="仿宋_GB2312" w:eastAsia="仿宋_GB2312" w:cs="仿宋_GB2312"/>
          <w:i w:val="0"/>
          <w:iCs w:val="0"/>
          <w:caps w:val="0"/>
          <w:color w:val="000000"/>
          <w:spacing w:val="0"/>
          <w:sz w:val="32"/>
          <w:szCs w:val="32"/>
          <w:shd w:val="clear" w:fill="FFFFFF"/>
          <w:lang w:val="en-US" w:eastAsia="zh-CN"/>
        </w:rPr>
        <w:t>对个人和家庭的补助250.51万元。</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lang w:eastAsia="zh-CN"/>
        </w:rPr>
        <w:t>、</w:t>
      </w:r>
      <w:r>
        <w:rPr>
          <w:rFonts w:hint="default" w:ascii="仿宋_GB2312" w:eastAsia="仿宋_GB2312" w:cs="仿宋_GB2312"/>
          <w:i w:val="0"/>
          <w:iCs w:val="0"/>
          <w:caps w:val="0"/>
          <w:color w:val="000000"/>
          <w:spacing w:val="0"/>
          <w:sz w:val="32"/>
          <w:szCs w:val="32"/>
          <w:shd w:val="clear" w:fill="FFFFFF"/>
          <w:lang w:val="en-US" w:eastAsia="zh-CN"/>
        </w:rPr>
        <w:t>项目支出情况</w:t>
      </w:r>
    </w:p>
    <w:p>
      <w:pPr>
        <w:keepNext w:val="0"/>
        <w:keepLines w:val="0"/>
        <w:pageBreakBefore w:val="0"/>
        <w:widowControl w:val="0"/>
        <w:suppressLineNumbers w:val="0"/>
        <w:kinsoku/>
        <w:wordWrap/>
        <w:overflowPunct/>
        <w:topLinePunct w:val="0"/>
        <w:autoSpaceDE/>
        <w:autoSpaceDN/>
        <w:bidi w:val="0"/>
        <w:adjustRightInd/>
        <w:spacing w:line="580" w:lineRule="exact"/>
        <w:ind w:firstLine="640" w:firstLineChars="200"/>
        <w:jc w:val="left"/>
        <w:textAlignment w:val="auto"/>
        <w:rPr>
          <w:rFonts w:hint="default"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2023年下达项目资金90.1万元，</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其中：</w:t>
      </w:r>
      <w:r>
        <w:rPr>
          <w:rFonts w:hint="default" w:ascii="仿宋_GB2312" w:eastAsia="仿宋_GB2312" w:cs="仿宋_GB2312"/>
          <w:i w:val="0"/>
          <w:iCs w:val="0"/>
          <w:caps w:val="0"/>
          <w:color w:val="000000"/>
          <w:spacing w:val="0"/>
          <w:kern w:val="0"/>
          <w:sz w:val="32"/>
          <w:szCs w:val="32"/>
          <w:shd w:val="clear" w:fill="FFFFFF"/>
          <w:lang w:eastAsia="zh-CN" w:bidi="ar"/>
        </w:rPr>
        <w:t>工资性支出3.05</w:t>
      </w:r>
      <w:r>
        <w:rPr>
          <w:rFonts w:hint="default" w:ascii="仿宋_GB2312" w:eastAsia="仿宋_GB2312" w:cs="仿宋_GB2312" w:hAnsiTheme="minorHAnsi"/>
          <w:i w:val="0"/>
          <w:iCs w:val="0"/>
          <w:caps w:val="0"/>
          <w:color w:val="000000"/>
          <w:spacing w:val="0"/>
          <w:kern w:val="0"/>
          <w:sz w:val="32"/>
          <w:szCs w:val="32"/>
          <w:shd w:val="clear" w:fill="FFFFFF"/>
          <w:lang w:eastAsia="zh-CN" w:bidi="ar"/>
        </w:rPr>
        <w:t>万元</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w:t>
      </w:r>
      <w:r>
        <w:rPr>
          <w:rFonts w:hint="default" w:ascii="仿宋_GB2312" w:eastAsia="仿宋_GB2312" w:cs="仿宋_GB2312"/>
          <w:i w:val="0"/>
          <w:iCs w:val="0"/>
          <w:caps w:val="0"/>
          <w:color w:val="000000"/>
          <w:spacing w:val="0"/>
          <w:kern w:val="0"/>
          <w:sz w:val="32"/>
          <w:szCs w:val="32"/>
          <w:shd w:val="clear" w:fill="FFFFFF"/>
          <w:lang w:eastAsia="zh-CN" w:bidi="ar"/>
        </w:rPr>
        <w:t>商品服务性支出55.35万元，对个人和家庭的补助支出21.3万元，</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资本性支出</w:t>
      </w:r>
      <w:r>
        <w:rPr>
          <w:rFonts w:hint="default" w:ascii="仿宋_GB2312" w:eastAsia="仿宋_GB2312" w:cs="仿宋_GB2312"/>
          <w:i w:val="0"/>
          <w:iCs w:val="0"/>
          <w:caps w:val="0"/>
          <w:color w:val="000000"/>
          <w:spacing w:val="0"/>
          <w:kern w:val="0"/>
          <w:sz w:val="32"/>
          <w:szCs w:val="32"/>
          <w:shd w:val="clear" w:fill="FFFFFF"/>
          <w:lang w:eastAsia="zh-CN" w:bidi="ar"/>
        </w:rPr>
        <w:t>10.4</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万元。</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481" w:firstLineChars="150"/>
        <w:textAlignment w:val="auto"/>
        <w:rPr>
          <w:rFonts w:hint="eastAsia" w:ascii="楷体_GB2312" w:eastAsia="楷体_GB2312" w:cs="楷体_GB2312"/>
          <w:b/>
          <w:bCs/>
          <w:i w:val="0"/>
          <w:iCs w:val="0"/>
          <w:caps w:val="0"/>
          <w:color w:val="000000"/>
          <w:spacing w:val="0"/>
          <w:sz w:val="32"/>
          <w:szCs w:val="32"/>
          <w:shd w:val="clear" w:fill="FFFFFF"/>
          <w:lang w:val="en-US" w:eastAsia="zh-CN"/>
        </w:rPr>
      </w:pPr>
      <w:r>
        <w:rPr>
          <w:rFonts w:hint="default" w:ascii="楷体_GB2312" w:eastAsia="楷体_GB2312" w:cs="楷体_GB2312"/>
          <w:b/>
          <w:bCs/>
          <w:i w:val="0"/>
          <w:iCs w:val="0"/>
          <w:caps w:val="0"/>
          <w:color w:val="000000"/>
          <w:spacing w:val="0"/>
          <w:sz w:val="32"/>
          <w:szCs w:val="32"/>
          <w:shd w:val="clear" w:fill="FFFFFF"/>
        </w:rPr>
        <w:t>（三）</w:t>
      </w:r>
      <w:r>
        <w:rPr>
          <w:rFonts w:hint="eastAsia" w:ascii="楷体_GB2312" w:eastAsia="楷体_GB2312" w:cs="楷体_GB2312"/>
          <w:b/>
          <w:bCs/>
          <w:i w:val="0"/>
          <w:iCs w:val="0"/>
          <w:caps w:val="0"/>
          <w:color w:val="000000"/>
          <w:spacing w:val="0"/>
          <w:sz w:val="32"/>
          <w:szCs w:val="32"/>
          <w:shd w:val="clear" w:fill="FFFFFF"/>
          <w:lang w:eastAsia="zh-CN"/>
        </w:rPr>
        <w:t>“</w:t>
      </w:r>
      <w:r>
        <w:rPr>
          <w:rFonts w:hint="default" w:ascii="楷体_GB2312" w:eastAsia="楷体_GB2312" w:cs="楷体_GB2312"/>
          <w:b/>
          <w:bCs/>
          <w:i w:val="0"/>
          <w:iCs w:val="0"/>
          <w:caps w:val="0"/>
          <w:color w:val="000000"/>
          <w:spacing w:val="0"/>
          <w:sz w:val="32"/>
          <w:szCs w:val="32"/>
          <w:shd w:val="clear" w:fill="FFFFFF"/>
        </w:rPr>
        <w:t>三公</w:t>
      </w:r>
      <w:r>
        <w:rPr>
          <w:rFonts w:hint="eastAsia" w:ascii="楷体_GB2312" w:eastAsia="楷体_GB2312" w:cs="楷体_GB2312"/>
          <w:b/>
          <w:bCs/>
          <w:i w:val="0"/>
          <w:iCs w:val="0"/>
          <w:caps w:val="0"/>
          <w:color w:val="000000"/>
          <w:spacing w:val="0"/>
          <w:sz w:val="32"/>
          <w:szCs w:val="32"/>
          <w:shd w:val="clear" w:fill="FFFFFF"/>
          <w:lang w:eastAsia="zh-CN"/>
        </w:rPr>
        <w:t>”</w:t>
      </w:r>
      <w:r>
        <w:rPr>
          <w:rFonts w:hint="default" w:ascii="楷体_GB2312" w:eastAsia="楷体_GB2312" w:cs="楷体_GB2312"/>
          <w:b/>
          <w:bCs/>
          <w:i w:val="0"/>
          <w:iCs w:val="0"/>
          <w:caps w:val="0"/>
          <w:color w:val="000000"/>
          <w:spacing w:val="0"/>
          <w:sz w:val="32"/>
          <w:szCs w:val="32"/>
          <w:shd w:val="clear" w:fill="FFFFFF"/>
        </w:rPr>
        <w:t>经费使用和管理情况</w:t>
      </w:r>
    </w:p>
    <w:p>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Chars="0" w:right="0" w:rightChars="0" w:firstLine="320" w:firstLineChars="1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 xml:space="preserve"> </w:t>
      </w:r>
      <w:r>
        <w:rPr>
          <w:rFonts w:hint="eastAsia" w:ascii="仿宋" w:hAnsi="仿宋" w:eastAsia="仿宋" w:cs="Times New Roman"/>
          <w:spacing w:val="-2"/>
          <w:kern w:val="2"/>
          <w:sz w:val="32"/>
          <w:szCs w:val="32"/>
          <w:lang w:val="en-US" w:eastAsia="zh-CN" w:bidi="ar-SA"/>
        </w:rPr>
        <w:t>2023年“三公”经费全年共计支出9.49万元，其中：公务用车运行维护费9.39万元，公务用车购置费</w:t>
      </w:r>
      <w:r>
        <w:rPr>
          <w:rFonts w:hint="default" w:ascii="仿宋" w:hAnsi="仿宋" w:eastAsia="仿宋" w:cs="Times New Roman"/>
          <w:spacing w:val="-2"/>
          <w:kern w:val="2"/>
          <w:sz w:val="32"/>
          <w:szCs w:val="32"/>
          <w:lang w:val="en-US" w:eastAsia="zh-CN" w:bidi="ar-SA"/>
        </w:rPr>
        <w:t>0</w:t>
      </w:r>
      <w:r>
        <w:rPr>
          <w:rFonts w:hint="eastAsia" w:ascii="仿宋" w:hAnsi="仿宋" w:eastAsia="仿宋" w:cs="Times New Roman"/>
          <w:spacing w:val="-2"/>
          <w:kern w:val="2"/>
          <w:sz w:val="32"/>
          <w:szCs w:val="32"/>
          <w:lang w:val="en-US" w:eastAsia="zh-CN" w:bidi="ar-SA"/>
        </w:rPr>
        <w:t>万元，公务接待费0.1万元，因公出国（境）费</w:t>
      </w:r>
      <w:r>
        <w:rPr>
          <w:rFonts w:hint="default" w:ascii="仿宋" w:hAnsi="仿宋" w:eastAsia="仿宋" w:cs="Times New Roman"/>
          <w:spacing w:val="-2"/>
          <w:kern w:val="2"/>
          <w:sz w:val="32"/>
          <w:szCs w:val="32"/>
          <w:lang w:val="en-US" w:eastAsia="zh-CN" w:bidi="ar-SA"/>
        </w:rPr>
        <w:t>0</w:t>
      </w:r>
      <w:r>
        <w:rPr>
          <w:rFonts w:hint="eastAsia" w:ascii="仿宋" w:hAnsi="仿宋" w:eastAsia="仿宋" w:cs="Times New Roman"/>
          <w:spacing w:val="-2"/>
          <w:kern w:val="2"/>
          <w:sz w:val="32"/>
          <w:szCs w:val="32"/>
          <w:lang w:val="en-US" w:eastAsia="zh-CN" w:bidi="ar-SA"/>
        </w:rPr>
        <w:t>万元。</w:t>
      </w:r>
      <w:r>
        <w:rPr>
          <w:rFonts w:hint="default" w:ascii="仿宋" w:hAnsi="仿宋" w:eastAsia="仿宋" w:cs="Times New Roman"/>
          <w:spacing w:val="-2"/>
          <w:kern w:val="2"/>
          <w:sz w:val="32"/>
          <w:szCs w:val="32"/>
          <w:lang w:val="en-US" w:eastAsia="zh-CN" w:bidi="ar-SA"/>
        </w:rPr>
        <w:t>2023</w:t>
      </w:r>
      <w:r>
        <w:rPr>
          <w:rFonts w:hint="eastAsia" w:ascii="仿宋" w:hAnsi="仿宋" w:eastAsia="仿宋" w:cs="Times New Roman"/>
          <w:spacing w:val="-2"/>
          <w:kern w:val="2"/>
          <w:sz w:val="32"/>
          <w:szCs w:val="32"/>
          <w:lang w:val="en-US" w:eastAsia="zh-CN" w:bidi="ar-SA"/>
        </w:rPr>
        <w:t>年“三公”经费支出较上一年度稍减，严格坚持财政要求，厉行节约、严格控制三公经费、从严从紧安排三公经费支出。</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三、政府性基金预算支出情况</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right="0"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无</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四、国有资本经营预算支出情况</w:t>
      </w:r>
    </w:p>
    <w:p>
      <w:pPr>
        <w:keepNext w:val="0"/>
        <w:keepLines w:val="0"/>
        <w:pageBreakBefore w:val="0"/>
        <w:widowControl w:val="0"/>
        <w:shd w:val="clear" w:color="auto" w:fill="FFFFFF"/>
        <w:kinsoku/>
        <w:wordWrap/>
        <w:overflowPunct/>
        <w:topLinePunct w:val="0"/>
        <w:autoSpaceDE/>
        <w:autoSpaceDN/>
        <w:bidi w:val="0"/>
        <w:adjustRightInd/>
        <w:spacing w:line="580" w:lineRule="exact"/>
        <w:ind w:firstLine="640"/>
        <w:textAlignment w:val="auto"/>
        <w:rPr>
          <w:rFonts w:hint="eastAsia" w:ascii="仿宋" w:hAnsi="仿宋" w:eastAsia="仿宋" w:cs="Times New Roman"/>
          <w:spacing w:val="-2"/>
          <w:sz w:val="32"/>
          <w:szCs w:val="32"/>
          <w:lang w:eastAsia="zh-CN"/>
        </w:rPr>
      </w:pPr>
      <w:r>
        <w:rPr>
          <w:rFonts w:hint="eastAsia" w:ascii="仿宋" w:hAnsi="仿宋" w:eastAsia="仿宋" w:cs="Times New Roman"/>
          <w:spacing w:val="-2"/>
          <w:sz w:val="32"/>
          <w:szCs w:val="32"/>
          <w:lang w:eastAsia="zh-CN"/>
        </w:rPr>
        <w:t>无</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五、社会保险基金预算支出情况</w:t>
      </w:r>
    </w:p>
    <w:p>
      <w:pPr>
        <w:keepNext w:val="0"/>
        <w:keepLines w:val="0"/>
        <w:pageBreakBefore w:val="0"/>
        <w:widowControl w:val="0"/>
        <w:shd w:val="clear" w:color="auto" w:fill="FFFFFF"/>
        <w:kinsoku/>
        <w:wordWrap/>
        <w:overflowPunct/>
        <w:topLinePunct w:val="0"/>
        <w:autoSpaceDE/>
        <w:autoSpaceDN/>
        <w:bidi w:val="0"/>
        <w:adjustRightInd/>
        <w:spacing w:line="580" w:lineRule="exact"/>
        <w:ind w:firstLine="640"/>
        <w:textAlignment w:val="auto"/>
        <w:rPr>
          <w:rFonts w:hint="eastAsia" w:ascii="仿宋" w:hAnsi="仿宋" w:eastAsia="仿宋" w:cs="Times New Roman"/>
          <w:spacing w:val="-2"/>
          <w:sz w:val="32"/>
          <w:szCs w:val="32"/>
          <w:lang w:eastAsia="zh-CN"/>
        </w:rPr>
      </w:pPr>
      <w:r>
        <w:rPr>
          <w:rFonts w:hint="eastAsia" w:ascii="仿宋" w:hAnsi="仿宋" w:eastAsia="仿宋" w:cs="Times New Roman"/>
          <w:spacing w:val="-2"/>
          <w:sz w:val="32"/>
          <w:szCs w:val="32"/>
          <w:lang w:eastAsia="zh-CN"/>
        </w:rPr>
        <w:t>无</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黑体" w:hAnsi="黑体" w:eastAsia="黑体" w:cs="黑体"/>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六、部门整体支出绩效情况</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2" w:firstLineChars="200"/>
        <w:jc w:val="left"/>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eastAsia" w:ascii="楷体_GB2312" w:hAnsi="楷体_GB2312" w:eastAsia="楷体_GB2312" w:cs="楷体_GB2312"/>
          <w:b/>
          <w:bCs/>
          <w:i w:val="0"/>
          <w:iCs w:val="0"/>
          <w:caps w:val="0"/>
          <w:color w:val="000000"/>
          <w:spacing w:val="0"/>
          <w:sz w:val="32"/>
          <w:szCs w:val="32"/>
          <w:shd w:val="clear" w:color="auto" w:fill="FFFFFF"/>
        </w:rPr>
        <w:t>（一）综合评价结论。反映自评得分及评价等级。</w:t>
      </w:r>
    </w:p>
    <w:p>
      <w:pPr>
        <w:pStyle w:val="3"/>
        <w:keepNext w:val="0"/>
        <w:keepLines w:val="0"/>
        <w:pageBreakBefore w:val="0"/>
        <w:widowControl w:val="0"/>
        <w:kinsoku/>
        <w:wordWrap/>
        <w:overflowPunct/>
        <w:topLinePunct w:val="0"/>
        <w:autoSpaceDE/>
        <w:autoSpaceDN/>
        <w:bidi w:val="0"/>
        <w:adjustRightInd/>
        <w:spacing w:line="580" w:lineRule="exact"/>
        <w:ind w:left="0" w:firstLine="640" w:firstLineChars="200"/>
        <w:jc w:val="left"/>
        <w:textAlignment w:val="auto"/>
        <w:rPr>
          <w:rFonts w:hint="eastAsia" w:ascii="仿宋_GB2312" w:hAnsi="Calibri" w:eastAsia="仿宋_GB2312" w:cs="仿宋_GB2312"/>
          <w:bCs w:val="0"/>
          <w:i w:val="0"/>
          <w:iCs w:val="0"/>
          <w:caps w:val="0"/>
          <w:color w:val="auto"/>
          <w:spacing w:val="0"/>
          <w:kern w:val="0"/>
          <w:sz w:val="32"/>
          <w:szCs w:val="32"/>
          <w:shd w:val="clear" w:color="auto" w:fill="FFFFFF"/>
          <w:lang w:val="en-US" w:eastAsia="zh-CN" w:bidi="ar"/>
        </w:rPr>
      </w:pPr>
      <w:r>
        <w:rPr>
          <w:rFonts w:hint="eastAsia" w:ascii="仿宋_GB2312" w:hAnsi="Calibri" w:eastAsia="仿宋_GB2312" w:cs="仿宋_GB2312"/>
          <w:bCs w:val="0"/>
          <w:i w:val="0"/>
          <w:iCs w:val="0"/>
          <w:caps w:val="0"/>
          <w:color w:val="000000"/>
          <w:spacing w:val="0"/>
          <w:kern w:val="0"/>
          <w:sz w:val="32"/>
          <w:szCs w:val="32"/>
          <w:shd w:val="clear" w:color="auto" w:fill="FFFFFF"/>
          <w:lang w:val="en-US" w:eastAsia="zh-CN" w:bidi="ar"/>
        </w:rPr>
        <w:t>根据《怀化市财政局关于开展2023年度预算支出绩效自评工作的通知》中整体支出绩效评价指标体系，对我单位2023年部门整体支出绩效开展了评价。2023年本单位整体支出达到预期目标，在计划时间内很好的完成各项指标</w:t>
      </w:r>
      <w:r>
        <w:rPr>
          <w:rFonts w:hint="eastAsia" w:ascii="仿宋_GB2312" w:hAnsi="Calibri" w:eastAsia="仿宋_GB2312" w:cs="仿宋_GB2312"/>
          <w:bCs w:val="0"/>
          <w:i w:val="0"/>
          <w:iCs w:val="0"/>
          <w:caps w:val="0"/>
          <w:color w:val="auto"/>
          <w:spacing w:val="0"/>
          <w:kern w:val="0"/>
          <w:sz w:val="32"/>
          <w:szCs w:val="32"/>
          <w:shd w:val="clear" w:color="auto" w:fill="FFFFFF"/>
          <w:lang w:val="en-US" w:eastAsia="zh-CN" w:bidi="ar"/>
        </w:rPr>
        <w:t>，自评得分96分，评价等级“优”。</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2" w:firstLineChars="200"/>
        <w:jc w:val="left"/>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eastAsia" w:ascii="楷体_GB2312" w:hAnsi="楷体_GB2312" w:eastAsia="楷体_GB2312" w:cs="楷体_GB2312"/>
          <w:b/>
          <w:bCs/>
          <w:i w:val="0"/>
          <w:iCs w:val="0"/>
          <w:caps w:val="0"/>
          <w:color w:val="000000"/>
          <w:spacing w:val="0"/>
          <w:sz w:val="32"/>
          <w:szCs w:val="32"/>
          <w:shd w:val="clear" w:color="auto" w:fill="FFFFFF"/>
          <w:lang w:eastAsia="zh-CN"/>
        </w:rPr>
        <w:t>（</w:t>
      </w:r>
      <w:r>
        <w:rPr>
          <w:rFonts w:hint="eastAsia" w:ascii="楷体_GB2312" w:hAnsi="楷体_GB2312" w:eastAsia="楷体_GB2312" w:cs="楷体_GB2312"/>
          <w:b/>
          <w:bCs/>
          <w:i w:val="0"/>
          <w:iCs w:val="0"/>
          <w:caps w:val="0"/>
          <w:color w:val="000000"/>
          <w:spacing w:val="0"/>
          <w:sz w:val="32"/>
          <w:szCs w:val="32"/>
          <w:shd w:val="clear" w:color="auto" w:fill="FFFFFF"/>
          <w:lang w:val="en-US" w:eastAsia="zh-CN"/>
        </w:rPr>
        <w:t>二</w:t>
      </w:r>
      <w:r>
        <w:rPr>
          <w:rFonts w:hint="eastAsia" w:ascii="楷体_GB2312" w:hAnsi="楷体_GB2312" w:eastAsia="楷体_GB2312" w:cs="楷体_GB2312"/>
          <w:b/>
          <w:bCs/>
          <w:i w:val="0"/>
          <w:iCs w:val="0"/>
          <w:caps w:val="0"/>
          <w:color w:val="000000"/>
          <w:spacing w:val="0"/>
          <w:sz w:val="32"/>
          <w:szCs w:val="32"/>
          <w:shd w:val="clear" w:color="auto" w:fill="FFFFFF"/>
          <w:lang w:eastAsia="zh-CN"/>
        </w:rPr>
        <w:t>）</w:t>
      </w:r>
      <w:r>
        <w:rPr>
          <w:rFonts w:hint="default" w:ascii="楷体_GB2312" w:hAnsi="楷体_GB2312" w:eastAsia="楷体_GB2312" w:cs="楷体_GB2312"/>
          <w:b/>
          <w:bCs/>
          <w:i w:val="0"/>
          <w:iCs w:val="0"/>
          <w:caps w:val="0"/>
          <w:color w:val="000000"/>
          <w:spacing w:val="0"/>
          <w:sz w:val="32"/>
          <w:szCs w:val="32"/>
          <w:shd w:val="clear" w:color="auto" w:fill="FFFFFF"/>
        </w:rPr>
        <w:t>评价指标分析（或综合评价情况）。</w:t>
      </w:r>
    </w:p>
    <w:p>
      <w:pPr>
        <w:pStyle w:val="11"/>
        <w:keepNext w:val="0"/>
        <w:keepLines w:val="0"/>
        <w:pageBreakBefore w:val="0"/>
        <w:widowControl w:val="0"/>
        <w:kinsoku/>
        <w:wordWrap/>
        <w:overflowPunct/>
        <w:topLinePunct w:val="0"/>
        <w:autoSpaceDE/>
        <w:autoSpaceDN/>
        <w:bidi w:val="0"/>
        <w:adjustRightInd/>
        <w:spacing w:line="580" w:lineRule="exact"/>
        <w:ind w:left="0" w:leftChars="0" w:firstLine="642" w:firstLineChars="200"/>
        <w:jc w:val="left"/>
        <w:textAlignment w:val="auto"/>
        <w:rPr>
          <w:rFonts w:hint="default" w:ascii="仿宋_GB2312" w:hAnsi="Calibri" w:eastAsia="仿宋_GB2312" w:cs="仿宋_GB2312"/>
          <w:b/>
          <w:bCs/>
          <w:i w:val="0"/>
          <w:iCs w:val="0"/>
          <w:caps w:val="0"/>
          <w:color w:val="000000"/>
          <w:spacing w:val="0"/>
          <w:kern w:val="0"/>
          <w:sz w:val="32"/>
          <w:szCs w:val="32"/>
          <w:shd w:val="clear" w:color="auto" w:fill="FFFFFF"/>
          <w:lang w:val="en-US" w:eastAsia="zh-CN" w:bidi="ar"/>
        </w:rPr>
      </w:pPr>
      <w:r>
        <w:rPr>
          <w:rFonts w:hint="eastAsia" w:ascii="仿宋_GB2312" w:hAnsi="Calibri" w:eastAsia="仿宋_GB2312" w:cs="仿宋_GB2312"/>
          <w:b/>
          <w:bCs/>
          <w:i w:val="0"/>
          <w:iCs w:val="0"/>
          <w:caps w:val="0"/>
          <w:color w:val="000000"/>
          <w:spacing w:val="0"/>
          <w:kern w:val="0"/>
          <w:sz w:val="32"/>
          <w:szCs w:val="32"/>
          <w:shd w:val="clear" w:color="auto" w:fill="FFFFFF"/>
          <w:lang w:val="en-US" w:eastAsia="zh-CN" w:bidi="ar"/>
        </w:rPr>
        <w:t>1.</w:t>
      </w:r>
      <w:r>
        <w:rPr>
          <w:rFonts w:hint="default" w:ascii="仿宋_GB2312" w:hAnsi="Calibri" w:eastAsia="仿宋_GB2312" w:cs="仿宋_GB2312"/>
          <w:b/>
          <w:bCs/>
          <w:i w:val="0"/>
          <w:iCs w:val="0"/>
          <w:caps w:val="0"/>
          <w:color w:val="000000"/>
          <w:spacing w:val="0"/>
          <w:kern w:val="0"/>
          <w:sz w:val="32"/>
          <w:szCs w:val="32"/>
          <w:shd w:val="clear" w:color="auto" w:fill="FFFFFF"/>
          <w:lang w:val="en-US" w:eastAsia="zh-CN" w:bidi="ar"/>
        </w:rPr>
        <w:t>综合评价</w:t>
      </w:r>
      <w:r>
        <w:rPr>
          <w:rFonts w:hint="eastAsia" w:ascii="仿宋_GB2312" w:hAnsi="Calibri" w:eastAsia="仿宋_GB2312" w:cs="仿宋_GB2312"/>
          <w:b/>
          <w:bCs/>
          <w:i w:val="0"/>
          <w:iCs w:val="0"/>
          <w:caps w:val="0"/>
          <w:color w:val="000000"/>
          <w:spacing w:val="0"/>
          <w:kern w:val="0"/>
          <w:sz w:val="32"/>
          <w:szCs w:val="32"/>
          <w:shd w:val="clear" w:color="auto" w:fill="FFFFFF"/>
          <w:lang w:val="en-US" w:eastAsia="zh-CN" w:bidi="ar"/>
        </w:rPr>
        <w:t>指标</w:t>
      </w:r>
      <w:r>
        <w:rPr>
          <w:rFonts w:hint="default" w:ascii="仿宋_GB2312" w:hAnsi="Calibri" w:eastAsia="仿宋_GB2312" w:cs="仿宋_GB2312"/>
          <w:b/>
          <w:bCs/>
          <w:i w:val="0"/>
          <w:iCs w:val="0"/>
          <w:caps w:val="0"/>
          <w:color w:val="000000"/>
          <w:spacing w:val="0"/>
          <w:kern w:val="0"/>
          <w:sz w:val="32"/>
          <w:szCs w:val="32"/>
          <w:shd w:val="clear" w:color="auto" w:fill="FFFFFF"/>
          <w:lang w:val="en-US" w:eastAsia="zh-CN" w:bidi="ar"/>
        </w:rPr>
        <w:t>分析</w:t>
      </w:r>
    </w:p>
    <w:p>
      <w:pPr>
        <w:pStyle w:val="7"/>
        <w:keepNext w:val="0"/>
        <w:keepLines w:val="0"/>
        <w:pageBreakBefore w:val="0"/>
        <w:widowControl w:val="0"/>
        <w:numPr>
          <w:ilvl w:val="0"/>
          <w:numId w:val="0"/>
        </w:numPr>
        <w:kinsoku/>
        <w:wordWrap/>
        <w:overflowPunct/>
        <w:topLinePunct w:val="0"/>
        <w:autoSpaceDE/>
        <w:autoSpaceDN/>
        <w:bidi w:val="0"/>
        <w:adjustRightInd/>
        <w:spacing w:line="580" w:lineRule="exact"/>
        <w:ind w:left="0" w:firstLine="642" w:firstLineChars="200"/>
        <w:jc w:val="left"/>
        <w:textAlignment w:val="auto"/>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pPr>
      <w:r>
        <w:rPr>
          <w:rFonts w:hint="default" w:ascii="仿宋_GB2312" w:hAnsi="Calibri" w:eastAsia="仿宋_GB2312" w:cs="仿宋_GB2312"/>
          <w:b/>
          <w:bCs/>
          <w:i w:val="0"/>
          <w:iCs w:val="0"/>
          <w:caps w:val="0"/>
          <w:color w:val="000000"/>
          <w:spacing w:val="0"/>
          <w:kern w:val="0"/>
          <w:sz w:val="32"/>
          <w:szCs w:val="32"/>
          <w:shd w:val="clear" w:color="auto" w:fill="FFFFFF"/>
          <w:lang w:val="en-US" w:eastAsia="zh-CN" w:bidi="ar"/>
        </w:rPr>
        <w:t>整体绩效目标设定</w:t>
      </w:r>
      <w:r>
        <w:rPr>
          <w:rFonts w:hint="eastAsia" w:ascii="仿宋_GB2312" w:hAnsi="Calibri" w:eastAsia="仿宋_GB2312" w:cs="仿宋_GB2312"/>
          <w:b/>
          <w:bCs/>
          <w:i w:val="0"/>
          <w:iCs w:val="0"/>
          <w:caps w:val="0"/>
          <w:color w:val="000000"/>
          <w:spacing w:val="0"/>
          <w:kern w:val="0"/>
          <w:sz w:val="32"/>
          <w:szCs w:val="32"/>
          <w:shd w:val="clear" w:color="auto" w:fill="FFFFFF"/>
          <w:lang w:val="en-US" w:eastAsia="zh-CN" w:bidi="ar"/>
        </w:rPr>
        <w:t>：</w:t>
      </w:r>
      <w:r>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t>根据绩效目标设定的相关规定，</w:t>
      </w:r>
      <w:r>
        <w:rPr>
          <w:rFonts w:hint="default" w:ascii="仿宋_GB2312" w:hAnsi="Calibri" w:eastAsia="仿宋_GB2312" w:cs="仿宋_GB2312"/>
          <w:i w:val="0"/>
          <w:iCs w:val="0"/>
          <w:caps w:val="0"/>
          <w:color w:val="000000"/>
          <w:spacing w:val="0"/>
          <w:kern w:val="0"/>
          <w:sz w:val="32"/>
          <w:szCs w:val="32"/>
          <w:shd w:val="clear" w:color="auto" w:fill="FFFFFF"/>
          <w:lang w:val="en-US" w:eastAsia="zh-CN" w:bidi="ar"/>
        </w:rPr>
        <w:t>围绕</w:t>
      </w:r>
      <w:r>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t>我所的</w:t>
      </w:r>
      <w:r>
        <w:rPr>
          <w:rFonts w:hint="default" w:ascii="仿宋_GB2312" w:hAnsi="Calibri" w:eastAsia="仿宋_GB2312" w:cs="仿宋_GB2312"/>
          <w:i w:val="0"/>
          <w:iCs w:val="0"/>
          <w:caps w:val="0"/>
          <w:color w:val="000000"/>
          <w:spacing w:val="0"/>
          <w:kern w:val="0"/>
          <w:sz w:val="32"/>
          <w:szCs w:val="32"/>
          <w:shd w:val="clear" w:color="auto" w:fill="FFFFFF"/>
          <w:lang w:val="en-US" w:eastAsia="zh-CN" w:bidi="ar"/>
        </w:rPr>
        <w:t>部门职责</w:t>
      </w:r>
      <w:r>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t>和</w:t>
      </w:r>
      <w:r>
        <w:rPr>
          <w:rFonts w:hint="default" w:ascii="仿宋_GB2312" w:hAnsi="Calibri" w:eastAsia="仿宋_GB2312" w:cs="仿宋_GB2312"/>
          <w:i w:val="0"/>
          <w:iCs w:val="0"/>
          <w:caps w:val="0"/>
          <w:color w:val="000000"/>
          <w:spacing w:val="0"/>
          <w:kern w:val="0"/>
          <w:sz w:val="32"/>
          <w:szCs w:val="32"/>
          <w:shd w:val="clear" w:color="auto" w:fill="FFFFFF"/>
          <w:lang w:val="en-US" w:eastAsia="zh-CN" w:bidi="ar"/>
        </w:rPr>
        <w:t>行业发展规划</w:t>
      </w:r>
      <w:r>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t>，制定本所整体绩效目标，绩效目标设定基本做到了完整、合理、细化和量化。</w:t>
      </w:r>
    </w:p>
    <w:p>
      <w:pPr>
        <w:pStyle w:val="7"/>
        <w:keepNext w:val="0"/>
        <w:keepLines w:val="0"/>
        <w:pageBreakBefore w:val="0"/>
        <w:widowControl w:val="0"/>
        <w:kinsoku/>
        <w:wordWrap/>
        <w:overflowPunct/>
        <w:topLinePunct w:val="0"/>
        <w:autoSpaceDE/>
        <w:autoSpaceDN/>
        <w:bidi w:val="0"/>
        <w:adjustRightInd/>
        <w:spacing w:line="580" w:lineRule="exact"/>
        <w:ind w:left="0" w:firstLine="642" w:firstLineChars="200"/>
        <w:jc w:val="left"/>
        <w:textAlignment w:val="auto"/>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Calibri" w:eastAsia="仿宋_GB2312" w:cs="仿宋_GB2312"/>
          <w:b/>
          <w:bCs/>
          <w:i w:val="0"/>
          <w:iCs w:val="0"/>
          <w:caps w:val="0"/>
          <w:color w:val="000000"/>
          <w:spacing w:val="0"/>
          <w:kern w:val="0"/>
          <w:sz w:val="32"/>
          <w:szCs w:val="32"/>
          <w:shd w:val="clear" w:color="auto" w:fill="FFFFFF"/>
          <w:lang w:val="en-US" w:eastAsia="zh-CN" w:bidi="ar"/>
        </w:rPr>
        <w:t>预算配置方面：</w:t>
      </w:r>
      <w:r>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t>根据年初预算和履职目标，参考上一年预算执行情况、有关支出绩效评价结果和本年度收支预测，按照规定程序征求各方面意见后，进行分配，确保预算资金分配合理、合规。</w:t>
      </w:r>
    </w:p>
    <w:p>
      <w:pPr>
        <w:pStyle w:val="7"/>
        <w:keepNext w:val="0"/>
        <w:keepLines w:val="0"/>
        <w:pageBreakBefore w:val="0"/>
        <w:widowControl w:val="0"/>
        <w:kinsoku/>
        <w:wordWrap/>
        <w:overflowPunct/>
        <w:topLinePunct w:val="0"/>
        <w:autoSpaceDE/>
        <w:autoSpaceDN/>
        <w:bidi w:val="0"/>
        <w:adjustRightInd/>
        <w:spacing w:line="580" w:lineRule="exact"/>
        <w:ind w:left="0" w:firstLine="642" w:firstLineChars="200"/>
        <w:jc w:val="left"/>
        <w:textAlignment w:val="auto"/>
        <w:rPr>
          <w:rFonts w:hint="default" w:ascii="仿宋_GB2312" w:hAnsi="Calibri"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Calibri" w:eastAsia="仿宋_GB2312" w:cs="仿宋_GB2312"/>
          <w:b/>
          <w:bCs/>
          <w:i w:val="0"/>
          <w:iCs w:val="0"/>
          <w:caps w:val="0"/>
          <w:color w:val="000000"/>
          <w:spacing w:val="0"/>
          <w:kern w:val="0"/>
          <w:sz w:val="32"/>
          <w:szCs w:val="32"/>
          <w:shd w:val="clear" w:color="auto" w:fill="FFFFFF"/>
          <w:lang w:val="en-US" w:eastAsia="zh-CN" w:bidi="ar"/>
        </w:rPr>
        <w:t>预算执行：</w:t>
      </w:r>
      <w:r>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t>按照“量入为出、收支平衡”的原则。严格执行本所预算配置方案，不擅自扩大支出范围、提高开支标准，及时了解预算执行进度，提高资金执行效率。</w:t>
      </w:r>
    </w:p>
    <w:p>
      <w:pPr>
        <w:pStyle w:val="7"/>
        <w:keepNext w:val="0"/>
        <w:keepLines w:val="0"/>
        <w:pageBreakBefore w:val="0"/>
        <w:widowControl w:val="0"/>
        <w:kinsoku/>
        <w:wordWrap/>
        <w:overflowPunct/>
        <w:topLinePunct w:val="0"/>
        <w:autoSpaceDE/>
        <w:autoSpaceDN/>
        <w:bidi w:val="0"/>
        <w:adjustRightInd/>
        <w:spacing w:line="580" w:lineRule="exact"/>
        <w:ind w:left="0" w:firstLine="642" w:firstLineChars="200"/>
        <w:jc w:val="left"/>
        <w:textAlignment w:val="auto"/>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Calibri" w:eastAsia="仿宋_GB2312" w:cs="仿宋_GB2312"/>
          <w:b/>
          <w:bCs/>
          <w:i w:val="0"/>
          <w:iCs w:val="0"/>
          <w:caps w:val="0"/>
          <w:color w:val="000000"/>
          <w:spacing w:val="0"/>
          <w:kern w:val="0"/>
          <w:sz w:val="32"/>
          <w:szCs w:val="32"/>
          <w:shd w:val="clear" w:color="auto" w:fill="FFFFFF"/>
          <w:lang w:val="en-US" w:eastAsia="zh-CN" w:bidi="ar"/>
        </w:rPr>
        <w:t>预算管理：</w:t>
      </w:r>
      <w:r>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t>我单位按照预算法要求进行预算管理。一是预算编制。采取零基预算法、定额预算法、固定预算法进行“一上”申报，在“一下”的基础上进行修改进行“二上”申报，形成以单位领导支持、财务牵头、其他部门密切配合的工作格局，保证预算编制质量；二是预算执行。部门预算经批复后，对财政下达指标数据核对，科学合理安排支出，专项项目资金做到专款专用。三是加强对预算执行过程的控制和结果的反馈，对预算执行差异及时分析成因和影响，并及时向领导和相关部门进行反馈，以采取措施纠正执行偏差，促进预算目标的全面完成。</w:t>
      </w:r>
    </w:p>
    <w:p>
      <w:pPr>
        <w:pStyle w:val="7"/>
        <w:keepNext w:val="0"/>
        <w:keepLines w:val="0"/>
        <w:pageBreakBefore w:val="0"/>
        <w:widowControl w:val="0"/>
        <w:kinsoku/>
        <w:wordWrap/>
        <w:overflowPunct/>
        <w:topLinePunct w:val="0"/>
        <w:autoSpaceDE/>
        <w:autoSpaceDN/>
        <w:bidi w:val="0"/>
        <w:adjustRightInd/>
        <w:spacing w:line="580" w:lineRule="exact"/>
        <w:ind w:left="0" w:firstLine="642" w:firstLineChars="200"/>
        <w:jc w:val="left"/>
        <w:textAlignment w:val="auto"/>
        <w:rPr>
          <w:rFonts w:hint="default" w:ascii="仿宋_GB2312" w:hAnsi="Calibri"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Calibri" w:eastAsia="仿宋_GB2312" w:cs="仿宋_GB2312"/>
          <w:b/>
          <w:bCs/>
          <w:i w:val="0"/>
          <w:iCs w:val="0"/>
          <w:caps w:val="0"/>
          <w:color w:val="000000"/>
          <w:spacing w:val="0"/>
          <w:kern w:val="0"/>
          <w:sz w:val="32"/>
          <w:szCs w:val="32"/>
          <w:shd w:val="clear" w:color="auto" w:fill="FFFFFF"/>
          <w:lang w:val="en-US" w:eastAsia="zh-CN" w:bidi="ar"/>
        </w:rPr>
        <w:t>资产管理：</w:t>
      </w:r>
      <w:r>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t>我所严格按照《行政事业性国有资产管理条例》（国务院令738号）进行固定资产配置、购置、验收、入账，对固定资产实施资产管理信息动态化监管，建立了规范的固定资产台账，落实资产关键岗位、使用人员的职责。</w:t>
      </w:r>
    </w:p>
    <w:p>
      <w:pPr>
        <w:pStyle w:val="7"/>
        <w:keepNext w:val="0"/>
        <w:keepLines w:val="0"/>
        <w:pageBreakBefore w:val="0"/>
        <w:widowControl w:val="0"/>
        <w:kinsoku/>
        <w:wordWrap/>
        <w:overflowPunct/>
        <w:topLinePunct w:val="0"/>
        <w:autoSpaceDE/>
        <w:autoSpaceDN/>
        <w:bidi w:val="0"/>
        <w:adjustRightInd/>
        <w:spacing w:line="580" w:lineRule="exact"/>
        <w:ind w:left="0" w:firstLine="642" w:firstLineChars="200"/>
        <w:jc w:val="left"/>
        <w:textAlignment w:val="auto"/>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Calibri" w:eastAsia="仿宋_GB2312" w:cs="仿宋_GB2312"/>
          <w:b/>
          <w:bCs/>
          <w:i w:val="0"/>
          <w:iCs w:val="0"/>
          <w:caps w:val="0"/>
          <w:color w:val="000000"/>
          <w:spacing w:val="0"/>
          <w:kern w:val="0"/>
          <w:sz w:val="32"/>
          <w:szCs w:val="32"/>
          <w:shd w:val="clear" w:color="auto" w:fill="FFFFFF"/>
          <w:lang w:val="en-US" w:eastAsia="zh-CN" w:bidi="ar"/>
        </w:rPr>
        <w:t>履职履效：</w:t>
      </w:r>
      <w:r>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t>2023年围绕本所工作职责开展工作平稳、有序，很好的完成了市委、市政府下达的各项工作任务和老干所自身绩效目标。</w:t>
      </w:r>
    </w:p>
    <w:p>
      <w:pPr>
        <w:pStyle w:val="11"/>
        <w:keepNext w:val="0"/>
        <w:keepLines w:val="0"/>
        <w:pageBreakBefore w:val="0"/>
        <w:widowControl w:val="0"/>
        <w:kinsoku/>
        <w:wordWrap/>
        <w:overflowPunct/>
        <w:topLinePunct w:val="0"/>
        <w:autoSpaceDE/>
        <w:autoSpaceDN/>
        <w:bidi w:val="0"/>
        <w:adjustRightInd/>
        <w:spacing w:line="580" w:lineRule="exact"/>
        <w:ind w:left="0" w:leftChars="0" w:firstLine="642" w:firstLineChars="200"/>
        <w:jc w:val="left"/>
        <w:textAlignment w:val="auto"/>
        <w:rPr>
          <w:rFonts w:hint="default" w:ascii="楷体" w:hAnsi="楷体" w:eastAsia="楷体"/>
          <w:b/>
          <w:color w:val="0000FF"/>
          <w:spacing w:val="-2"/>
          <w:sz w:val="32"/>
          <w:szCs w:val="32"/>
          <w:lang w:val="en-US" w:eastAsia="zh-CN"/>
        </w:rPr>
      </w:pPr>
      <w:r>
        <w:rPr>
          <w:rFonts w:hint="eastAsia" w:ascii="仿宋_GB2312" w:hAnsi="Calibri" w:eastAsia="仿宋_GB2312" w:cs="仿宋_GB2312"/>
          <w:b/>
          <w:bCs/>
          <w:i w:val="0"/>
          <w:iCs w:val="0"/>
          <w:caps w:val="0"/>
          <w:color w:val="000000"/>
          <w:spacing w:val="0"/>
          <w:kern w:val="0"/>
          <w:sz w:val="32"/>
          <w:szCs w:val="32"/>
          <w:shd w:val="clear" w:color="auto" w:fill="FFFFFF"/>
          <w:lang w:val="en-US" w:eastAsia="zh-CN" w:bidi="ar"/>
        </w:rPr>
        <w:t>2.</w:t>
      </w:r>
      <w:r>
        <w:rPr>
          <w:rFonts w:hint="default" w:ascii="仿宋_GB2312" w:hAnsi="Calibri" w:eastAsia="仿宋_GB2312" w:cs="仿宋_GB2312"/>
          <w:b/>
          <w:bCs/>
          <w:i w:val="0"/>
          <w:iCs w:val="0"/>
          <w:caps w:val="0"/>
          <w:color w:val="000000"/>
          <w:spacing w:val="0"/>
          <w:kern w:val="0"/>
          <w:sz w:val="32"/>
          <w:szCs w:val="32"/>
          <w:shd w:val="clear" w:color="auto" w:fill="FFFFFF"/>
          <w:lang w:val="en-US" w:eastAsia="zh-CN" w:bidi="ar"/>
        </w:rPr>
        <w:t>绩效</w:t>
      </w:r>
      <w:r>
        <w:rPr>
          <w:rFonts w:hint="eastAsia" w:ascii="仿宋_GB2312" w:hAnsi="Calibri" w:eastAsia="仿宋_GB2312" w:cs="仿宋_GB2312"/>
          <w:b/>
          <w:bCs/>
          <w:i w:val="0"/>
          <w:iCs w:val="0"/>
          <w:caps w:val="0"/>
          <w:color w:val="000000"/>
          <w:spacing w:val="0"/>
          <w:kern w:val="0"/>
          <w:sz w:val="32"/>
          <w:szCs w:val="32"/>
          <w:shd w:val="clear" w:color="auto" w:fill="FFFFFF"/>
          <w:lang w:val="en-US" w:eastAsia="zh-CN" w:bidi="ar"/>
        </w:rPr>
        <w:t>目标完成情况及</w:t>
      </w:r>
      <w:r>
        <w:rPr>
          <w:rFonts w:hint="default" w:ascii="仿宋_GB2312" w:hAnsi="Calibri" w:eastAsia="仿宋_GB2312" w:cs="仿宋_GB2312"/>
          <w:b/>
          <w:bCs/>
          <w:i w:val="0"/>
          <w:iCs w:val="0"/>
          <w:caps w:val="0"/>
          <w:color w:val="000000"/>
          <w:spacing w:val="0"/>
          <w:kern w:val="0"/>
          <w:sz w:val="32"/>
          <w:szCs w:val="32"/>
          <w:shd w:val="clear" w:color="auto" w:fill="FFFFFF"/>
          <w:lang w:val="en-US" w:eastAsia="zh-CN" w:bidi="ar"/>
        </w:rPr>
        <w:t>绩效</w:t>
      </w:r>
      <w:r>
        <w:rPr>
          <w:rFonts w:hint="eastAsia" w:ascii="仿宋_GB2312" w:hAnsi="Calibri" w:eastAsia="仿宋_GB2312" w:cs="仿宋_GB2312"/>
          <w:b/>
          <w:bCs/>
          <w:i w:val="0"/>
          <w:iCs w:val="0"/>
          <w:caps w:val="0"/>
          <w:color w:val="000000"/>
          <w:spacing w:val="0"/>
          <w:kern w:val="0"/>
          <w:sz w:val="32"/>
          <w:szCs w:val="32"/>
          <w:shd w:val="clear" w:color="auto" w:fill="FFFFFF"/>
          <w:lang w:val="en-US" w:eastAsia="zh-CN" w:bidi="ar"/>
        </w:rPr>
        <w:t>情况</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right="0"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我部门2023年一般公共预算资金总体目标完成较好，具体如下：</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jc w:val="left"/>
        <w:textAlignment w:val="auto"/>
        <w:rPr>
          <w:rFonts w:hint="eastAsia" w:ascii="仿宋_GB2312" w:hAnsi="Times New Roman" w:eastAsia="仿宋_GB2312" w:cs="仿宋_GB2312"/>
          <w:i w:val="0"/>
          <w:iCs w:val="0"/>
          <w:caps w:val="0"/>
          <w:color w:val="000000"/>
          <w:spacing w:val="0"/>
          <w:sz w:val="32"/>
          <w:szCs w:val="32"/>
          <w:shd w:val="clear" w:color="auto" w:fill="FFFFFF"/>
          <w:lang w:val="en-US" w:eastAsia="zh-CN"/>
        </w:rPr>
      </w:pPr>
      <w:r>
        <w:rPr>
          <w:rFonts w:hint="eastAsia" w:ascii="仿宋_GB2312" w:hAnsi="Times New Roman" w:eastAsia="仿宋_GB2312" w:cs="仿宋_GB2312"/>
          <w:i w:val="0"/>
          <w:iCs w:val="0"/>
          <w:caps w:val="0"/>
          <w:color w:val="000000"/>
          <w:spacing w:val="0"/>
          <w:sz w:val="32"/>
          <w:szCs w:val="32"/>
          <w:shd w:val="clear" w:color="auto" w:fill="FFFFFF"/>
          <w:lang w:val="en-US" w:eastAsia="zh-CN"/>
        </w:rPr>
        <w:t>（1）产出指标分析</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jc w:val="left"/>
        <w:textAlignment w:val="auto"/>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000000"/>
          <w:spacing w:val="0"/>
          <w:sz w:val="32"/>
          <w:szCs w:val="32"/>
          <w:shd w:val="clear" w:color="auto" w:fill="FFFFFF"/>
          <w:lang w:val="en-US" w:eastAsia="zh-CN"/>
        </w:rPr>
        <w:t xml:space="preserve"> </w:t>
      </w:r>
      <w:r>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t>2023年度老干所坚持“五必访”“两定访”制度，做好入户暖心服务工作。走访慰问。困难老干部和遗孀、老党员12人次，吊唁老干部和遗孀7次，易地走访慰问老干部和遗孀6人次，为老干部祝寿16次，为百岁老干部祝寿1次；组织老干部做一次全面身体检查；广泛开展传家风活动，倡议并引导老同志通过书画作品，诗词歌舞等形式展示、传播优良家风，反响很好。</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jc w:val="left"/>
        <w:textAlignment w:val="auto"/>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color="auto" w:fill="FFFFFF"/>
          <w:lang w:val="en-US" w:eastAsia="zh-CN" w:bidi="ar"/>
        </w:rPr>
        <w:t>三公经费开支超过预算26.53%，主要是因为公务用车老化严重，导致公务用车运行维护费增加，此项目未达到年初目标扣4分。</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jc w:val="left"/>
        <w:textAlignment w:val="auto"/>
        <w:rPr>
          <w:rFonts w:hint="eastAsia" w:ascii="仿宋_GB2312" w:hAnsi="Times New Roman" w:eastAsia="仿宋_GB2312" w:cs="仿宋_GB2312"/>
          <w:i w:val="0"/>
          <w:iCs w:val="0"/>
          <w:caps w:val="0"/>
          <w:color w:val="000000"/>
          <w:spacing w:val="0"/>
          <w:sz w:val="32"/>
          <w:szCs w:val="32"/>
          <w:shd w:val="clear" w:color="auto" w:fill="FFFFFF"/>
          <w:lang w:val="en-US" w:eastAsia="zh-CN"/>
        </w:rPr>
      </w:pPr>
      <w:r>
        <w:rPr>
          <w:rFonts w:hint="eastAsia" w:ascii="仿宋_GB2312" w:hAnsi="Times New Roman" w:eastAsia="仿宋_GB2312" w:cs="仿宋_GB2312"/>
          <w:i w:val="0"/>
          <w:iCs w:val="0"/>
          <w:caps w:val="0"/>
          <w:color w:val="000000"/>
          <w:spacing w:val="0"/>
          <w:sz w:val="32"/>
          <w:szCs w:val="32"/>
          <w:shd w:val="clear" w:color="auto" w:fill="FFFFFF"/>
          <w:lang w:val="en-US" w:eastAsia="zh-CN"/>
        </w:rPr>
        <w:t>（2）效益指标分析</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jc w:val="left"/>
        <w:textAlignment w:val="auto"/>
        <w:rPr>
          <w:rFonts w:hint="default" w:ascii="仿宋_GB2312" w:hAnsi="Times New Roman" w:eastAsia="仿宋_GB2312" w:cs="仿宋_GB2312"/>
          <w:i w:val="0"/>
          <w:iCs w:val="0"/>
          <w:caps w:val="0"/>
          <w:color w:val="000000"/>
          <w:spacing w:val="0"/>
          <w:sz w:val="32"/>
          <w:szCs w:val="32"/>
          <w:shd w:val="clear" w:color="auto" w:fill="FFFFFF"/>
          <w:lang w:val="en-US" w:eastAsia="zh-CN"/>
        </w:rPr>
      </w:pPr>
      <w:r>
        <w:rPr>
          <w:rFonts w:hint="eastAsia" w:ascii="仿宋_GB2312" w:hAnsi="Times New Roman" w:eastAsia="仿宋_GB2312" w:cs="仿宋_GB2312"/>
          <w:i w:val="0"/>
          <w:iCs w:val="0"/>
          <w:caps w:val="0"/>
          <w:color w:val="000000"/>
          <w:spacing w:val="0"/>
          <w:sz w:val="32"/>
          <w:szCs w:val="32"/>
          <w:shd w:val="clear" w:color="auto" w:fill="FFFFFF"/>
          <w:lang w:val="en-US" w:eastAsia="zh-CN"/>
        </w:rPr>
        <w:t xml:space="preserve"> 加强学习教育，支部全年集中学习12次，对于行动不方便的老同志，开展送学上门服务；不断细化老干部“一对一”结对服务，丰富老干部日常活动形式，提高离退休干部的幸福指数；积极推动乡村振兴工作，做好结对帮扶工作，完成了村部旁生活污水治理，为村民提供了休闲场所、丰富人民群众文化生活完成年初目标。</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jc w:val="left"/>
        <w:textAlignment w:val="auto"/>
        <w:rPr>
          <w:rFonts w:hint="default" w:ascii="仿宋_GB2312" w:hAnsi="Times New Roman" w:eastAsia="仿宋_GB2312" w:cs="仿宋_GB2312"/>
          <w:i w:val="0"/>
          <w:iCs w:val="0"/>
          <w:caps w:val="0"/>
          <w:color w:val="000000"/>
          <w:spacing w:val="0"/>
          <w:sz w:val="32"/>
          <w:szCs w:val="32"/>
          <w:shd w:val="clear" w:color="auto" w:fill="FFFFFF"/>
          <w:lang w:val="en-US" w:eastAsia="zh-CN"/>
        </w:rPr>
      </w:pPr>
      <w:r>
        <w:rPr>
          <w:rFonts w:hint="eastAsia" w:ascii="仿宋_GB2312" w:hAnsi="Times New Roman" w:eastAsia="仿宋_GB2312" w:cs="仿宋_GB2312"/>
          <w:i w:val="0"/>
          <w:iCs w:val="0"/>
          <w:caps w:val="0"/>
          <w:color w:val="000000"/>
          <w:spacing w:val="0"/>
          <w:sz w:val="32"/>
          <w:szCs w:val="32"/>
          <w:shd w:val="clear" w:color="auto" w:fill="FFFFFF"/>
          <w:lang w:val="en-US" w:eastAsia="zh-CN"/>
        </w:rPr>
        <w:t>（3）满意度指标分析</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jc w:val="left"/>
        <w:textAlignment w:val="auto"/>
        <w:rPr>
          <w:rFonts w:hint="eastAsia" w:ascii="仿宋_GB2312" w:hAnsi="Times New Roman" w:eastAsia="仿宋_GB2312" w:cs="仿宋_GB2312"/>
          <w:i w:val="0"/>
          <w:iCs w:val="0"/>
          <w:caps w:val="0"/>
          <w:color w:val="000000"/>
          <w:spacing w:val="0"/>
          <w:sz w:val="32"/>
          <w:szCs w:val="32"/>
          <w:shd w:val="clear" w:color="auto" w:fill="FFFFFF"/>
          <w:lang w:val="en-US" w:eastAsia="zh-CN"/>
        </w:rPr>
      </w:pPr>
      <w:r>
        <w:rPr>
          <w:rFonts w:hint="eastAsia" w:ascii="仿宋_GB2312" w:hAnsi="Times New Roman" w:eastAsia="仿宋_GB2312" w:cs="仿宋_GB2312"/>
          <w:i w:val="0"/>
          <w:iCs w:val="0"/>
          <w:caps w:val="0"/>
          <w:color w:val="000000"/>
          <w:spacing w:val="0"/>
          <w:sz w:val="32"/>
          <w:szCs w:val="32"/>
          <w:shd w:val="clear" w:color="auto" w:fill="FFFFFF"/>
          <w:lang w:val="en-US" w:eastAsia="zh-CN"/>
        </w:rPr>
        <w:t>离退休老干部满意度95%以上，完成年初目标。</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jc w:val="left"/>
        <w:textAlignment w:val="auto"/>
        <w:rPr>
          <w:color w:val="FF0000"/>
        </w:rPr>
      </w:pPr>
      <w:r>
        <w:rPr>
          <w:rFonts w:hint="eastAsia" w:ascii="仿宋_GB2312" w:hAnsi="Times New Roman" w:eastAsia="仿宋_GB2312" w:cs="仿宋_GB2312"/>
          <w:i w:val="0"/>
          <w:iCs w:val="0"/>
          <w:caps w:val="0"/>
          <w:color w:val="000000"/>
          <w:spacing w:val="0"/>
          <w:sz w:val="32"/>
          <w:szCs w:val="32"/>
          <w:shd w:val="clear" w:color="auto" w:fill="FFFFFF"/>
          <w:lang w:val="en-US" w:eastAsia="zh-CN"/>
        </w:rPr>
        <w:t>2023年，在市委市政府的高度重视和关心下，取得了较好的成绩，绩效考核评为优秀等次。</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480" w:firstLineChars="15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rPr>
        <w:t>绩效评价目标体系设置精细化程度仍需提高</w:t>
      </w:r>
      <w:r>
        <w:rPr>
          <w:rFonts w:hint="default" w:ascii="仿宋_GB2312" w:eastAsia="仿宋_GB2312" w:cs="仿宋_GB2312"/>
          <w:i w:val="0"/>
          <w:iCs w:val="0"/>
          <w:caps w:val="0"/>
          <w:color w:val="000000"/>
          <w:spacing w:val="0"/>
          <w:sz w:val="32"/>
          <w:szCs w:val="32"/>
          <w:shd w:val="clear" w:fill="FFFFFF"/>
        </w:rPr>
        <w:t>。在2023年度预算绩效目标编制工作中，</w:t>
      </w:r>
      <w:r>
        <w:rPr>
          <w:rFonts w:hint="eastAsia" w:ascii="仿宋_GB2312" w:eastAsia="仿宋_GB2312" w:cs="仿宋_GB2312"/>
          <w:i w:val="0"/>
          <w:iCs w:val="0"/>
          <w:caps w:val="0"/>
          <w:color w:val="000000"/>
          <w:spacing w:val="0"/>
          <w:sz w:val="32"/>
          <w:szCs w:val="32"/>
          <w:shd w:val="clear" w:fill="FFFFFF"/>
        </w:rPr>
        <w:t>对</w:t>
      </w:r>
      <w:r>
        <w:rPr>
          <w:rFonts w:hint="default" w:ascii="仿宋_GB2312" w:eastAsia="仿宋_GB2312" w:cs="仿宋_GB2312"/>
          <w:i w:val="0"/>
          <w:iCs w:val="0"/>
          <w:caps w:val="0"/>
          <w:color w:val="000000"/>
          <w:spacing w:val="0"/>
          <w:sz w:val="32"/>
          <w:szCs w:val="32"/>
          <w:shd w:val="clear" w:fill="FFFFFF"/>
        </w:rPr>
        <w:t>各</w:t>
      </w:r>
      <w:r>
        <w:rPr>
          <w:rFonts w:hint="eastAsia" w:ascii="仿宋_GB2312" w:eastAsia="仿宋_GB2312" w:cs="仿宋_GB2312"/>
          <w:i w:val="0"/>
          <w:iCs w:val="0"/>
          <w:caps w:val="0"/>
          <w:color w:val="000000"/>
          <w:spacing w:val="0"/>
          <w:sz w:val="32"/>
          <w:szCs w:val="32"/>
          <w:shd w:val="clear" w:fill="FFFFFF"/>
          <w:lang w:eastAsia="zh-CN"/>
        </w:rPr>
        <w:t>部</w:t>
      </w:r>
      <w:r>
        <w:rPr>
          <w:rFonts w:hint="default" w:ascii="仿宋_GB2312" w:eastAsia="仿宋_GB2312" w:cs="仿宋_GB2312"/>
          <w:i w:val="0"/>
          <w:iCs w:val="0"/>
          <w:caps w:val="0"/>
          <w:color w:val="000000"/>
          <w:spacing w:val="0"/>
          <w:sz w:val="32"/>
          <w:szCs w:val="32"/>
          <w:shd w:val="clear" w:fill="FFFFFF"/>
        </w:rPr>
        <w:t>室的</w:t>
      </w:r>
      <w:r>
        <w:rPr>
          <w:rFonts w:hint="eastAsia" w:ascii="仿宋_GB2312" w:eastAsia="仿宋_GB2312" w:cs="仿宋_GB2312"/>
          <w:i w:val="0"/>
          <w:iCs w:val="0"/>
          <w:caps w:val="0"/>
          <w:color w:val="000000"/>
          <w:spacing w:val="0"/>
          <w:sz w:val="32"/>
          <w:szCs w:val="32"/>
          <w:shd w:val="clear" w:fill="FFFFFF"/>
        </w:rPr>
        <w:t>绩效目标和绩效指标的设定未紧扣</w:t>
      </w:r>
      <w:r>
        <w:rPr>
          <w:rFonts w:hint="default" w:ascii="仿宋_GB2312" w:eastAsia="仿宋_GB2312" w:cs="仿宋_GB2312"/>
          <w:i w:val="0"/>
          <w:iCs w:val="0"/>
          <w:caps w:val="0"/>
          <w:color w:val="000000"/>
          <w:spacing w:val="0"/>
          <w:sz w:val="32"/>
          <w:szCs w:val="32"/>
          <w:shd w:val="clear" w:fill="FFFFFF"/>
        </w:rPr>
        <w:t>各自</w:t>
      </w:r>
      <w:r>
        <w:rPr>
          <w:rFonts w:hint="eastAsia" w:ascii="仿宋_GB2312" w:eastAsia="仿宋_GB2312" w:cs="仿宋_GB2312"/>
          <w:i w:val="0"/>
          <w:iCs w:val="0"/>
          <w:caps w:val="0"/>
          <w:color w:val="000000"/>
          <w:spacing w:val="0"/>
          <w:sz w:val="32"/>
          <w:szCs w:val="32"/>
          <w:shd w:val="clear" w:fill="FFFFFF"/>
        </w:rPr>
        <w:t>职能，</w:t>
      </w:r>
      <w:r>
        <w:rPr>
          <w:rFonts w:hint="default" w:ascii="仿宋_GB2312" w:eastAsia="仿宋_GB2312" w:cs="仿宋_GB2312"/>
          <w:i w:val="0"/>
          <w:iCs w:val="0"/>
          <w:caps w:val="0"/>
          <w:color w:val="000000"/>
          <w:spacing w:val="0"/>
          <w:sz w:val="32"/>
          <w:szCs w:val="32"/>
          <w:shd w:val="clear" w:fill="FFFFFF"/>
        </w:rPr>
        <w:t>有的指标设置科学量化度不高，绩效目标编制质量仍需提高。</w:t>
      </w:r>
    </w:p>
    <w:p>
      <w:pPr>
        <w:keepNext w:val="0"/>
        <w:keepLines w:val="0"/>
        <w:pageBreakBefore w:val="0"/>
        <w:widowControl w:val="0"/>
        <w:shd w:val="clear" w:color="auto" w:fill="FFFFFF"/>
        <w:kinsoku/>
        <w:wordWrap/>
        <w:overflowPunct/>
        <w:topLinePunct w:val="0"/>
        <w:autoSpaceDE/>
        <w:autoSpaceDN/>
        <w:bidi w:val="0"/>
        <w:adjustRightInd/>
        <w:spacing w:line="580" w:lineRule="exact"/>
        <w:ind w:firstLine="640"/>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bookmarkStart w:id="1" w:name="_Toc15372278"/>
      <w:r>
        <w:rPr>
          <w:rFonts w:hint="eastAsia" w:ascii="黑体" w:hAnsi="黑体" w:eastAsia="黑体" w:cs="黑体"/>
          <w:i w:val="0"/>
          <w:iCs w:val="0"/>
          <w:caps w:val="0"/>
          <w:color w:val="000000"/>
          <w:spacing w:val="0"/>
          <w:kern w:val="0"/>
          <w:sz w:val="32"/>
          <w:szCs w:val="32"/>
          <w:shd w:val="clear" w:color="auto" w:fill="FFFFFF"/>
          <w:lang w:val="en-US" w:eastAsia="zh-CN" w:bidi="ar"/>
        </w:rPr>
        <w:t>八、改进措施和有关建议</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1、定期做好预算支出财务分析，做好部门整体支出预算评价工作，进一步提高预算基本支出的财务保障水平，强化机关经费管理的刚性约束，项目支出按照预算和工作进度执行，进一步规范各项支出。</w:t>
      </w:r>
      <w:bookmarkEnd w:id="1"/>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2、</w:t>
      </w:r>
      <w:r>
        <w:rPr>
          <w:rFonts w:hint="eastAsia" w:ascii="仿宋_GB2312" w:eastAsia="仿宋_GB2312" w:cs="仿宋_GB2312"/>
          <w:i w:val="0"/>
          <w:iCs w:val="0"/>
          <w:caps w:val="0"/>
          <w:color w:val="000000"/>
          <w:spacing w:val="0"/>
          <w:sz w:val="32"/>
          <w:szCs w:val="32"/>
          <w:shd w:val="clear" w:fill="FFFFFF"/>
        </w:rPr>
        <w:t>今后严格按照预算绩效管理要求，坚持定性与定量相结合，突出重点，便于检验、评价、考核。可以量化的三级指标，都要予以量化；确实难以量化的，要提炼出能够反映目标任务和预期成效的结果性描述。</w:t>
      </w:r>
    </w:p>
    <w:p>
      <w:pPr>
        <w:pStyle w:val="10"/>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其他需要说明的情况</w:t>
      </w:r>
    </w:p>
    <w:p>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right="0" w:rightChars="0"/>
        <w:textAlignment w:val="auto"/>
        <w:rPr>
          <w:rFonts w:hint="default" w:ascii="黑体" w:hAnsi="黑体" w:eastAsia="黑体" w:cs="黑体"/>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 xml:space="preserve">    </w:t>
      </w:r>
      <w:r>
        <w:rPr>
          <w:rFonts w:hint="eastAsia" w:ascii="仿宋_GB2312" w:hAnsi="Times New Roman" w:eastAsia="仿宋_GB2312" w:cs="仿宋_GB2312"/>
          <w:i w:val="0"/>
          <w:iCs w:val="0"/>
          <w:caps w:val="0"/>
          <w:color w:val="000000"/>
          <w:spacing w:val="0"/>
          <w:sz w:val="32"/>
          <w:szCs w:val="32"/>
          <w:shd w:val="clear" w:color="auto" w:fill="FFFFFF"/>
          <w:lang w:val="en-US" w:eastAsia="zh-CN"/>
        </w:rPr>
        <w:t>无。</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jc w:val="left"/>
        <w:textAlignment w:val="auto"/>
        <w:rPr>
          <w:rFonts w:hint="default" w:ascii="仿宋_GB2312" w:eastAsia="仿宋_GB2312" w:cs="仿宋_GB2312"/>
          <w:i w:val="0"/>
          <w:iCs w:val="0"/>
          <w:caps w:val="0"/>
          <w:color w:val="000000"/>
          <w:spacing w:val="0"/>
          <w:sz w:val="32"/>
          <w:szCs w:val="32"/>
          <w:shd w:val="clear" w:fill="FFFFFF"/>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jc w:val="left"/>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报告应包括以下附件：</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pPr>
        <w:spacing w:after="120" w:afterLines="50" w:line="600" w:lineRule="exact"/>
        <w:jc w:val="center"/>
        <w:rPr>
          <w:rFonts w:ascii="Times New Roman" w:hAnsi="Times New Roman" w:eastAsia="仿宋_GB2312" w:cs="Times New Roman"/>
          <w:sz w:val="24"/>
        </w:rPr>
      </w:pPr>
      <w:r>
        <w:rPr>
          <w:rFonts w:ascii="Times New Roman" w:hAnsi="Times New Roman" w:eastAsia="方正小标宋_GBK" w:cs="Times New Roman"/>
          <w:sz w:val="36"/>
          <w:szCs w:val="36"/>
        </w:rPr>
        <w:t>部门整体支出绩效评价基础数据表</w:t>
      </w:r>
    </w:p>
    <w:tbl>
      <w:tblPr>
        <w:tblStyle w:val="12"/>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tblPrEx>
          <w:tblCellMar>
            <w:top w:w="0" w:type="dxa"/>
            <w:left w:w="108" w:type="dxa"/>
            <w:bottom w:w="0" w:type="dxa"/>
            <w:right w:w="108" w:type="dxa"/>
          </w:tblCellMar>
        </w:tblPrEx>
        <w:trPr>
          <w:trHeight w:val="397"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202</w:t>
            </w:r>
            <w:r>
              <w:rPr>
                <w:rFonts w:hint="eastAsia" w:ascii="Times New Roman" w:hAnsi="Times New Roman" w:eastAsia="仿宋_GB2312" w:cs="Times New Roman"/>
                <w:b/>
                <w:bCs/>
                <w:sz w:val="20"/>
                <w:szCs w:val="20"/>
                <w:lang w:val="en-US" w:eastAsia="zh-CN"/>
              </w:rPr>
              <w:t>3</w:t>
            </w:r>
            <w:r>
              <w:rPr>
                <w:rFonts w:ascii="Times New Roman" w:hAnsi="Times New Roman" w:eastAsia="仿宋_GB2312" w:cs="Times New Roman"/>
                <w:b/>
                <w:bCs/>
                <w:sz w:val="20"/>
                <w:szCs w:val="20"/>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控制率</w:t>
            </w:r>
          </w:p>
        </w:tc>
      </w:tr>
      <w:tr>
        <w:tblPrEx>
          <w:tblCellMar>
            <w:top w:w="0" w:type="dxa"/>
            <w:left w:w="108" w:type="dxa"/>
            <w:bottom w:w="0" w:type="dxa"/>
            <w:right w:w="108" w:type="dxa"/>
          </w:tblCellMar>
        </w:tblPrEx>
        <w:trPr>
          <w:trHeight w:val="397"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p>
        </w:tc>
        <w:tc>
          <w:tcPr>
            <w:tcW w:w="2038"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val="en-US" w:eastAsia="zh-CN"/>
              </w:rPr>
              <w:t>9</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val="en-US" w:eastAsia="zh-CN"/>
              </w:rPr>
              <w:t>7</w:t>
            </w:r>
          </w:p>
        </w:tc>
        <w:tc>
          <w:tcPr>
            <w:tcW w:w="2041"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77.78%</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202</w:t>
            </w:r>
            <w:r>
              <w:rPr>
                <w:rFonts w:hint="eastAsia" w:ascii="Times New Roman" w:hAnsi="Times New Roman" w:eastAsia="仿宋_GB2312" w:cs="Times New Roman"/>
                <w:b/>
                <w:bCs/>
                <w:color w:val="auto"/>
                <w:sz w:val="20"/>
                <w:szCs w:val="20"/>
                <w:lang w:val="en-US" w:eastAsia="zh-CN"/>
              </w:rPr>
              <w:t>2</w:t>
            </w:r>
            <w:r>
              <w:rPr>
                <w:rFonts w:ascii="Times New Roman" w:hAnsi="Times New Roman" w:eastAsia="仿宋_GB2312" w:cs="Times New Roman"/>
                <w:b/>
                <w:bCs/>
                <w:color w:val="auto"/>
                <w:sz w:val="20"/>
                <w:szCs w:val="20"/>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202</w:t>
            </w:r>
            <w:r>
              <w:rPr>
                <w:rFonts w:hint="eastAsia" w:ascii="Times New Roman" w:hAnsi="Times New Roman" w:eastAsia="仿宋_GB2312" w:cs="Times New Roman"/>
                <w:b/>
                <w:bCs/>
                <w:color w:val="auto"/>
                <w:sz w:val="20"/>
                <w:szCs w:val="20"/>
                <w:lang w:val="en-US" w:eastAsia="zh-CN"/>
              </w:rPr>
              <w:t>3</w:t>
            </w:r>
            <w:r>
              <w:rPr>
                <w:rFonts w:ascii="Times New Roman" w:hAnsi="Times New Roman" w:eastAsia="仿宋_GB2312" w:cs="Times New Roman"/>
                <w:b/>
                <w:bCs/>
                <w:color w:val="auto"/>
                <w:sz w:val="20"/>
                <w:szCs w:val="20"/>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202</w:t>
            </w:r>
            <w:r>
              <w:rPr>
                <w:rFonts w:hint="eastAsia" w:ascii="Times New Roman" w:hAnsi="Times New Roman" w:eastAsia="仿宋_GB2312" w:cs="Times New Roman"/>
                <w:b/>
                <w:bCs/>
                <w:color w:val="auto"/>
                <w:sz w:val="20"/>
                <w:szCs w:val="20"/>
                <w:lang w:val="en-US" w:eastAsia="zh-CN"/>
              </w:rPr>
              <w:t>3</w:t>
            </w:r>
            <w:r>
              <w:rPr>
                <w:rFonts w:ascii="Times New Roman" w:hAnsi="Times New Roman" w:eastAsia="仿宋_GB2312" w:cs="Times New Roman"/>
                <w:b/>
                <w:bCs/>
                <w:color w:val="auto"/>
                <w:sz w:val="20"/>
                <w:szCs w:val="20"/>
              </w:rPr>
              <w:t>年决算数</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color w:val="auto"/>
                <w:sz w:val="20"/>
                <w:szCs w:val="20"/>
              </w:rPr>
            </w:pPr>
            <w:r>
              <w:rPr>
                <w:rFonts w:hint="eastAsia" w:ascii="Times New Roman" w:hAnsi="Times New Roman" w:eastAsia="仿宋_GB2312" w:cs="Times New Roman"/>
                <w:color w:val="auto"/>
                <w:sz w:val="20"/>
                <w:szCs w:val="20"/>
              </w:rPr>
              <w:t>9.48</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7.5</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rPr>
              <w:t>9.</w:t>
            </w:r>
            <w:r>
              <w:rPr>
                <w:rFonts w:hint="eastAsia" w:ascii="Times New Roman" w:hAnsi="Times New Roman" w:eastAsia="仿宋_GB2312" w:cs="Times New Roman"/>
                <w:color w:val="auto"/>
                <w:sz w:val="20"/>
                <w:szCs w:val="20"/>
                <w:lang w:val="en-US" w:eastAsia="zh-CN"/>
              </w:rPr>
              <w:t>49</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color w:val="auto"/>
                <w:sz w:val="20"/>
                <w:szCs w:val="20"/>
              </w:rPr>
            </w:pPr>
            <w:r>
              <w:rPr>
                <w:rFonts w:hint="eastAsia" w:ascii="Times New Roman" w:hAnsi="Times New Roman" w:eastAsia="仿宋_GB2312" w:cs="Times New Roman"/>
                <w:color w:val="auto"/>
                <w:sz w:val="20"/>
                <w:szCs w:val="20"/>
              </w:rPr>
              <w:t>9.48</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lang w:val="en-US"/>
              </w:rPr>
            </w:pPr>
            <w:r>
              <w:rPr>
                <w:rFonts w:hint="eastAsia" w:ascii="Times New Roman" w:hAnsi="Times New Roman" w:eastAsia="仿宋_GB2312" w:cs="Times New Roman"/>
                <w:color w:val="auto"/>
                <w:sz w:val="20"/>
                <w:szCs w:val="20"/>
                <w:lang w:val="en-US" w:eastAsia="zh-CN"/>
              </w:rPr>
              <w:t>7.5</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rPr>
              <w:t>9.</w:t>
            </w:r>
            <w:r>
              <w:rPr>
                <w:rFonts w:hint="eastAsia" w:ascii="Times New Roman" w:hAnsi="Times New Roman" w:eastAsia="仿宋_GB2312" w:cs="Times New Roman"/>
                <w:color w:val="auto"/>
                <w:sz w:val="20"/>
                <w:szCs w:val="20"/>
                <w:lang w:val="en-US" w:eastAsia="zh-CN"/>
              </w:rPr>
              <w:t>39</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color w:val="auto"/>
                <w:sz w:val="20"/>
                <w:szCs w:val="20"/>
              </w:rPr>
            </w:pPr>
            <w:r>
              <w:rPr>
                <w:rFonts w:hint="eastAsia" w:ascii="Times New Roman" w:hAnsi="Times New Roman" w:eastAsia="仿宋_GB2312" w:cs="Times New Roman"/>
                <w:color w:val="auto"/>
                <w:sz w:val="20"/>
                <w:szCs w:val="20"/>
              </w:rPr>
              <w:t>9.48</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7.5</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rPr>
              <w:t>9.</w:t>
            </w:r>
            <w:r>
              <w:rPr>
                <w:rFonts w:hint="eastAsia" w:ascii="Times New Roman" w:hAnsi="Times New Roman" w:eastAsia="仿宋_GB2312" w:cs="Times New Roman"/>
                <w:color w:val="auto"/>
                <w:sz w:val="20"/>
                <w:szCs w:val="20"/>
                <w:lang w:val="en-US" w:eastAsia="zh-CN"/>
              </w:rPr>
              <w:t>39</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color w:val="auto"/>
                <w:sz w:val="20"/>
                <w:szCs w:val="20"/>
              </w:rPr>
            </w:pPr>
            <w:r>
              <w:rPr>
                <w:rFonts w:hint="eastAsia" w:ascii="Times New Roman" w:hAnsi="Times New Roman" w:eastAsia="仿宋_GB2312" w:cs="Times New Roman"/>
                <w:color w:val="auto"/>
                <w:sz w:val="20"/>
                <w:szCs w:val="20"/>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0.1</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rPr>
              <w:t>83.3</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color w:val="auto"/>
                <w:sz w:val="20"/>
                <w:szCs w:val="20"/>
              </w:rPr>
            </w:pPr>
            <w:r>
              <w:rPr>
                <w:rFonts w:hint="default" w:ascii="Times New Roman" w:hAnsi="Times New Roman" w:eastAsia="宋体" w:cs="Times New Roman"/>
                <w:i w:val="0"/>
                <w:iCs w:val="0"/>
                <w:caps w:val="0"/>
                <w:color w:val="auto"/>
                <w:spacing w:val="0"/>
                <w:sz w:val="21"/>
                <w:szCs w:val="21"/>
                <w:shd w:val="clear" w:fill="FFFFFF"/>
              </w:rPr>
              <w:t>63</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90.09</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1、业务工作经费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rPr>
              <w:t>83.3</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color w:val="auto"/>
                <w:sz w:val="20"/>
                <w:szCs w:val="20"/>
              </w:rPr>
            </w:pPr>
            <w:r>
              <w:rPr>
                <w:rFonts w:hint="default" w:ascii="Times New Roman" w:hAnsi="Times New Roman" w:eastAsia="宋体" w:cs="Times New Roman"/>
                <w:i w:val="0"/>
                <w:iCs w:val="0"/>
                <w:caps w:val="0"/>
                <w:color w:val="auto"/>
                <w:spacing w:val="0"/>
                <w:sz w:val="21"/>
                <w:szCs w:val="21"/>
                <w:shd w:val="clear" w:fill="FFFFFF"/>
              </w:rPr>
              <w:t>63</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90.09</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3、专项资金（一个专项一行）</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rPr>
              <w:t>14.83</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eastAsia" w:ascii="Times New Roman" w:hAnsi="Times New Roman" w:cs="Times New Roman"/>
                <w:i w:val="0"/>
                <w:iCs w:val="0"/>
                <w:caps w:val="0"/>
                <w:color w:val="auto"/>
                <w:spacing w:val="0"/>
                <w:sz w:val="21"/>
                <w:szCs w:val="21"/>
                <w:shd w:val="clear" w:fill="FFFFFF"/>
                <w:lang w:val="en-US" w:eastAsia="zh-CN"/>
              </w:rPr>
              <w:t>13.5</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22.06</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color w:val="auto"/>
                <w:sz w:val="20"/>
                <w:szCs w:val="20"/>
              </w:rPr>
            </w:pPr>
            <w:r>
              <w:rPr>
                <w:rFonts w:hint="eastAsia" w:ascii="Times New Roman" w:hAnsi="Times New Roman" w:eastAsia="仿宋_GB2312" w:cs="Times New Roman"/>
                <w:color w:val="auto"/>
                <w:sz w:val="20"/>
                <w:szCs w:val="20"/>
              </w:rPr>
              <w:t>0.15</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1</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lang w:val="en-US"/>
              </w:rPr>
            </w:pPr>
            <w:r>
              <w:rPr>
                <w:rFonts w:hint="eastAsia" w:ascii="Times New Roman" w:hAnsi="Times New Roman" w:cs="Times New Roman"/>
                <w:i w:val="0"/>
                <w:iCs w:val="0"/>
                <w:caps w:val="0"/>
                <w:color w:val="auto"/>
                <w:spacing w:val="0"/>
                <w:sz w:val="21"/>
                <w:szCs w:val="21"/>
                <w:shd w:val="clear" w:fill="FFFFFF"/>
                <w:lang w:val="en-US" w:eastAsia="zh-CN"/>
              </w:rPr>
              <w:t>0.49</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color w:val="auto"/>
                <w:sz w:val="20"/>
                <w:szCs w:val="20"/>
              </w:rPr>
            </w:pPr>
            <w:r>
              <w:rPr>
                <w:rFonts w:hint="eastAsia" w:ascii="Times New Roman" w:hAnsi="Times New Roman" w:eastAsia="仿宋_GB2312" w:cs="Times New Roman"/>
                <w:color w:val="auto"/>
                <w:sz w:val="20"/>
                <w:szCs w:val="20"/>
              </w:rPr>
              <w:t>0.02</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rPr>
              <w:t>0.</w:t>
            </w:r>
            <w:r>
              <w:rPr>
                <w:rFonts w:hint="eastAsia" w:ascii="Times New Roman" w:hAnsi="Times New Roman" w:eastAsia="仿宋_GB2312" w:cs="Times New Roman"/>
                <w:color w:val="auto"/>
                <w:sz w:val="20"/>
                <w:szCs w:val="20"/>
                <w:lang w:val="en-US" w:eastAsia="zh-CN"/>
              </w:rPr>
              <w:t>56</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color w:val="auto"/>
                <w:sz w:val="20"/>
                <w:szCs w:val="20"/>
              </w:rPr>
            </w:pPr>
            <w:r>
              <w:rPr>
                <w:rFonts w:hint="eastAsia" w:ascii="Times New Roman" w:hAnsi="Times New Roman" w:eastAsia="仿宋_GB2312" w:cs="Times New Roman"/>
                <w:color w:val="auto"/>
                <w:sz w:val="20"/>
                <w:szCs w:val="20"/>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b w:val="0"/>
                <w:bCs w:val="0"/>
                <w:color w:val="auto"/>
                <w:sz w:val="20"/>
                <w:szCs w:val="20"/>
                <w:lang w:val="en-US" w:eastAsia="zh-CN"/>
              </w:rPr>
            </w:pPr>
            <w:r>
              <w:rPr>
                <w:rFonts w:hint="eastAsia" w:ascii="Times New Roman" w:hAnsi="Times New Roman" w:eastAsia="仿宋_GB2312" w:cs="Times New Roman"/>
                <w:b w:val="0"/>
                <w:bCs w:val="0"/>
                <w:color w:val="auto"/>
                <w:sz w:val="20"/>
                <w:szCs w:val="20"/>
                <w:lang w:val="en-US" w:eastAsia="zh-CN"/>
              </w:rPr>
              <w:t>372.73</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b w:val="0"/>
                <w:bCs w:val="0"/>
                <w:color w:val="auto"/>
                <w:sz w:val="20"/>
                <w:szCs w:val="20"/>
                <w:lang w:val="en-US" w:eastAsia="zh-CN"/>
              </w:rPr>
            </w:pPr>
            <w:r>
              <w:rPr>
                <w:rFonts w:hint="eastAsia" w:ascii="Times New Roman" w:hAnsi="Times New Roman" w:eastAsia="仿宋_GB2312" w:cs="Times New Roman"/>
                <w:b w:val="0"/>
                <w:bCs w:val="0"/>
                <w:color w:val="auto"/>
                <w:sz w:val="20"/>
                <w:szCs w:val="20"/>
                <w:lang w:val="en-US" w:eastAsia="zh-CN"/>
              </w:rPr>
              <w:t>361.76</w:t>
            </w:r>
          </w:p>
        </w:tc>
      </w:tr>
      <w:tr>
        <w:tblPrEx>
          <w:tblCellMar>
            <w:top w:w="0" w:type="dxa"/>
            <w:left w:w="108" w:type="dxa"/>
            <w:bottom w:w="0" w:type="dxa"/>
            <w:right w:w="108" w:type="dxa"/>
          </w:tblCellMar>
        </w:tblPrEx>
        <w:trPr>
          <w:trHeight w:val="777"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楼堂馆所控制情况</w:t>
            </w:r>
            <w:r>
              <w:rPr>
                <w:rFonts w:ascii="Times New Roman" w:hAnsi="Times New Roman" w:eastAsia="仿宋_GB2312" w:cs="Times New Roman"/>
                <w:sz w:val="20"/>
                <w:szCs w:val="20"/>
              </w:rPr>
              <w:br w:type="textWrapping"/>
            </w:r>
            <w:r>
              <w:rPr>
                <w:rFonts w:ascii="Times New Roman" w:hAnsi="Times New Roman" w:eastAsia="仿宋_GB2312" w:cs="Times New Roman"/>
                <w:sz w:val="20"/>
                <w:szCs w:val="20"/>
              </w:rPr>
              <w:t>（202</w:t>
            </w:r>
            <w:r>
              <w:rPr>
                <w:rFonts w:hint="eastAsia" w:ascii="Times New Roman" w:hAnsi="Times New Roman" w:eastAsia="仿宋_GB2312" w:cs="Times New Roman"/>
                <w:sz w:val="20"/>
                <w:szCs w:val="20"/>
                <w:lang w:val="en-US" w:eastAsia="zh-CN"/>
              </w:rPr>
              <w:t>3</w:t>
            </w:r>
            <w:r>
              <w:rPr>
                <w:rFonts w:ascii="Times New Roman" w:hAnsi="Times New Roman" w:eastAsia="仿宋_GB2312" w:cs="Times New Roman"/>
                <w:sz w:val="20"/>
                <w:szCs w:val="20"/>
              </w:rPr>
              <w:t>年完工项目）</w:t>
            </w:r>
          </w:p>
        </w:tc>
        <w:tc>
          <w:tcPr>
            <w:tcW w:w="1189" w:type="dxa"/>
            <w:tcBorders>
              <w:top w:val="nil"/>
              <w:left w:val="nil"/>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批复规模</w:t>
            </w:r>
            <w:r>
              <w:rPr>
                <w:rFonts w:ascii="Times New Roman" w:hAnsi="Times New Roman" w:eastAsia="仿宋_GB2312" w:cs="Times New Roman"/>
                <w:bCs/>
                <w:sz w:val="20"/>
                <w:szCs w:val="20"/>
              </w:rPr>
              <w:br w:type="textWrapping"/>
            </w:r>
            <w:r>
              <w:rPr>
                <w:rFonts w:ascii="Times New Roman" w:hAnsi="Times New Roman" w:eastAsia="仿宋_GB2312" w:cs="Times New Roman"/>
                <w:bCs/>
                <w:sz w:val="20"/>
                <w:szCs w:val="20"/>
              </w:rPr>
              <w:t>（</w:t>
            </w:r>
            <w:r>
              <w:rPr>
                <w:rFonts w:ascii="Times New Roman" w:hAnsi="Times New Roman" w:cs="Times New Roman"/>
                <w:bCs/>
                <w:sz w:val="20"/>
                <w:szCs w:val="20"/>
              </w:rPr>
              <w:t>㎡</w:t>
            </w:r>
            <w:r>
              <w:rPr>
                <w:rFonts w:ascii="Times New Roman" w:hAnsi="Times New Roman" w:eastAsia="仿宋_GB2312" w:cs="Times New Roman"/>
                <w:bCs/>
                <w:sz w:val="20"/>
                <w:szCs w:val="20"/>
              </w:rPr>
              <w:t>）</w:t>
            </w:r>
          </w:p>
        </w:tc>
        <w:tc>
          <w:tcPr>
            <w:tcW w:w="849" w:type="dxa"/>
            <w:tcBorders>
              <w:top w:val="nil"/>
              <w:left w:val="nil"/>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实际规模（</w:t>
            </w:r>
            <w:r>
              <w:rPr>
                <w:rFonts w:ascii="Times New Roman" w:hAnsi="Times New Roman" w:cs="Times New Roman"/>
                <w:bCs/>
                <w:sz w:val="20"/>
                <w:szCs w:val="20"/>
              </w:rPr>
              <w:t>㎡</w:t>
            </w:r>
            <w:r>
              <w:rPr>
                <w:rFonts w:ascii="Times New Roman" w:hAnsi="Times New Roman" w:eastAsia="仿宋_GB2312" w:cs="Times New Roman"/>
                <w:bCs/>
                <w:sz w:val="20"/>
                <w:szCs w:val="20"/>
              </w:rPr>
              <w:t>）</w:t>
            </w:r>
          </w:p>
        </w:tc>
        <w:tc>
          <w:tcPr>
            <w:tcW w:w="1129" w:type="dxa"/>
            <w:tcBorders>
              <w:top w:val="nil"/>
              <w:left w:val="nil"/>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规模控制率</w:t>
            </w:r>
          </w:p>
        </w:tc>
        <w:tc>
          <w:tcPr>
            <w:tcW w:w="1111" w:type="dxa"/>
            <w:tcBorders>
              <w:top w:val="nil"/>
              <w:left w:val="nil"/>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预算投资（万元）</w:t>
            </w:r>
          </w:p>
        </w:tc>
        <w:tc>
          <w:tcPr>
            <w:tcW w:w="1081" w:type="dxa"/>
            <w:tcBorders>
              <w:top w:val="nil"/>
              <w:left w:val="nil"/>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实际投资（万元）</w:t>
            </w:r>
          </w:p>
        </w:tc>
        <w:tc>
          <w:tcPr>
            <w:tcW w:w="960" w:type="dxa"/>
            <w:tcBorders>
              <w:top w:val="nil"/>
              <w:left w:val="nil"/>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投资概算控制率</w:t>
            </w:r>
          </w:p>
        </w:tc>
      </w:tr>
      <w:tr>
        <w:tblPrEx>
          <w:tblCellMar>
            <w:top w:w="0" w:type="dxa"/>
            <w:left w:w="108" w:type="dxa"/>
            <w:bottom w:w="0" w:type="dxa"/>
            <w:right w:w="108" w:type="dxa"/>
          </w:tblCellMar>
        </w:tblPrEx>
        <w:trPr>
          <w:trHeight w:val="454"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p>
        </w:tc>
        <w:tc>
          <w:tcPr>
            <w:tcW w:w="1189"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0</w:t>
            </w:r>
          </w:p>
        </w:tc>
        <w:tc>
          <w:tcPr>
            <w:tcW w:w="849"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0</w:t>
            </w:r>
          </w:p>
        </w:tc>
        <w:tc>
          <w:tcPr>
            <w:tcW w:w="1129"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0</w:t>
            </w:r>
          </w:p>
        </w:tc>
        <w:tc>
          <w:tcPr>
            <w:tcW w:w="1111"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0</w:t>
            </w:r>
          </w:p>
        </w:tc>
        <w:tc>
          <w:tcPr>
            <w:tcW w:w="1081"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0</w:t>
            </w:r>
          </w:p>
        </w:tc>
        <w:tc>
          <w:tcPr>
            <w:tcW w:w="9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0</w:t>
            </w:r>
          </w:p>
        </w:tc>
      </w:tr>
      <w:tr>
        <w:tblPrEx>
          <w:tblCellMar>
            <w:top w:w="0" w:type="dxa"/>
            <w:left w:w="108" w:type="dxa"/>
            <w:bottom w:w="0" w:type="dxa"/>
            <w:right w:w="108" w:type="dxa"/>
          </w:tblCellMar>
        </w:tblPrEx>
        <w:trPr>
          <w:trHeight w:val="756"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lang w:val="en-US" w:eastAsia="zh-CN"/>
              </w:rPr>
              <w:t>严格控制三公经费预算内开支，控制其他不必要开支</w:t>
            </w:r>
          </w:p>
        </w:tc>
      </w:tr>
    </w:tbl>
    <w:p>
      <w:pPr>
        <w:pStyle w:val="14"/>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pP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ascii="Times New Roman" w:hAnsi="Times New Roman" w:eastAsia="仿宋_GB2312" w:cs="Times New Roman"/>
          <w:sz w:val="22"/>
          <w:szCs w:val="22"/>
        </w:rPr>
        <w:t>填表人：</w:t>
      </w:r>
      <w:r>
        <w:rPr>
          <w:rFonts w:hint="eastAsia" w:ascii="Times New Roman" w:hAnsi="Times New Roman" w:eastAsia="仿宋_GB2312" w:cs="Times New Roman"/>
          <w:sz w:val="22"/>
          <w:szCs w:val="22"/>
          <w:lang w:val="en-US" w:eastAsia="zh-CN"/>
        </w:rPr>
        <w:t xml:space="preserve">张亚枚    </w:t>
      </w:r>
      <w:r>
        <w:rPr>
          <w:rFonts w:ascii="Times New Roman" w:hAnsi="Times New Roman" w:eastAsia="仿宋_GB2312" w:cs="Times New Roman"/>
          <w:sz w:val="22"/>
          <w:szCs w:val="22"/>
        </w:rPr>
        <w:t>填报日期：</w:t>
      </w:r>
      <w:r>
        <w:rPr>
          <w:rFonts w:hint="eastAsia" w:ascii="Times New Roman" w:hAnsi="Times New Roman" w:eastAsia="仿宋_GB2312" w:cs="Times New Roman"/>
          <w:sz w:val="22"/>
          <w:szCs w:val="22"/>
          <w:lang w:val="en-US" w:eastAsia="zh-CN"/>
        </w:rPr>
        <w:t xml:space="preserve">2024年6月20日  </w:t>
      </w:r>
      <w:r>
        <w:rPr>
          <w:rFonts w:ascii="Times New Roman" w:hAnsi="Times New Roman" w:eastAsia="仿宋_GB2312" w:cs="Times New Roman"/>
          <w:sz w:val="22"/>
          <w:szCs w:val="22"/>
        </w:rPr>
        <w:t>联系电话：</w:t>
      </w:r>
      <w:r>
        <w:rPr>
          <w:rFonts w:hint="eastAsia" w:ascii="Times New Roman" w:hAnsi="Times New Roman" w:eastAsia="仿宋_GB2312" w:cs="Times New Roman"/>
          <w:sz w:val="22"/>
          <w:szCs w:val="22"/>
          <w:lang w:val="en-US" w:eastAsia="zh-CN"/>
        </w:rPr>
        <w:t>15869940577</w:t>
      </w:r>
      <w:r>
        <w:rPr>
          <w:rFonts w:hint="eastAsia" w:ascii="Times New Roman" w:hAnsi="Times New Roman" w:eastAsia="仿宋_GB2312" w:cs="Times New Roman"/>
          <w:snapToGrid/>
          <w:color w:val="000000"/>
          <w:kern w:val="0"/>
          <w:sz w:val="24"/>
          <w:szCs w:val="24"/>
          <w:lang w:val="en-US" w:eastAsia="zh-CN" w:bidi="ar-SA"/>
        </w:rPr>
        <w:t xml:space="preserve">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12"/>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025"/>
        <w:gridCol w:w="1187"/>
        <w:gridCol w:w="1266"/>
        <w:gridCol w:w="213"/>
        <w:gridCol w:w="1047"/>
        <w:gridCol w:w="1110"/>
        <w:gridCol w:w="696"/>
        <w:gridCol w:w="717"/>
        <w:gridCol w:w="1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5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404" w:type="dxa"/>
            <w:gridSpan w:val="9"/>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rPr>
              <w:t>怀化市委</w:t>
            </w:r>
            <w:r>
              <w:rPr>
                <w:rFonts w:hint="eastAsia" w:ascii="Times New Roman" w:hAnsi="Times New Roman" w:eastAsia="仿宋_GB2312" w:cs="Times New Roman"/>
                <w:color w:val="000000"/>
                <w:sz w:val="20"/>
                <w:szCs w:val="20"/>
                <w:lang w:eastAsia="zh-CN"/>
              </w:rPr>
              <w:t>市</w:t>
            </w:r>
            <w:r>
              <w:rPr>
                <w:rFonts w:hint="eastAsia" w:ascii="Times New Roman" w:hAnsi="Times New Roman" w:eastAsia="仿宋_GB2312" w:cs="Times New Roman"/>
                <w:color w:val="000000"/>
                <w:sz w:val="20"/>
                <w:szCs w:val="20"/>
              </w:rPr>
              <w:t>政府机关老干部休养所</w:t>
            </w: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21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2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9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71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4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21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auto"/>
                <w:sz w:val="20"/>
                <w:szCs w:val="20"/>
              </w:rPr>
            </w:pPr>
            <w:r>
              <w:rPr>
                <w:rFonts w:hint="eastAsia" w:ascii="仿宋" w:hAnsi="仿宋" w:eastAsia="仿宋" w:cs="仿宋"/>
                <w:b w:val="0"/>
                <w:bCs w:val="0"/>
                <w:color w:val="auto"/>
                <w:kern w:val="0"/>
                <w:sz w:val="20"/>
                <w:szCs w:val="20"/>
              </w:rPr>
              <w:t>年度资金总额</w:t>
            </w:r>
          </w:p>
        </w:tc>
        <w:tc>
          <w:tcPr>
            <w:tcW w:w="1266" w:type="dxa"/>
            <w:noWrap w:val="0"/>
            <w:vAlign w:val="center"/>
          </w:tcPr>
          <w:p>
            <w:pPr>
              <w:spacing w:line="240" w:lineRule="exact"/>
              <w:jc w:val="center"/>
              <w:rPr>
                <w:rFonts w:hint="eastAsia" w:ascii="Times New Roman" w:hAnsi="Times New Roman" w:eastAsia="仿宋_GB2312" w:cs="Times New Roman"/>
                <w:b w:val="0"/>
                <w:bCs w:val="0"/>
                <w:color w:val="auto"/>
                <w:kern w:val="2"/>
                <w:sz w:val="20"/>
                <w:szCs w:val="20"/>
                <w:lang w:val="en-US" w:eastAsia="zh-CN" w:bidi="ar-SA"/>
              </w:rPr>
            </w:pPr>
            <w:r>
              <w:rPr>
                <w:rFonts w:hint="eastAsia" w:ascii="Times New Roman" w:hAnsi="Times New Roman" w:eastAsia="仿宋_GB2312" w:cs="Times New Roman"/>
                <w:b w:val="0"/>
                <w:bCs w:val="0"/>
                <w:color w:val="auto"/>
                <w:sz w:val="20"/>
                <w:szCs w:val="20"/>
              </w:rPr>
              <w:t>4</w:t>
            </w:r>
            <w:r>
              <w:rPr>
                <w:rFonts w:hint="eastAsia" w:ascii="Times New Roman" w:hAnsi="Times New Roman" w:eastAsia="仿宋_GB2312" w:cs="Times New Roman"/>
                <w:b w:val="0"/>
                <w:bCs w:val="0"/>
                <w:color w:val="auto"/>
                <w:sz w:val="20"/>
                <w:szCs w:val="20"/>
                <w:lang w:val="en-US" w:eastAsia="zh-CN"/>
              </w:rPr>
              <w:t>35.73</w:t>
            </w:r>
          </w:p>
        </w:tc>
        <w:tc>
          <w:tcPr>
            <w:tcW w:w="1260" w:type="dxa"/>
            <w:gridSpan w:val="2"/>
            <w:noWrap w:val="0"/>
            <w:vAlign w:val="center"/>
          </w:tcPr>
          <w:p>
            <w:pPr>
              <w:spacing w:line="240" w:lineRule="exact"/>
              <w:jc w:val="center"/>
              <w:rPr>
                <w:rFonts w:hint="eastAsia" w:ascii="Times New Roman" w:hAnsi="Times New Roman" w:eastAsia="仿宋_GB2312" w:cs="Times New Roman"/>
                <w:b w:val="0"/>
                <w:bCs w:val="0"/>
                <w:color w:val="auto"/>
                <w:kern w:val="2"/>
                <w:sz w:val="20"/>
                <w:szCs w:val="20"/>
                <w:lang w:val="en-US" w:eastAsia="zh-CN" w:bidi="ar-SA"/>
              </w:rPr>
            </w:pPr>
            <w:r>
              <w:rPr>
                <w:rFonts w:hint="eastAsia" w:ascii="Times New Roman" w:hAnsi="Times New Roman" w:eastAsia="仿宋_GB2312" w:cs="Times New Roman"/>
                <w:b w:val="0"/>
                <w:bCs w:val="0"/>
                <w:color w:val="auto"/>
                <w:sz w:val="20"/>
                <w:szCs w:val="20"/>
              </w:rPr>
              <w:t>4</w:t>
            </w:r>
            <w:r>
              <w:rPr>
                <w:rFonts w:hint="eastAsia" w:ascii="Times New Roman" w:hAnsi="Times New Roman" w:eastAsia="仿宋_GB2312" w:cs="Times New Roman"/>
                <w:b w:val="0"/>
                <w:bCs w:val="0"/>
                <w:color w:val="auto"/>
                <w:sz w:val="20"/>
                <w:szCs w:val="20"/>
                <w:lang w:val="en-US" w:eastAsia="zh-CN"/>
              </w:rPr>
              <w:t>51.85</w:t>
            </w:r>
          </w:p>
        </w:tc>
        <w:tc>
          <w:tcPr>
            <w:tcW w:w="1110" w:type="dxa"/>
            <w:noWrap w:val="0"/>
            <w:vAlign w:val="center"/>
          </w:tcPr>
          <w:p>
            <w:pPr>
              <w:spacing w:line="240" w:lineRule="exact"/>
              <w:jc w:val="center"/>
              <w:rPr>
                <w:rFonts w:hint="eastAsia" w:ascii="Times New Roman" w:hAnsi="Times New Roman" w:eastAsia="仿宋_GB2312" w:cs="Times New Roman"/>
                <w:b w:val="0"/>
                <w:bCs w:val="0"/>
                <w:color w:val="auto"/>
                <w:kern w:val="2"/>
                <w:sz w:val="20"/>
                <w:szCs w:val="20"/>
                <w:lang w:val="en-US" w:eastAsia="zh-CN" w:bidi="ar-SA"/>
              </w:rPr>
            </w:pPr>
            <w:r>
              <w:rPr>
                <w:rFonts w:hint="eastAsia" w:ascii="Times New Roman" w:hAnsi="Times New Roman" w:eastAsia="仿宋_GB2312" w:cs="Times New Roman"/>
                <w:b w:val="0"/>
                <w:bCs w:val="0"/>
                <w:color w:val="auto"/>
                <w:sz w:val="20"/>
                <w:szCs w:val="20"/>
              </w:rPr>
              <w:t>4</w:t>
            </w:r>
            <w:r>
              <w:rPr>
                <w:rFonts w:hint="eastAsia" w:ascii="Times New Roman" w:hAnsi="Times New Roman" w:eastAsia="仿宋_GB2312" w:cs="Times New Roman"/>
                <w:b w:val="0"/>
                <w:bCs w:val="0"/>
                <w:color w:val="auto"/>
                <w:sz w:val="20"/>
                <w:szCs w:val="20"/>
                <w:lang w:val="en-US" w:eastAsia="zh-CN"/>
              </w:rPr>
              <w:t>51.85</w:t>
            </w:r>
          </w:p>
        </w:tc>
        <w:tc>
          <w:tcPr>
            <w:tcW w:w="696" w:type="dxa"/>
            <w:noWrap w:val="0"/>
            <w:vAlign w:val="center"/>
          </w:tcPr>
          <w:p>
            <w:pPr>
              <w:spacing w:line="240" w:lineRule="exact"/>
              <w:jc w:val="center"/>
              <w:rPr>
                <w:rFonts w:hint="eastAsia" w:ascii="Times New Roman" w:hAnsi="Times New Roman" w:eastAsia="仿宋_GB2312" w:cs="Times New Roman"/>
                <w:b w:val="0"/>
                <w:bCs w:val="0"/>
                <w:color w:val="auto"/>
                <w:kern w:val="2"/>
                <w:sz w:val="20"/>
                <w:szCs w:val="20"/>
                <w:lang w:val="en-US" w:eastAsia="zh-CN" w:bidi="ar-SA"/>
              </w:rPr>
            </w:pPr>
            <w:r>
              <w:rPr>
                <w:rFonts w:ascii="Times New Roman" w:hAnsi="Times New Roman" w:eastAsia="仿宋_GB2312" w:cs="Times New Roman"/>
                <w:b w:val="0"/>
                <w:bCs w:val="0"/>
                <w:color w:val="auto"/>
                <w:sz w:val="20"/>
                <w:szCs w:val="20"/>
              </w:rPr>
              <w:t>10</w:t>
            </w:r>
          </w:p>
        </w:tc>
        <w:tc>
          <w:tcPr>
            <w:tcW w:w="717" w:type="dxa"/>
            <w:noWrap w:val="0"/>
            <w:vAlign w:val="center"/>
          </w:tcPr>
          <w:p>
            <w:pPr>
              <w:spacing w:line="240" w:lineRule="exact"/>
              <w:jc w:val="center"/>
              <w:rPr>
                <w:rFonts w:hint="eastAsia" w:ascii="Times New Roman" w:hAnsi="Times New Roman" w:eastAsia="仿宋_GB2312" w:cs="Times New Roman"/>
                <w:b w:val="0"/>
                <w:bCs w:val="0"/>
                <w:color w:val="auto"/>
                <w:kern w:val="2"/>
                <w:sz w:val="20"/>
                <w:szCs w:val="20"/>
                <w:lang w:val="en-US" w:eastAsia="zh-CN" w:bidi="ar-SA"/>
              </w:rPr>
            </w:pPr>
            <w:r>
              <w:rPr>
                <w:rFonts w:hint="eastAsia" w:ascii="Times New Roman" w:hAnsi="Times New Roman" w:eastAsia="仿宋_GB2312" w:cs="Times New Roman"/>
                <w:b w:val="0"/>
                <w:bCs w:val="0"/>
                <w:color w:val="auto"/>
                <w:sz w:val="20"/>
                <w:szCs w:val="20"/>
                <w:lang w:val="en-US" w:eastAsia="zh-CN"/>
              </w:rPr>
              <w:t>100%</w:t>
            </w:r>
          </w:p>
        </w:tc>
        <w:tc>
          <w:tcPr>
            <w:tcW w:w="1143" w:type="dxa"/>
            <w:noWrap w:val="0"/>
            <w:vAlign w:val="center"/>
          </w:tcPr>
          <w:p>
            <w:pPr>
              <w:spacing w:line="240" w:lineRule="exact"/>
              <w:jc w:val="center"/>
              <w:rPr>
                <w:rFonts w:hint="eastAsia" w:ascii="Times New Roman" w:hAnsi="Times New Roman" w:eastAsia="仿宋_GB2312" w:cs="Times New Roman"/>
                <w:b w:val="0"/>
                <w:bCs w:val="0"/>
                <w:color w:val="auto"/>
                <w:kern w:val="2"/>
                <w:sz w:val="20"/>
                <w:szCs w:val="20"/>
                <w:lang w:val="en-US" w:eastAsia="zh-CN" w:bidi="ar-SA"/>
              </w:rPr>
            </w:pPr>
            <w:r>
              <w:rPr>
                <w:rFonts w:hint="eastAsia" w:ascii="Times New Roman" w:hAnsi="Times New Roman" w:eastAsia="仿宋_GB2312" w:cs="Times New Roman"/>
                <w:b w:val="0"/>
                <w:bCs w:val="0"/>
                <w:color w:val="auto"/>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3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按收入性质分：</w:t>
            </w:r>
          </w:p>
        </w:tc>
        <w:tc>
          <w:tcPr>
            <w:tcW w:w="366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按支出性质分：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3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xml:space="preserve">  其中：  一般公共预算：</w:t>
            </w:r>
            <w:r>
              <w:rPr>
                <w:rFonts w:hint="eastAsia" w:ascii="Times New Roman" w:hAnsi="Times New Roman" w:eastAsia="仿宋_GB2312" w:cs="Times New Roman"/>
                <w:b w:val="0"/>
                <w:bCs w:val="0"/>
                <w:color w:val="auto"/>
                <w:sz w:val="20"/>
                <w:szCs w:val="20"/>
              </w:rPr>
              <w:t>4</w:t>
            </w:r>
            <w:r>
              <w:rPr>
                <w:rFonts w:hint="eastAsia" w:ascii="Times New Roman" w:hAnsi="Times New Roman" w:eastAsia="仿宋_GB2312" w:cs="Times New Roman"/>
                <w:b w:val="0"/>
                <w:bCs w:val="0"/>
                <w:color w:val="auto"/>
                <w:sz w:val="20"/>
                <w:szCs w:val="20"/>
                <w:lang w:val="en-US" w:eastAsia="zh-CN"/>
              </w:rPr>
              <w:t>51.85</w:t>
            </w:r>
          </w:p>
        </w:tc>
        <w:tc>
          <w:tcPr>
            <w:tcW w:w="3666" w:type="dxa"/>
            <w:gridSpan w:val="4"/>
            <w:noWrap w:val="0"/>
            <w:vAlign w:val="center"/>
          </w:tcPr>
          <w:p>
            <w:pPr>
              <w:widowControl/>
              <w:spacing w:line="240" w:lineRule="exact"/>
              <w:jc w:val="left"/>
              <w:rPr>
                <w:rFonts w:hint="eastAsia" w:ascii="仿宋" w:hAnsi="仿宋" w:eastAsia="仿宋" w:cs="仿宋"/>
                <w:b w:val="0"/>
                <w:bCs w:val="0"/>
                <w:color w:val="auto"/>
                <w:kern w:val="0"/>
                <w:sz w:val="20"/>
                <w:szCs w:val="20"/>
              </w:rPr>
            </w:pPr>
            <w:r>
              <w:rPr>
                <w:rFonts w:ascii="Times New Roman" w:hAnsi="Times New Roman" w:eastAsia="仿宋_GB2312" w:cs="Times New Roman"/>
                <w:b w:val="0"/>
                <w:bCs w:val="0"/>
                <w:color w:val="auto"/>
                <w:sz w:val="20"/>
                <w:szCs w:val="20"/>
              </w:rPr>
              <w:t>其中：基本支出：</w:t>
            </w:r>
            <w:r>
              <w:rPr>
                <w:rFonts w:hint="eastAsia" w:ascii="Times New Roman" w:hAnsi="Times New Roman" w:eastAsia="仿宋_GB2312" w:cs="Times New Roman"/>
                <w:b w:val="0"/>
                <w:bCs w:val="0"/>
                <w:color w:val="auto"/>
                <w:sz w:val="20"/>
                <w:szCs w:val="20"/>
                <w:lang w:val="en-US" w:eastAsia="zh-CN"/>
              </w:rPr>
              <w:t>361.76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3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政府性基金拨款：</w:t>
            </w:r>
          </w:p>
        </w:tc>
        <w:tc>
          <w:tcPr>
            <w:tcW w:w="3666" w:type="dxa"/>
            <w:gridSpan w:val="4"/>
            <w:noWrap w:val="0"/>
            <w:vAlign w:val="center"/>
          </w:tcPr>
          <w:p>
            <w:pPr>
              <w:widowControl/>
              <w:spacing w:line="240" w:lineRule="exact"/>
              <w:ind w:firstLine="600" w:firstLineChars="300"/>
              <w:jc w:val="left"/>
              <w:rPr>
                <w:rFonts w:hint="eastAsia" w:ascii="仿宋" w:hAnsi="仿宋" w:eastAsia="仿宋" w:cs="仿宋"/>
                <w:b w:val="0"/>
                <w:bCs w:val="0"/>
                <w:color w:val="auto"/>
                <w:kern w:val="0"/>
                <w:sz w:val="20"/>
                <w:szCs w:val="20"/>
              </w:rPr>
            </w:pPr>
            <w:r>
              <w:rPr>
                <w:rFonts w:ascii="Times New Roman" w:hAnsi="Times New Roman" w:eastAsia="仿宋_GB2312" w:cs="Times New Roman"/>
                <w:b w:val="0"/>
                <w:bCs w:val="0"/>
                <w:color w:val="auto"/>
                <w:sz w:val="20"/>
                <w:szCs w:val="20"/>
              </w:rPr>
              <w:t>项目支出：</w:t>
            </w:r>
            <w:r>
              <w:rPr>
                <w:rFonts w:hint="eastAsia" w:ascii="Times New Roman" w:hAnsi="Times New Roman" w:eastAsia="仿宋_GB2312" w:cs="Times New Roman"/>
                <w:b w:val="0"/>
                <w:bCs w:val="0"/>
                <w:color w:val="auto"/>
                <w:sz w:val="20"/>
                <w:szCs w:val="20"/>
                <w:lang w:val="en-US" w:eastAsia="zh-CN"/>
              </w:rPr>
              <w:t>90.09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3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66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3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66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73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66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38" w:type="dxa"/>
            <w:gridSpan w:val="5"/>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老干所</w:t>
            </w:r>
            <w:r>
              <w:rPr>
                <w:rFonts w:hint="eastAsia" w:ascii="Times New Roman" w:hAnsi="Times New Roman" w:eastAsia="仿宋_GB2312" w:cs="Times New Roman"/>
                <w:color w:val="000000"/>
                <w:sz w:val="20"/>
                <w:szCs w:val="20"/>
              </w:rPr>
              <w:t>坚持以习近平</w:t>
            </w:r>
            <w:r>
              <w:rPr>
                <w:rFonts w:hint="eastAsia" w:ascii="Times New Roman" w:hAnsi="Times New Roman" w:eastAsia="仿宋_GB2312" w:cs="Times New Roman"/>
                <w:color w:val="000000"/>
                <w:sz w:val="20"/>
                <w:szCs w:val="20"/>
                <w:lang w:eastAsia="zh-CN"/>
              </w:rPr>
              <w:t>新时代中国特色社会主义思想</w:t>
            </w:r>
            <w:r>
              <w:rPr>
                <w:rFonts w:hint="eastAsia" w:ascii="Times New Roman" w:hAnsi="Times New Roman" w:eastAsia="仿宋_GB2312" w:cs="Times New Roman"/>
                <w:color w:val="000000"/>
                <w:sz w:val="20"/>
                <w:szCs w:val="20"/>
              </w:rPr>
              <w:t>和</w:t>
            </w:r>
            <w:r>
              <w:rPr>
                <w:rFonts w:hint="eastAsia" w:ascii="Times New Roman" w:hAnsi="Times New Roman" w:eastAsia="仿宋_GB2312" w:cs="Times New Roman"/>
                <w:color w:val="000000"/>
                <w:sz w:val="20"/>
                <w:szCs w:val="20"/>
                <w:lang w:eastAsia="zh-CN"/>
              </w:rPr>
              <w:t>党的</w:t>
            </w:r>
            <w:r>
              <w:rPr>
                <w:rFonts w:hint="eastAsia" w:ascii="Times New Roman" w:hAnsi="Times New Roman" w:eastAsia="仿宋_GB2312" w:cs="Times New Roman"/>
                <w:color w:val="000000"/>
                <w:sz w:val="20"/>
                <w:szCs w:val="20"/>
              </w:rPr>
              <w:t>十</w:t>
            </w:r>
            <w:r>
              <w:rPr>
                <w:rFonts w:hint="eastAsia" w:ascii="Times New Roman" w:hAnsi="Times New Roman" w:eastAsia="仿宋_GB2312" w:cs="Times New Roman"/>
                <w:color w:val="000000"/>
                <w:sz w:val="20"/>
                <w:szCs w:val="20"/>
                <w:lang w:eastAsia="zh-CN"/>
              </w:rPr>
              <w:t>九大精神为指</w:t>
            </w:r>
            <w:r>
              <w:rPr>
                <w:rFonts w:hint="eastAsia" w:ascii="Times New Roman" w:hAnsi="Times New Roman" w:eastAsia="仿宋_GB2312" w:cs="Times New Roman"/>
                <w:color w:val="000000"/>
                <w:sz w:val="20"/>
                <w:szCs w:val="20"/>
              </w:rPr>
              <w:t>导，以“让党</w:t>
            </w:r>
            <w:r>
              <w:rPr>
                <w:rFonts w:hint="eastAsia" w:ascii="Times New Roman" w:hAnsi="Times New Roman" w:eastAsia="仿宋_GB2312" w:cs="Times New Roman"/>
                <w:color w:val="000000"/>
                <w:sz w:val="20"/>
                <w:szCs w:val="20"/>
                <w:lang w:eastAsia="zh-CN"/>
              </w:rPr>
              <w:t>组织</w:t>
            </w:r>
            <w:r>
              <w:rPr>
                <w:rFonts w:hint="eastAsia" w:ascii="Times New Roman" w:hAnsi="Times New Roman" w:eastAsia="仿宋_GB2312" w:cs="Times New Roman"/>
                <w:color w:val="000000"/>
                <w:sz w:val="20"/>
                <w:szCs w:val="20"/>
              </w:rPr>
              <w:t>放心，让老同志满意”为目标，</w:t>
            </w:r>
            <w:r>
              <w:rPr>
                <w:rFonts w:hint="eastAsia" w:ascii="Times New Roman" w:hAnsi="Times New Roman" w:eastAsia="仿宋_GB2312" w:cs="Times New Roman"/>
                <w:color w:val="000000"/>
                <w:sz w:val="20"/>
                <w:szCs w:val="20"/>
                <w:lang w:eastAsia="zh-CN"/>
              </w:rPr>
              <w:t>以党支部“五化”建设标准为规范，</w:t>
            </w:r>
            <w:r>
              <w:rPr>
                <w:rFonts w:hint="eastAsia" w:ascii="Times New Roman" w:hAnsi="Times New Roman" w:eastAsia="仿宋_GB2312" w:cs="Times New Roman"/>
                <w:color w:val="000000"/>
                <w:sz w:val="20"/>
                <w:szCs w:val="20"/>
              </w:rPr>
              <w:t>不断加强思想政治建设和组织建设，发挥老同志的示范引领作用。</w:t>
            </w:r>
          </w:p>
        </w:tc>
        <w:tc>
          <w:tcPr>
            <w:tcW w:w="3666" w:type="dxa"/>
            <w:gridSpan w:val="4"/>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 xml:space="preserve">  </w:t>
            </w:r>
            <w:r>
              <w:rPr>
                <w:rFonts w:hint="eastAsia" w:ascii="Times New Roman" w:hAnsi="Times New Roman" w:eastAsia="仿宋_GB2312" w:cs="Times New Roman"/>
                <w:color w:val="000000"/>
                <w:sz w:val="20"/>
                <w:szCs w:val="20"/>
                <w:lang w:eastAsia="zh-CN"/>
              </w:rPr>
              <w:t>老干所</w:t>
            </w:r>
            <w:r>
              <w:rPr>
                <w:rFonts w:hint="eastAsia" w:ascii="Times New Roman" w:hAnsi="Times New Roman" w:eastAsia="仿宋_GB2312" w:cs="Times New Roman"/>
                <w:color w:val="000000"/>
                <w:sz w:val="20"/>
                <w:szCs w:val="20"/>
              </w:rPr>
              <w:t>坚持以习近平</w:t>
            </w:r>
            <w:r>
              <w:rPr>
                <w:rFonts w:hint="eastAsia" w:ascii="Times New Roman" w:hAnsi="Times New Roman" w:eastAsia="仿宋_GB2312" w:cs="Times New Roman"/>
                <w:color w:val="000000"/>
                <w:sz w:val="20"/>
                <w:szCs w:val="20"/>
                <w:lang w:eastAsia="zh-CN"/>
              </w:rPr>
              <w:t>新时代中国特色社会主义思想</w:t>
            </w:r>
            <w:r>
              <w:rPr>
                <w:rFonts w:hint="eastAsia" w:ascii="Times New Roman" w:hAnsi="Times New Roman" w:eastAsia="仿宋_GB2312" w:cs="Times New Roman"/>
                <w:color w:val="000000"/>
                <w:sz w:val="20"/>
                <w:szCs w:val="20"/>
              </w:rPr>
              <w:t>和</w:t>
            </w:r>
            <w:r>
              <w:rPr>
                <w:rFonts w:hint="eastAsia" w:ascii="Times New Roman" w:hAnsi="Times New Roman" w:eastAsia="仿宋_GB2312" w:cs="Times New Roman"/>
                <w:color w:val="000000"/>
                <w:sz w:val="20"/>
                <w:szCs w:val="20"/>
                <w:lang w:eastAsia="zh-CN"/>
              </w:rPr>
              <w:t>党的</w:t>
            </w:r>
            <w:r>
              <w:rPr>
                <w:rFonts w:hint="eastAsia" w:ascii="Times New Roman" w:hAnsi="Times New Roman" w:eastAsia="仿宋_GB2312" w:cs="Times New Roman"/>
                <w:color w:val="000000"/>
                <w:sz w:val="20"/>
                <w:szCs w:val="20"/>
              </w:rPr>
              <w:t>十</w:t>
            </w:r>
            <w:r>
              <w:rPr>
                <w:rFonts w:hint="eastAsia" w:ascii="Times New Roman" w:hAnsi="Times New Roman" w:eastAsia="仿宋_GB2312" w:cs="Times New Roman"/>
                <w:color w:val="000000"/>
                <w:sz w:val="20"/>
                <w:szCs w:val="20"/>
                <w:lang w:eastAsia="zh-CN"/>
              </w:rPr>
              <w:t>九大精神为指</w:t>
            </w:r>
            <w:r>
              <w:rPr>
                <w:rFonts w:hint="eastAsia" w:ascii="Times New Roman" w:hAnsi="Times New Roman" w:eastAsia="仿宋_GB2312" w:cs="Times New Roman"/>
                <w:color w:val="000000"/>
                <w:sz w:val="20"/>
                <w:szCs w:val="20"/>
              </w:rPr>
              <w:t>导，以“让党</w:t>
            </w:r>
            <w:r>
              <w:rPr>
                <w:rFonts w:hint="eastAsia" w:ascii="Times New Roman" w:hAnsi="Times New Roman" w:eastAsia="仿宋_GB2312" w:cs="Times New Roman"/>
                <w:color w:val="000000"/>
                <w:sz w:val="20"/>
                <w:szCs w:val="20"/>
                <w:lang w:eastAsia="zh-CN"/>
              </w:rPr>
              <w:t>组织</w:t>
            </w:r>
            <w:r>
              <w:rPr>
                <w:rFonts w:hint="eastAsia" w:ascii="Times New Roman" w:hAnsi="Times New Roman" w:eastAsia="仿宋_GB2312" w:cs="Times New Roman"/>
                <w:color w:val="000000"/>
                <w:sz w:val="20"/>
                <w:szCs w:val="20"/>
              </w:rPr>
              <w:t>放心，让老同志满意”为目标，</w:t>
            </w:r>
            <w:r>
              <w:rPr>
                <w:rFonts w:hint="eastAsia" w:ascii="Times New Roman" w:hAnsi="Times New Roman" w:eastAsia="仿宋_GB2312" w:cs="Times New Roman"/>
                <w:color w:val="000000"/>
                <w:sz w:val="20"/>
                <w:szCs w:val="20"/>
                <w:lang w:eastAsia="zh-CN"/>
              </w:rPr>
              <w:t>以党支部“五化”建设标准为规范，</w:t>
            </w:r>
            <w:r>
              <w:rPr>
                <w:rFonts w:hint="eastAsia" w:ascii="Times New Roman" w:hAnsi="Times New Roman" w:eastAsia="仿宋_GB2312" w:cs="Times New Roman"/>
                <w:color w:val="000000"/>
                <w:sz w:val="20"/>
                <w:szCs w:val="20"/>
              </w:rPr>
              <w:t>不断加强思想政治建设和组织建设，发挥老同志的示范引领作用。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8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479"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04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71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43"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2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18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479" w:type="dxa"/>
            <w:gridSpan w:val="2"/>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eastAsia="zh-CN"/>
              </w:rPr>
              <w:t>主题党日活动</w:t>
            </w:r>
          </w:p>
        </w:tc>
        <w:tc>
          <w:tcPr>
            <w:tcW w:w="1047"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每月一次</w:t>
            </w:r>
          </w:p>
        </w:tc>
        <w:tc>
          <w:tcPr>
            <w:tcW w:w="1110"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每月一次</w:t>
            </w:r>
          </w:p>
        </w:tc>
        <w:tc>
          <w:tcPr>
            <w:tcW w:w="696"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10</w:t>
            </w:r>
          </w:p>
        </w:tc>
        <w:tc>
          <w:tcPr>
            <w:tcW w:w="717"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10</w:t>
            </w:r>
          </w:p>
        </w:tc>
        <w:tc>
          <w:tcPr>
            <w:tcW w:w="114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2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8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79" w:type="dxa"/>
            <w:gridSpan w:val="2"/>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bidi="ar-SA"/>
              </w:rPr>
              <w:t>老干部的全面体检</w:t>
            </w:r>
          </w:p>
        </w:tc>
        <w:tc>
          <w:tcPr>
            <w:tcW w:w="1047"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bidi="ar-SA"/>
              </w:rPr>
              <w:t>一次</w:t>
            </w:r>
          </w:p>
        </w:tc>
        <w:tc>
          <w:tcPr>
            <w:tcW w:w="1110"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一次</w:t>
            </w:r>
          </w:p>
        </w:tc>
        <w:tc>
          <w:tcPr>
            <w:tcW w:w="696"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10</w:t>
            </w:r>
          </w:p>
        </w:tc>
        <w:tc>
          <w:tcPr>
            <w:tcW w:w="717"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10</w:t>
            </w:r>
          </w:p>
        </w:tc>
        <w:tc>
          <w:tcPr>
            <w:tcW w:w="114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2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8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79" w:type="dxa"/>
            <w:gridSpan w:val="2"/>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rPr>
              <w:t>党员大会</w:t>
            </w:r>
          </w:p>
        </w:tc>
        <w:tc>
          <w:tcPr>
            <w:tcW w:w="1047"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每季一次</w:t>
            </w:r>
          </w:p>
        </w:tc>
        <w:tc>
          <w:tcPr>
            <w:tcW w:w="1110"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每季一次</w:t>
            </w:r>
          </w:p>
        </w:tc>
        <w:tc>
          <w:tcPr>
            <w:tcW w:w="696"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10</w:t>
            </w:r>
          </w:p>
        </w:tc>
        <w:tc>
          <w:tcPr>
            <w:tcW w:w="717"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10</w:t>
            </w:r>
          </w:p>
        </w:tc>
        <w:tc>
          <w:tcPr>
            <w:tcW w:w="114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2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8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479" w:type="dxa"/>
            <w:gridSpan w:val="2"/>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各类活动方案</w:t>
            </w:r>
          </w:p>
        </w:tc>
        <w:tc>
          <w:tcPr>
            <w:tcW w:w="1047"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周密</w:t>
            </w:r>
          </w:p>
        </w:tc>
        <w:tc>
          <w:tcPr>
            <w:tcW w:w="1110"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周密</w:t>
            </w:r>
          </w:p>
        </w:tc>
        <w:tc>
          <w:tcPr>
            <w:tcW w:w="696"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5</w:t>
            </w:r>
          </w:p>
        </w:tc>
        <w:tc>
          <w:tcPr>
            <w:tcW w:w="717"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5</w:t>
            </w:r>
          </w:p>
        </w:tc>
        <w:tc>
          <w:tcPr>
            <w:tcW w:w="114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2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8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79" w:type="dxa"/>
            <w:gridSpan w:val="2"/>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乡村振兴工作</w:t>
            </w:r>
          </w:p>
        </w:tc>
        <w:tc>
          <w:tcPr>
            <w:tcW w:w="1047"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达标</w:t>
            </w:r>
          </w:p>
        </w:tc>
        <w:tc>
          <w:tcPr>
            <w:tcW w:w="1110"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达标</w:t>
            </w:r>
          </w:p>
        </w:tc>
        <w:tc>
          <w:tcPr>
            <w:tcW w:w="696"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5</w:t>
            </w:r>
          </w:p>
        </w:tc>
        <w:tc>
          <w:tcPr>
            <w:tcW w:w="717"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5</w:t>
            </w:r>
          </w:p>
        </w:tc>
        <w:tc>
          <w:tcPr>
            <w:tcW w:w="114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2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8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479"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9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1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2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8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479" w:type="dxa"/>
            <w:gridSpan w:val="2"/>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三公经费</w:t>
            </w:r>
          </w:p>
        </w:tc>
        <w:tc>
          <w:tcPr>
            <w:tcW w:w="1047"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降低</w:t>
            </w:r>
          </w:p>
        </w:tc>
        <w:tc>
          <w:tcPr>
            <w:tcW w:w="1110"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降低</w:t>
            </w:r>
          </w:p>
        </w:tc>
        <w:tc>
          <w:tcPr>
            <w:tcW w:w="696"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10</w:t>
            </w:r>
          </w:p>
        </w:tc>
        <w:tc>
          <w:tcPr>
            <w:tcW w:w="717" w:type="dxa"/>
            <w:noWrap w:val="0"/>
            <w:vAlign w:val="center"/>
          </w:tcPr>
          <w:p>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lang w:val="en-US" w:eastAsia="zh-CN"/>
              </w:rPr>
              <w:t>10</w:t>
            </w:r>
          </w:p>
        </w:tc>
        <w:tc>
          <w:tcPr>
            <w:tcW w:w="114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2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18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79"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9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1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2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8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79" w:type="dxa"/>
            <w:gridSpan w:val="2"/>
            <w:noWrap w:val="0"/>
            <w:vAlign w:val="center"/>
          </w:tcPr>
          <w:p>
            <w:pPr>
              <w:widowControl/>
              <w:spacing w:line="240" w:lineRule="exact"/>
              <w:jc w:val="center"/>
              <w:rPr>
                <w:rFonts w:hint="eastAsia" w:ascii="仿宋" w:hAnsi="仿宋" w:eastAsia="仿宋" w:cs="仿宋"/>
                <w:color w:val="000000"/>
                <w:kern w:val="0"/>
                <w:sz w:val="20"/>
                <w:szCs w:val="20"/>
              </w:rPr>
            </w:pPr>
            <w:r>
              <w:rPr>
                <w:rFonts w:hint="default" w:ascii="Times New Roman" w:hAnsi="Times New Roman" w:eastAsia="仿宋_GB2312" w:cs="Times New Roman"/>
                <w:color w:val="000000"/>
                <w:sz w:val="20"/>
                <w:szCs w:val="20"/>
              </w:rPr>
              <w:t>提高</w:t>
            </w:r>
            <w:r>
              <w:rPr>
                <w:rFonts w:hint="default" w:ascii="Times New Roman" w:hAnsi="Times New Roman" w:eastAsia="仿宋_GB2312" w:cs="Times New Roman"/>
                <w:color w:val="000000"/>
                <w:sz w:val="20"/>
                <w:szCs w:val="20"/>
                <w:lang w:eastAsia="zh-CN"/>
              </w:rPr>
              <w:t>离退休干部的幸福指数</w:t>
            </w:r>
          </w:p>
        </w:tc>
        <w:tc>
          <w:tcPr>
            <w:tcW w:w="1047" w:type="dxa"/>
            <w:noWrap w:val="0"/>
            <w:vAlign w:val="center"/>
          </w:tcPr>
          <w:p>
            <w:pPr>
              <w:widowControl/>
              <w:spacing w:line="240" w:lineRule="exact"/>
              <w:jc w:val="center"/>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反响良好</w:t>
            </w:r>
          </w:p>
        </w:tc>
        <w:tc>
          <w:tcPr>
            <w:tcW w:w="1110" w:type="dxa"/>
            <w:noWrap w:val="0"/>
            <w:vAlign w:val="center"/>
          </w:tcPr>
          <w:p>
            <w:pPr>
              <w:widowControl/>
              <w:spacing w:line="240" w:lineRule="exact"/>
              <w:jc w:val="center"/>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反响良好</w:t>
            </w:r>
          </w:p>
        </w:tc>
        <w:tc>
          <w:tcPr>
            <w:tcW w:w="696" w:type="dxa"/>
            <w:noWrap w:val="0"/>
            <w:vAlign w:val="center"/>
          </w:tcPr>
          <w:p>
            <w:pPr>
              <w:widowControl/>
              <w:spacing w:line="240" w:lineRule="exact"/>
              <w:jc w:val="center"/>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15</w:t>
            </w:r>
          </w:p>
        </w:tc>
        <w:tc>
          <w:tcPr>
            <w:tcW w:w="717" w:type="dxa"/>
            <w:noWrap w:val="0"/>
            <w:vAlign w:val="center"/>
          </w:tcPr>
          <w:p>
            <w:pPr>
              <w:widowControl/>
              <w:spacing w:line="240" w:lineRule="exact"/>
              <w:jc w:val="center"/>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15</w:t>
            </w:r>
          </w:p>
        </w:tc>
        <w:tc>
          <w:tcPr>
            <w:tcW w:w="114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2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8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79" w:type="dxa"/>
            <w:gridSpan w:val="2"/>
            <w:noWrap w:val="0"/>
            <w:vAlign w:val="center"/>
          </w:tcPr>
          <w:p>
            <w:pPr>
              <w:widowControl/>
              <w:spacing w:line="240" w:lineRule="exact"/>
              <w:jc w:val="center"/>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老年组织运转</w:t>
            </w:r>
          </w:p>
        </w:tc>
        <w:tc>
          <w:tcPr>
            <w:tcW w:w="1047" w:type="dxa"/>
            <w:noWrap w:val="0"/>
            <w:vAlign w:val="center"/>
          </w:tcPr>
          <w:p>
            <w:pPr>
              <w:widowControl/>
              <w:spacing w:line="240" w:lineRule="exact"/>
              <w:jc w:val="center"/>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运转良好</w:t>
            </w:r>
          </w:p>
        </w:tc>
        <w:tc>
          <w:tcPr>
            <w:tcW w:w="1110" w:type="dxa"/>
            <w:noWrap w:val="0"/>
            <w:vAlign w:val="center"/>
          </w:tcPr>
          <w:p>
            <w:pPr>
              <w:widowControl/>
              <w:spacing w:line="240" w:lineRule="exact"/>
              <w:jc w:val="center"/>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运转良好</w:t>
            </w:r>
          </w:p>
        </w:tc>
        <w:tc>
          <w:tcPr>
            <w:tcW w:w="696" w:type="dxa"/>
            <w:noWrap w:val="0"/>
            <w:vAlign w:val="center"/>
          </w:tcPr>
          <w:p>
            <w:pPr>
              <w:widowControl/>
              <w:spacing w:line="240" w:lineRule="exact"/>
              <w:jc w:val="center"/>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15</w:t>
            </w:r>
          </w:p>
        </w:tc>
        <w:tc>
          <w:tcPr>
            <w:tcW w:w="717" w:type="dxa"/>
            <w:noWrap w:val="0"/>
            <w:vAlign w:val="center"/>
          </w:tcPr>
          <w:p>
            <w:pPr>
              <w:widowControl/>
              <w:spacing w:line="240" w:lineRule="exact"/>
              <w:jc w:val="center"/>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15</w:t>
            </w:r>
          </w:p>
        </w:tc>
        <w:tc>
          <w:tcPr>
            <w:tcW w:w="114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2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8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79"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9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1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2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8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479"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9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1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18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479" w:type="dxa"/>
            <w:gridSpan w:val="2"/>
            <w:noWrap w:val="0"/>
            <w:vAlign w:val="center"/>
          </w:tcPr>
          <w:p>
            <w:pPr>
              <w:widowControl/>
              <w:spacing w:line="240" w:lineRule="exact"/>
              <w:jc w:val="center"/>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离退休老干部满意度</w:t>
            </w:r>
          </w:p>
        </w:tc>
        <w:tc>
          <w:tcPr>
            <w:tcW w:w="1047" w:type="dxa"/>
            <w:noWrap w:val="0"/>
            <w:vAlign w:val="center"/>
          </w:tcPr>
          <w:p>
            <w:pPr>
              <w:widowControl/>
              <w:spacing w:line="240" w:lineRule="exact"/>
              <w:jc w:val="center"/>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&gt;95%</w:t>
            </w:r>
          </w:p>
        </w:tc>
        <w:tc>
          <w:tcPr>
            <w:tcW w:w="1110" w:type="dxa"/>
            <w:noWrap w:val="0"/>
            <w:vAlign w:val="center"/>
          </w:tcPr>
          <w:p>
            <w:pPr>
              <w:widowControl/>
              <w:spacing w:line="240" w:lineRule="exact"/>
              <w:jc w:val="center"/>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98%</w:t>
            </w:r>
          </w:p>
        </w:tc>
        <w:tc>
          <w:tcPr>
            <w:tcW w:w="696" w:type="dxa"/>
            <w:noWrap w:val="0"/>
            <w:vAlign w:val="center"/>
          </w:tcPr>
          <w:p>
            <w:pPr>
              <w:widowControl/>
              <w:spacing w:line="240" w:lineRule="exact"/>
              <w:jc w:val="center"/>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10</w:t>
            </w:r>
          </w:p>
        </w:tc>
        <w:tc>
          <w:tcPr>
            <w:tcW w:w="717" w:type="dxa"/>
            <w:noWrap w:val="0"/>
            <w:vAlign w:val="center"/>
          </w:tcPr>
          <w:p>
            <w:pPr>
              <w:widowControl/>
              <w:spacing w:line="240" w:lineRule="exact"/>
              <w:jc w:val="center"/>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10</w:t>
            </w:r>
          </w:p>
        </w:tc>
        <w:tc>
          <w:tcPr>
            <w:tcW w:w="114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6"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71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张亚枚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2024年6月19日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15869940577</w:t>
      </w:r>
    </w:p>
    <w:sectPr>
      <w:footerReference r:id="rId3" w:type="default"/>
      <w:pgSz w:w="11906" w:h="16838"/>
      <w:pgMar w:top="2098" w:right="1531" w:bottom="1871" w:left="153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auto"/>
    <w:pitch w:val="default"/>
    <w:sig w:usb0="00000000" w:usb1="00000000" w:usb2="00000009" w:usb3="00000000" w:csb0="200001FF" w:csb1="00000000"/>
  </w:font>
  <w:font w:name="楷体_GB2312">
    <w:altName w:val="方正楷体_GBK"/>
    <w:panose1 w:val="02010609030101010101"/>
    <w:charset w:val="86"/>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779594"/>
    <w:multiLevelType w:val="singleLevel"/>
    <w:tmpl w:val="7F779594"/>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zNDNmZGY5ODE4YTVlYjYxZjc0MjRkNGFmZDRkY2UifQ=="/>
    <w:docVar w:name="KSO_WPS_MARK_KEY" w:val="9920a277-c0c3-43b4-93d3-1636fe398e0b"/>
  </w:docVars>
  <w:rsids>
    <w:rsidRoot w:val="753C4E9B"/>
    <w:rsid w:val="037434B5"/>
    <w:rsid w:val="046F014E"/>
    <w:rsid w:val="05B6378A"/>
    <w:rsid w:val="05E95AA6"/>
    <w:rsid w:val="064E1CFC"/>
    <w:rsid w:val="076FA153"/>
    <w:rsid w:val="0885555B"/>
    <w:rsid w:val="09AB595F"/>
    <w:rsid w:val="09FDC805"/>
    <w:rsid w:val="0C180A78"/>
    <w:rsid w:val="0C9F6CCE"/>
    <w:rsid w:val="0CFA14D3"/>
    <w:rsid w:val="0D276746"/>
    <w:rsid w:val="0D464D9C"/>
    <w:rsid w:val="0DD52794"/>
    <w:rsid w:val="0E956870"/>
    <w:rsid w:val="1027560F"/>
    <w:rsid w:val="10AF020D"/>
    <w:rsid w:val="10C666A5"/>
    <w:rsid w:val="1109206A"/>
    <w:rsid w:val="1223366A"/>
    <w:rsid w:val="12EEEFD8"/>
    <w:rsid w:val="12FF586A"/>
    <w:rsid w:val="13554B37"/>
    <w:rsid w:val="13E3108A"/>
    <w:rsid w:val="143877FD"/>
    <w:rsid w:val="165939E2"/>
    <w:rsid w:val="18683002"/>
    <w:rsid w:val="19984BCA"/>
    <w:rsid w:val="19E805B2"/>
    <w:rsid w:val="1CA42301"/>
    <w:rsid w:val="1D79396D"/>
    <w:rsid w:val="1D80558B"/>
    <w:rsid w:val="1E566F23"/>
    <w:rsid w:val="1FFA2CE8"/>
    <w:rsid w:val="22FE234B"/>
    <w:rsid w:val="25D84499"/>
    <w:rsid w:val="277E6F02"/>
    <w:rsid w:val="27DB1F08"/>
    <w:rsid w:val="28EB332A"/>
    <w:rsid w:val="28FEC6CB"/>
    <w:rsid w:val="29093B6B"/>
    <w:rsid w:val="29990575"/>
    <w:rsid w:val="29F4787C"/>
    <w:rsid w:val="2A5E7C6A"/>
    <w:rsid w:val="2A7A17FA"/>
    <w:rsid w:val="2A9F67FB"/>
    <w:rsid w:val="2AF6742D"/>
    <w:rsid w:val="2AFFA251"/>
    <w:rsid w:val="2B3EC81A"/>
    <w:rsid w:val="2BDEB276"/>
    <w:rsid w:val="2C6F32C5"/>
    <w:rsid w:val="2C9F203F"/>
    <w:rsid w:val="2D3B43DD"/>
    <w:rsid w:val="2E1F1DAD"/>
    <w:rsid w:val="2E6D0028"/>
    <w:rsid w:val="2E833798"/>
    <w:rsid w:val="2E9B7978"/>
    <w:rsid w:val="2EEE17F9"/>
    <w:rsid w:val="2F7C3000"/>
    <w:rsid w:val="2FD4DC0C"/>
    <w:rsid w:val="300F2CA5"/>
    <w:rsid w:val="30A8052A"/>
    <w:rsid w:val="312A2265"/>
    <w:rsid w:val="31FBF7BA"/>
    <w:rsid w:val="338151E0"/>
    <w:rsid w:val="33FE2F11"/>
    <w:rsid w:val="347F2A9E"/>
    <w:rsid w:val="34A12FC4"/>
    <w:rsid w:val="35085688"/>
    <w:rsid w:val="367E8E35"/>
    <w:rsid w:val="36A3724B"/>
    <w:rsid w:val="36BF43EE"/>
    <w:rsid w:val="36FC0F5D"/>
    <w:rsid w:val="375773F8"/>
    <w:rsid w:val="37FC6E9A"/>
    <w:rsid w:val="37FE76AC"/>
    <w:rsid w:val="393A66B6"/>
    <w:rsid w:val="393E32BB"/>
    <w:rsid w:val="3978031E"/>
    <w:rsid w:val="397BCBE1"/>
    <w:rsid w:val="398F5B81"/>
    <w:rsid w:val="399B6035"/>
    <w:rsid w:val="3ABFE605"/>
    <w:rsid w:val="3AE75A35"/>
    <w:rsid w:val="3B7AAD30"/>
    <w:rsid w:val="3BE6C936"/>
    <w:rsid w:val="3C415BCC"/>
    <w:rsid w:val="3D5F9E9A"/>
    <w:rsid w:val="3D660E34"/>
    <w:rsid w:val="3DEF26FC"/>
    <w:rsid w:val="3DEFAC9E"/>
    <w:rsid w:val="3EFD0237"/>
    <w:rsid w:val="3EFD6369"/>
    <w:rsid w:val="3EFDBD1D"/>
    <w:rsid w:val="3F2A9A67"/>
    <w:rsid w:val="3F3B2F63"/>
    <w:rsid w:val="3F7ADAF9"/>
    <w:rsid w:val="3F80773F"/>
    <w:rsid w:val="3FBFE798"/>
    <w:rsid w:val="3FD7222D"/>
    <w:rsid w:val="3FEF695D"/>
    <w:rsid w:val="3FF7095B"/>
    <w:rsid w:val="3FFF6F32"/>
    <w:rsid w:val="3FFFFC4F"/>
    <w:rsid w:val="419B2857"/>
    <w:rsid w:val="41D71DA8"/>
    <w:rsid w:val="428A7A8B"/>
    <w:rsid w:val="436B15F0"/>
    <w:rsid w:val="43D02F28"/>
    <w:rsid w:val="44A52F62"/>
    <w:rsid w:val="4539250D"/>
    <w:rsid w:val="453F7D70"/>
    <w:rsid w:val="45E36D34"/>
    <w:rsid w:val="46C83973"/>
    <w:rsid w:val="46F73BBD"/>
    <w:rsid w:val="46FDBEE0"/>
    <w:rsid w:val="46FE75B1"/>
    <w:rsid w:val="47FB9FE6"/>
    <w:rsid w:val="48750D47"/>
    <w:rsid w:val="499552B9"/>
    <w:rsid w:val="4B3D4A08"/>
    <w:rsid w:val="4BB166A7"/>
    <w:rsid w:val="4BE07617"/>
    <w:rsid w:val="4C293B9E"/>
    <w:rsid w:val="4C6611ED"/>
    <w:rsid w:val="4D324064"/>
    <w:rsid w:val="4DDA4D7E"/>
    <w:rsid w:val="4E5DB249"/>
    <w:rsid w:val="4F320FD1"/>
    <w:rsid w:val="4FAA73DF"/>
    <w:rsid w:val="4FBF9847"/>
    <w:rsid w:val="4FDD6A57"/>
    <w:rsid w:val="4FF7B9DE"/>
    <w:rsid w:val="4FFE6B7D"/>
    <w:rsid w:val="4FFF52A0"/>
    <w:rsid w:val="52954530"/>
    <w:rsid w:val="52CB6C8B"/>
    <w:rsid w:val="54EF53A9"/>
    <w:rsid w:val="552A0475"/>
    <w:rsid w:val="55FF38C6"/>
    <w:rsid w:val="575CBDAD"/>
    <w:rsid w:val="578D10CB"/>
    <w:rsid w:val="57BC29D3"/>
    <w:rsid w:val="57F7EDDE"/>
    <w:rsid w:val="57FBA885"/>
    <w:rsid w:val="57FBE508"/>
    <w:rsid w:val="58743D9A"/>
    <w:rsid w:val="59FB7ECF"/>
    <w:rsid w:val="5A5915AC"/>
    <w:rsid w:val="5B7F1B12"/>
    <w:rsid w:val="5BF37FBE"/>
    <w:rsid w:val="5BFF77E9"/>
    <w:rsid w:val="5CD3692D"/>
    <w:rsid w:val="5CFCF394"/>
    <w:rsid w:val="5D081B3F"/>
    <w:rsid w:val="5D2677C2"/>
    <w:rsid w:val="5D753E66"/>
    <w:rsid w:val="5D77D7E9"/>
    <w:rsid w:val="5DFE4C3F"/>
    <w:rsid w:val="5EBFD75F"/>
    <w:rsid w:val="5EF3FF98"/>
    <w:rsid w:val="5F7E3719"/>
    <w:rsid w:val="5FBC514C"/>
    <w:rsid w:val="5FBE7DB0"/>
    <w:rsid w:val="5FCFB7A3"/>
    <w:rsid w:val="5FDBECC4"/>
    <w:rsid w:val="5FDF439C"/>
    <w:rsid w:val="5FF3191D"/>
    <w:rsid w:val="5FF7A860"/>
    <w:rsid w:val="5FFF00DD"/>
    <w:rsid w:val="5FFF027C"/>
    <w:rsid w:val="5FFF7617"/>
    <w:rsid w:val="60DB3948"/>
    <w:rsid w:val="613D648B"/>
    <w:rsid w:val="62CA4EBC"/>
    <w:rsid w:val="64DF90D9"/>
    <w:rsid w:val="65BCBB6A"/>
    <w:rsid w:val="65DDCBE3"/>
    <w:rsid w:val="67225F16"/>
    <w:rsid w:val="67E5FBCF"/>
    <w:rsid w:val="6A12486A"/>
    <w:rsid w:val="6AFE495B"/>
    <w:rsid w:val="6BB71EEE"/>
    <w:rsid w:val="6BDF9D6E"/>
    <w:rsid w:val="6BE25C87"/>
    <w:rsid w:val="6BF7F7BC"/>
    <w:rsid w:val="6BFB2ECD"/>
    <w:rsid w:val="6C276DFE"/>
    <w:rsid w:val="6CD25016"/>
    <w:rsid w:val="6CFFAB2E"/>
    <w:rsid w:val="6D3BB11F"/>
    <w:rsid w:val="6DC72E25"/>
    <w:rsid w:val="6DEFA726"/>
    <w:rsid w:val="6E63CA31"/>
    <w:rsid w:val="6EEAD62E"/>
    <w:rsid w:val="6EED6B3E"/>
    <w:rsid w:val="6EEFF8F1"/>
    <w:rsid w:val="6EFF55AE"/>
    <w:rsid w:val="6F3F63B9"/>
    <w:rsid w:val="6F8ADBD5"/>
    <w:rsid w:val="6FBDC70D"/>
    <w:rsid w:val="6FDB35A5"/>
    <w:rsid w:val="6FDDB5AE"/>
    <w:rsid w:val="6FE72E7B"/>
    <w:rsid w:val="6FE77A28"/>
    <w:rsid w:val="6FF604CD"/>
    <w:rsid w:val="6FF63518"/>
    <w:rsid w:val="6FF731C1"/>
    <w:rsid w:val="6FFA19D6"/>
    <w:rsid w:val="6FFFDE0A"/>
    <w:rsid w:val="70307CB1"/>
    <w:rsid w:val="711868DE"/>
    <w:rsid w:val="72360E20"/>
    <w:rsid w:val="724C1550"/>
    <w:rsid w:val="725F7B7A"/>
    <w:rsid w:val="72F7FFE8"/>
    <w:rsid w:val="736F9DBE"/>
    <w:rsid w:val="73A67C82"/>
    <w:rsid w:val="73B35B5F"/>
    <w:rsid w:val="73C452DB"/>
    <w:rsid w:val="73F23FB7"/>
    <w:rsid w:val="73F6399F"/>
    <w:rsid w:val="73FF0F8D"/>
    <w:rsid w:val="742648F5"/>
    <w:rsid w:val="742F4933"/>
    <w:rsid w:val="7455847D"/>
    <w:rsid w:val="753C4E9B"/>
    <w:rsid w:val="759D012E"/>
    <w:rsid w:val="75B81123"/>
    <w:rsid w:val="75B920A7"/>
    <w:rsid w:val="75DE4386"/>
    <w:rsid w:val="75F75BCE"/>
    <w:rsid w:val="767E1D18"/>
    <w:rsid w:val="76CC9CAC"/>
    <w:rsid w:val="76EA6925"/>
    <w:rsid w:val="76FD51D5"/>
    <w:rsid w:val="77133808"/>
    <w:rsid w:val="776D225E"/>
    <w:rsid w:val="77AF1356"/>
    <w:rsid w:val="77BD9921"/>
    <w:rsid w:val="77ED0ECE"/>
    <w:rsid w:val="77EE539E"/>
    <w:rsid w:val="77FF32A5"/>
    <w:rsid w:val="781113A7"/>
    <w:rsid w:val="78F824DC"/>
    <w:rsid w:val="78FF5604"/>
    <w:rsid w:val="791E6510"/>
    <w:rsid w:val="792DFC65"/>
    <w:rsid w:val="7947128C"/>
    <w:rsid w:val="796F41D8"/>
    <w:rsid w:val="79723C68"/>
    <w:rsid w:val="797A4541"/>
    <w:rsid w:val="79EEBDF2"/>
    <w:rsid w:val="79F75561"/>
    <w:rsid w:val="79F94DFB"/>
    <w:rsid w:val="79FBD08D"/>
    <w:rsid w:val="7A5F2730"/>
    <w:rsid w:val="7AAD81AA"/>
    <w:rsid w:val="7ADFF1EB"/>
    <w:rsid w:val="7AFF5306"/>
    <w:rsid w:val="7AFF870C"/>
    <w:rsid w:val="7B4DBCBC"/>
    <w:rsid w:val="7B5D01E9"/>
    <w:rsid w:val="7B9F3CA0"/>
    <w:rsid w:val="7BF7BCA2"/>
    <w:rsid w:val="7BFB4159"/>
    <w:rsid w:val="7BFBD483"/>
    <w:rsid w:val="7BFF1D5C"/>
    <w:rsid w:val="7C5FA2C4"/>
    <w:rsid w:val="7C66DB3F"/>
    <w:rsid w:val="7C7F34F6"/>
    <w:rsid w:val="7C8D4A41"/>
    <w:rsid w:val="7C942E1A"/>
    <w:rsid w:val="7CEB0120"/>
    <w:rsid w:val="7D4EA3F0"/>
    <w:rsid w:val="7D6FA5B9"/>
    <w:rsid w:val="7D6FC5AF"/>
    <w:rsid w:val="7D7B5D29"/>
    <w:rsid w:val="7D7F1D8E"/>
    <w:rsid w:val="7D8FB669"/>
    <w:rsid w:val="7DAC087B"/>
    <w:rsid w:val="7DAF649F"/>
    <w:rsid w:val="7DB3DF3C"/>
    <w:rsid w:val="7DC3AD4E"/>
    <w:rsid w:val="7DE9657C"/>
    <w:rsid w:val="7DFE73B6"/>
    <w:rsid w:val="7E5B4DFC"/>
    <w:rsid w:val="7EDF40D3"/>
    <w:rsid w:val="7EDF6B1C"/>
    <w:rsid w:val="7EDFAA79"/>
    <w:rsid w:val="7EED2969"/>
    <w:rsid w:val="7EFEDA7F"/>
    <w:rsid w:val="7EFFAB6C"/>
    <w:rsid w:val="7F397C4A"/>
    <w:rsid w:val="7F3E4E28"/>
    <w:rsid w:val="7F3FE20B"/>
    <w:rsid w:val="7F4FA706"/>
    <w:rsid w:val="7F5EFEE7"/>
    <w:rsid w:val="7F7F941C"/>
    <w:rsid w:val="7F9BAD52"/>
    <w:rsid w:val="7FA1F82D"/>
    <w:rsid w:val="7FABC60C"/>
    <w:rsid w:val="7FBF2E27"/>
    <w:rsid w:val="7FBF9F12"/>
    <w:rsid w:val="7FC70077"/>
    <w:rsid w:val="7FC8952D"/>
    <w:rsid w:val="7FDAD600"/>
    <w:rsid w:val="7FDCF06E"/>
    <w:rsid w:val="7FDD2C5D"/>
    <w:rsid w:val="7FDF4103"/>
    <w:rsid w:val="7FDFE135"/>
    <w:rsid w:val="7FE376C7"/>
    <w:rsid w:val="7FEEAE8A"/>
    <w:rsid w:val="7FF243E9"/>
    <w:rsid w:val="7FF6C049"/>
    <w:rsid w:val="7FF7E182"/>
    <w:rsid w:val="7FFE98C9"/>
    <w:rsid w:val="7FFF520A"/>
    <w:rsid w:val="7FFF6433"/>
    <w:rsid w:val="7FFF7F0F"/>
    <w:rsid w:val="7FFFD0CF"/>
    <w:rsid w:val="7FFFF5AA"/>
    <w:rsid w:val="8BDF81AB"/>
    <w:rsid w:val="8EFD1338"/>
    <w:rsid w:val="8FAA732F"/>
    <w:rsid w:val="8FFEB163"/>
    <w:rsid w:val="95B7AAFA"/>
    <w:rsid w:val="97DD9D73"/>
    <w:rsid w:val="9A7D56C8"/>
    <w:rsid w:val="9AF83297"/>
    <w:rsid w:val="9BFD8704"/>
    <w:rsid w:val="9DABE2D3"/>
    <w:rsid w:val="9DFE4872"/>
    <w:rsid w:val="9E374739"/>
    <w:rsid w:val="9EFAA516"/>
    <w:rsid w:val="9FAD6C5B"/>
    <w:rsid w:val="9FFF5136"/>
    <w:rsid w:val="A687FA2C"/>
    <w:rsid w:val="A76D6784"/>
    <w:rsid w:val="A7F3C3F1"/>
    <w:rsid w:val="A87F7C46"/>
    <w:rsid w:val="ADBD3A92"/>
    <w:rsid w:val="AF3BAA2D"/>
    <w:rsid w:val="AFCFAAF4"/>
    <w:rsid w:val="B3EE6689"/>
    <w:rsid w:val="B66C4D81"/>
    <w:rsid w:val="B6EF0081"/>
    <w:rsid w:val="B7BF3EE4"/>
    <w:rsid w:val="B7EBC245"/>
    <w:rsid w:val="B7EF8429"/>
    <w:rsid w:val="B8FF1458"/>
    <w:rsid w:val="BB73602A"/>
    <w:rsid w:val="BCBF5D0E"/>
    <w:rsid w:val="BCF575CA"/>
    <w:rsid w:val="BCFDEFA0"/>
    <w:rsid w:val="BDEFA8AC"/>
    <w:rsid w:val="BDFEB6E0"/>
    <w:rsid w:val="BDFFD411"/>
    <w:rsid w:val="BEEBF9F8"/>
    <w:rsid w:val="BEEFEAB6"/>
    <w:rsid w:val="BF024F9D"/>
    <w:rsid w:val="BFAD99CE"/>
    <w:rsid w:val="BFCFEE87"/>
    <w:rsid w:val="BFD7A1D1"/>
    <w:rsid w:val="BFEFDD9E"/>
    <w:rsid w:val="BFFB4CA0"/>
    <w:rsid w:val="BFFC68A9"/>
    <w:rsid w:val="BFFD5EBD"/>
    <w:rsid w:val="BFFFD372"/>
    <w:rsid w:val="C7BB4CB9"/>
    <w:rsid w:val="CB9E4376"/>
    <w:rsid w:val="CBFE2B53"/>
    <w:rsid w:val="CFBE9ACC"/>
    <w:rsid w:val="CFFB10CB"/>
    <w:rsid w:val="CFFF38B4"/>
    <w:rsid w:val="D477F91C"/>
    <w:rsid w:val="D4E8E14B"/>
    <w:rsid w:val="D779787B"/>
    <w:rsid w:val="D852EC16"/>
    <w:rsid w:val="D8951F1F"/>
    <w:rsid w:val="D8F51214"/>
    <w:rsid w:val="DB43C87E"/>
    <w:rsid w:val="DB6B55FD"/>
    <w:rsid w:val="DBDB2C1D"/>
    <w:rsid w:val="DD7F4938"/>
    <w:rsid w:val="DDD7A24E"/>
    <w:rsid w:val="DE1F26EB"/>
    <w:rsid w:val="DEC3D947"/>
    <w:rsid w:val="DEEF8C38"/>
    <w:rsid w:val="DEF79361"/>
    <w:rsid w:val="DEFDB029"/>
    <w:rsid w:val="DF372E62"/>
    <w:rsid w:val="DF7784AA"/>
    <w:rsid w:val="DF7B0D7C"/>
    <w:rsid w:val="DFB608A7"/>
    <w:rsid w:val="DFCC73B0"/>
    <w:rsid w:val="DFDE4952"/>
    <w:rsid w:val="DFEF0030"/>
    <w:rsid w:val="DFFBB292"/>
    <w:rsid w:val="DFFFAC3F"/>
    <w:rsid w:val="E167DCA3"/>
    <w:rsid w:val="E34BB9E1"/>
    <w:rsid w:val="E4F7F737"/>
    <w:rsid w:val="E5F6A337"/>
    <w:rsid w:val="E7B680E3"/>
    <w:rsid w:val="E7DF92C6"/>
    <w:rsid w:val="E7EB0806"/>
    <w:rsid w:val="E7EEC12C"/>
    <w:rsid w:val="EBDBA9EC"/>
    <w:rsid w:val="EBEC6E6F"/>
    <w:rsid w:val="EC6FDD3A"/>
    <w:rsid w:val="EC7B4262"/>
    <w:rsid w:val="ECB1282F"/>
    <w:rsid w:val="ECBFC80D"/>
    <w:rsid w:val="EEFE9139"/>
    <w:rsid w:val="EEFF985D"/>
    <w:rsid w:val="EEFFBE0A"/>
    <w:rsid w:val="EF13867A"/>
    <w:rsid w:val="EF395ADB"/>
    <w:rsid w:val="EF5D9117"/>
    <w:rsid w:val="EF7F3D92"/>
    <w:rsid w:val="EF7F40B9"/>
    <w:rsid w:val="EFA7244B"/>
    <w:rsid w:val="EFB98437"/>
    <w:rsid w:val="EFEB8C0A"/>
    <w:rsid w:val="EFED8B5A"/>
    <w:rsid w:val="EFF76D93"/>
    <w:rsid w:val="EFFB10AE"/>
    <w:rsid w:val="EFFFE9C8"/>
    <w:rsid w:val="F27BE7B9"/>
    <w:rsid w:val="F2B7298F"/>
    <w:rsid w:val="F2FC172A"/>
    <w:rsid w:val="F3E9AACA"/>
    <w:rsid w:val="F3FE0F25"/>
    <w:rsid w:val="F537CCEE"/>
    <w:rsid w:val="F5ED1E2E"/>
    <w:rsid w:val="F5EEAA69"/>
    <w:rsid w:val="F5EF5D2B"/>
    <w:rsid w:val="F5FE2C50"/>
    <w:rsid w:val="F6BF02A2"/>
    <w:rsid w:val="F6EFB76C"/>
    <w:rsid w:val="F7332E41"/>
    <w:rsid w:val="F75F4BC6"/>
    <w:rsid w:val="F7F60D0D"/>
    <w:rsid w:val="F7FD194D"/>
    <w:rsid w:val="F987447B"/>
    <w:rsid w:val="F9B5FF65"/>
    <w:rsid w:val="F9BD2D70"/>
    <w:rsid w:val="F9FEDA70"/>
    <w:rsid w:val="FA3FF8E9"/>
    <w:rsid w:val="FA5F6338"/>
    <w:rsid w:val="FACF66CD"/>
    <w:rsid w:val="FADF6A1E"/>
    <w:rsid w:val="FAF2C95E"/>
    <w:rsid w:val="FAF5D635"/>
    <w:rsid w:val="FAFEA86A"/>
    <w:rsid w:val="FB07FFB2"/>
    <w:rsid w:val="FB7B7F39"/>
    <w:rsid w:val="FB7EA989"/>
    <w:rsid w:val="FBBF694E"/>
    <w:rsid w:val="FBBFD56A"/>
    <w:rsid w:val="FBC52508"/>
    <w:rsid w:val="FBCB545C"/>
    <w:rsid w:val="FBED48C5"/>
    <w:rsid w:val="FBF2E364"/>
    <w:rsid w:val="FBFF11F8"/>
    <w:rsid w:val="FBFFC866"/>
    <w:rsid w:val="FC7B0F2F"/>
    <w:rsid w:val="FCB7F2BD"/>
    <w:rsid w:val="FCCBBD52"/>
    <w:rsid w:val="FD3F0DF6"/>
    <w:rsid w:val="FD4F2D42"/>
    <w:rsid w:val="FD76A7A0"/>
    <w:rsid w:val="FD7F2098"/>
    <w:rsid w:val="FDBF4624"/>
    <w:rsid w:val="FDDF3208"/>
    <w:rsid w:val="FDE7C5AD"/>
    <w:rsid w:val="FDEB96D1"/>
    <w:rsid w:val="FDFF7EEF"/>
    <w:rsid w:val="FDFFA5A4"/>
    <w:rsid w:val="FE3F8245"/>
    <w:rsid w:val="FE69A692"/>
    <w:rsid w:val="FE702040"/>
    <w:rsid w:val="FEE70EBF"/>
    <w:rsid w:val="FEEB6F78"/>
    <w:rsid w:val="FEFBB37C"/>
    <w:rsid w:val="FEFD9D24"/>
    <w:rsid w:val="FEFDFE90"/>
    <w:rsid w:val="FEFEC4DD"/>
    <w:rsid w:val="FEFF40CE"/>
    <w:rsid w:val="FF0BAA25"/>
    <w:rsid w:val="FF5E7299"/>
    <w:rsid w:val="FF677FC1"/>
    <w:rsid w:val="FFABA8E8"/>
    <w:rsid w:val="FFB53A1E"/>
    <w:rsid w:val="FFBDE6EB"/>
    <w:rsid w:val="FFDD4BB4"/>
    <w:rsid w:val="FFDF04BE"/>
    <w:rsid w:val="FFDF0CA6"/>
    <w:rsid w:val="FFDFF613"/>
    <w:rsid w:val="FFE78697"/>
    <w:rsid w:val="FFED7E8B"/>
    <w:rsid w:val="FFF715BD"/>
    <w:rsid w:val="FFFB79AE"/>
    <w:rsid w:val="FFFC3953"/>
    <w:rsid w:val="FFFD4422"/>
    <w:rsid w:val="FFFD53B1"/>
    <w:rsid w:val="FFFE1FB3"/>
    <w:rsid w:val="FFFE3B2F"/>
    <w:rsid w:val="FFFE44D1"/>
    <w:rsid w:val="FFFF1826"/>
    <w:rsid w:val="FFFF9B7F"/>
    <w:rsid w:val="FFFFA092"/>
    <w:rsid w:val="FFFFD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 w:type="paragraph" w:styleId="4">
    <w:name w:val="Body Text"/>
    <w:basedOn w:val="1"/>
    <w:next w:val="5"/>
    <w:qFormat/>
    <w:uiPriority w:val="99"/>
    <w:pPr>
      <w:spacing w:after="120"/>
    </w:pPr>
  </w:style>
  <w:style w:type="paragraph" w:styleId="5">
    <w:name w:val="Body Text First Indent"/>
    <w:basedOn w:val="4"/>
    <w:qFormat/>
    <w:uiPriority w:val="0"/>
    <w:pPr>
      <w:ind w:firstLine="664"/>
    </w:pPr>
  </w:style>
  <w:style w:type="paragraph" w:styleId="6">
    <w:name w:val="Body Text Indent"/>
    <w:basedOn w:val="1"/>
    <w:unhideWhenUsed/>
    <w:qFormat/>
    <w:uiPriority w:val="0"/>
    <w:pPr>
      <w:spacing w:beforeLines="0" w:afterLines="0"/>
      <w:ind w:firstLine="640" w:firstLineChars="200"/>
    </w:pPr>
    <w:rPr>
      <w:rFonts w:hint="default"/>
      <w:sz w:val="32"/>
    </w:rPr>
  </w:style>
  <w:style w:type="paragraph" w:styleId="7">
    <w:name w:val="Plain Text"/>
    <w:basedOn w:val="1"/>
    <w:qFormat/>
    <w:uiPriority w:val="0"/>
    <w:rPr>
      <w:rFonts w:ascii="宋体" w:hAnsi="Courier New" w:cs="Courier New"/>
      <w:szCs w:val="21"/>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6"/>
    <w:unhideWhenUsed/>
    <w:qFormat/>
    <w:uiPriority w:val="99"/>
    <w:pPr>
      <w:spacing w:beforeLines="0" w:afterLines="0"/>
      <w:ind w:firstLine="420"/>
    </w:pPr>
    <w:rPr>
      <w:rFonts w:hint="default"/>
      <w:sz w:val="32"/>
    </w:rPr>
  </w:style>
  <w:style w:type="paragraph" w:customStyle="1" w:styleId="14">
    <w:name w:val="标题1"/>
    <w:basedOn w:val="3"/>
    <w:qFormat/>
    <w:uiPriority w:val="0"/>
    <w:rPr>
      <w:rFonts w:eastAsia="黑体"/>
    </w:rPr>
  </w:style>
  <w:style w:type="paragraph" w:customStyle="1" w:styleId="15">
    <w:name w:val="首行缩进"/>
    <w:basedOn w:val="1"/>
    <w:qFormat/>
    <w:uiPriority w:val="0"/>
    <w:pPr>
      <w:ind w:firstLine="480" w:firstLineChars="200"/>
    </w:pPr>
    <w:rPr>
      <w:lang w:val="zh-CN"/>
    </w:rPr>
  </w:style>
  <w:style w:type="paragraph" w:customStyle="1" w:styleId="16">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4274</Words>
  <Characters>4396</Characters>
  <Lines>0</Lines>
  <Paragraphs>0</Paragraphs>
  <TotalTime>1</TotalTime>
  <ScaleCrop>false</ScaleCrop>
  <LinksUpToDate>false</LinksUpToDate>
  <CharactersWithSpaces>5007</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2024-02-29T10:03:00Z</dcterms:created>
  <dc:creator>1402836399</dc:creator>
  <cp:lastModifiedBy>宜烨</cp:lastModifiedBy>
  <cp:lastPrinted>2024-09-19T19:23:00Z</cp:lastPrinted>
  <dcterms:modified xsi:type="dcterms:W3CDTF">2024-09-25T16:00:09Z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697D4251632DCE6709C3F36651AFB5B1_43</vt:lpwstr>
  </property>
</Properties>
</file>