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6A904">
      <w:pPr>
        <w:widowControl/>
        <w:shd w:val="clear" w:color="auto" w:fill="FFFFFF"/>
        <w:spacing w:line="600" w:lineRule="atLeast"/>
        <w:rPr>
          <w:rFonts w:hint="default" w:ascii="Times New Roman" w:hAnsi="Times New Roman" w:eastAsia="仿宋_GB2312" w:cs="Times New Roman"/>
          <w:spacing w:val="-2"/>
          <w:sz w:val="28"/>
          <w:szCs w:val="28"/>
          <w:lang w:val="en-US" w:eastAsia="zh-CN"/>
        </w:rPr>
      </w:pPr>
      <w:r>
        <w:rPr>
          <w:rFonts w:hint="default" w:ascii="Times New Roman" w:hAnsi="Times New Roman" w:eastAsia="仿宋_GB2312" w:cs="Times New Roman"/>
          <w:b/>
          <w:spacing w:val="-2"/>
          <w:sz w:val="32"/>
          <w:szCs w:val="44"/>
        </w:rPr>
        <w:t xml:space="preserve">  </w:t>
      </w:r>
    </w:p>
    <w:p w14:paraId="115367B3">
      <w:pPr>
        <w:spacing w:line="600" w:lineRule="exact"/>
        <w:rPr>
          <w:rFonts w:hint="default" w:ascii="Times New Roman" w:hAnsi="Times New Roman" w:eastAsia="黑体" w:cs="Times New Roman"/>
          <w:sz w:val="32"/>
          <w:szCs w:val="32"/>
        </w:rPr>
      </w:pPr>
    </w:p>
    <w:p w14:paraId="18478220">
      <w:pPr>
        <w:spacing w:line="600" w:lineRule="exact"/>
        <w:rPr>
          <w:rFonts w:hint="default" w:ascii="Times New Roman" w:hAnsi="Times New Roman" w:eastAsia="黑体" w:cs="Times New Roman"/>
          <w:sz w:val="32"/>
          <w:szCs w:val="32"/>
        </w:rPr>
      </w:pPr>
    </w:p>
    <w:p w14:paraId="2C2DE796">
      <w:pPr>
        <w:spacing w:line="600" w:lineRule="exact"/>
        <w:rPr>
          <w:rFonts w:hint="default" w:ascii="Times New Roman" w:hAnsi="Times New Roman" w:eastAsia="黑体" w:cs="Times New Roman"/>
          <w:sz w:val="32"/>
          <w:szCs w:val="32"/>
        </w:rPr>
      </w:pPr>
    </w:p>
    <w:p w14:paraId="46DD92FF">
      <w:pPr>
        <w:spacing w:line="600" w:lineRule="exact"/>
        <w:rPr>
          <w:rFonts w:hint="default" w:ascii="Times New Roman" w:hAnsi="Times New Roman" w:eastAsia="黑体" w:cs="Times New Roman"/>
          <w:sz w:val="32"/>
          <w:szCs w:val="32"/>
        </w:rPr>
      </w:pPr>
    </w:p>
    <w:p w14:paraId="76479D41">
      <w:pPr>
        <w:jc w:val="center"/>
        <w:rPr>
          <w:rFonts w:hint="default" w:ascii="Times New Roman" w:hAnsi="Times New Roman" w:eastAsia="方正小标宋_GBK" w:cs="Times New Roman"/>
          <w:sz w:val="52"/>
          <w:szCs w:val="52"/>
        </w:rPr>
      </w:pPr>
      <w:r>
        <w:rPr>
          <w:rFonts w:hint="default" w:ascii="Times New Roman" w:hAnsi="Times New Roman" w:eastAsia="方正小标宋_GBK" w:cs="Times New Roman"/>
          <w:sz w:val="52"/>
          <w:szCs w:val="52"/>
        </w:rPr>
        <w:t>202</w:t>
      </w:r>
      <w:r>
        <w:rPr>
          <w:rFonts w:hint="default" w:ascii="Times New Roman" w:hAnsi="Times New Roman" w:eastAsia="方正小标宋_GBK" w:cs="Times New Roman"/>
          <w:sz w:val="52"/>
          <w:szCs w:val="52"/>
          <w:lang w:val="en-US" w:eastAsia="zh-CN"/>
        </w:rPr>
        <w:t>4</w:t>
      </w:r>
      <w:r>
        <w:rPr>
          <w:rFonts w:hint="default" w:ascii="Times New Roman" w:hAnsi="Times New Roman" w:eastAsia="方正小标宋_GBK" w:cs="Times New Roman"/>
          <w:sz w:val="52"/>
          <w:szCs w:val="52"/>
        </w:rPr>
        <w:t>年度怀化市委</w:t>
      </w:r>
      <w:r>
        <w:rPr>
          <w:rFonts w:hint="default" w:ascii="Times New Roman" w:hAnsi="Times New Roman" w:eastAsia="方正小标宋_GBK" w:cs="Times New Roman"/>
          <w:sz w:val="52"/>
          <w:szCs w:val="52"/>
          <w:lang w:val="en-US" w:eastAsia="zh-CN"/>
        </w:rPr>
        <w:t>市</w:t>
      </w:r>
      <w:r>
        <w:rPr>
          <w:rFonts w:hint="default" w:ascii="Times New Roman" w:hAnsi="Times New Roman" w:eastAsia="方正小标宋_GBK" w:cs="Times New Roman"/>
          <w:sz w:val="52"/>
          <w:szCs w:val="52"/>
        </w:rPr>
        <w:t>政府机关老干部休养所整体支出绩效自评报告</w:t>
      </w:r>
    </w:p>
    <w:p w14:paraId="6D4EFEFF">
      <w:pPr>
        <w:jc w:val="both"/>
        <w:rPr>
          <w:rFonts w:hint="default" w:ascii="Times New Roman" w:hAnsi="Times New Roman" w:eastAsia="楷体_GB2312" w:cs="Times New Roman"/>
          <w:b/>
          <w:sz w:val="32"/>
          <w:szCs w:val="32"/>
        </w:rPr>
      </w:pPr>
    </w:p>
    <w:p w14:paraId="17162E3F">
      <w:pPr>
        <w:jc w:val="center"/>
        <w:rPr>
          <w:rFonts w:hint="default" w:ascii="Times New Roman" w:hAnsi="Times New Roman" w:eastAsia="黑体" w:cs="Times New Roman"/>
          <w:sz w:val="32"/>
          <w:szCs w:val="32"/>
        </w:rPr>
      </w:pPr>
    </w:p>
    <w:p w14:paraId="34EC1931">
      <w:pPr>
        <w:jc w:val="center"/>
        <w:rPr>
          <w:rFonts w:hint="default" w:ascii="Times New Roman" w:hAnsi="Times New Roman" w:eastAsia="黑体" w:cs="Times New Roman"/>
          <w:sz w:val="32"/>
          <w:szCs w:val="32"/>
        </w:rPr>
      </w:pPr>
    </w:p>
    <w:p w14:paraId="192FFA6F">
      <w:pPr>
        <w:jc w:val="center"/>
        <w:rPr>
          <w:rFonts w:hint="default" w:ascii="Times New Roman" w:hAnsi="Times New Roman" w:eastAsia="黑体" w:cs="Times New Roman"/>
          <w:sz w:val="32"/>
          <w:szCs w:val="32"/>
        </w:rPr>
      </w:pPr>
    </w:p>
    <w:p w14:paraId="42CDECF0">
      <w:pPr>
        <w:jc w:val="center"/>
        <w:rPr>
          <w:rFonts w:hint="default" w:ascii="Times New Roman" w:hAnsi="Times New Roman" w:eastAsia="黑体" w:cs="Times New Roman"/>
          <w:sz w:val="32"/>
          <w:szCs w:val="32"/>
        </w:rPr>
      </w:pPr>
    </w:p>
    <w:p w14:paraId="0014E639">
      <w:pPr>
        <w:jc w:val="center"/>
        <w:rPr>
          <w:rFonts w:hint="default" w:ascii="Times New Roman" w:hAnsi="Times New Roman" w:eastAsia="黑体" w:cs="Times New Roman"/>
          <w:sz w:val="32"/>
          <w:szCs w:val="32"/>
        </w:rPr>
      </w:pPr>
    </w:p>
    <w:p w14:paraId="7CCACB3F">
      <w:pPr>
        <w:jc w:val="center"/>
        <w:rPr>
          <w:rFonts w:hint="default" w:ascii="Times New Roman" w:hAnsi="Times New Roman" w:eastAsia="黑体" w:cs="Times New Roman"/>
          <w:sz w:val="32"/>
          <w:szCs w:val="32"/>
        </w:rPr>
      </w:pPr>
    </w:p>
    <w:p w14:paraId="3FC99010">
      <w:pPr>
        <w:jc w:val="both"/>
        <w:rPr>
          <w:rFonts w:hint="default" w:ascii="Times New Roman" w:hAnsi="Times New Roman" w:eastAsia="黑体" w:cs="Times New Roman"/>
          <w:sz w:val="32"/>
          <w:szCs w:val="32"/>
        </w:rPr>
      </w:pPr>
    </w:p>
    <w:p w14:paraId="2EB44F40">
      <w:pPr>
        <w:jc w:val="center"/>
        <w:rPr>
          <w:rFonts w:hint="default" w:ascii="Times New Roman" w:hAnsi="Times New Roman" w:eastAsia="黑体" w:cs="Times New Roman"/>
          <w:sz w:val="32"/>
          <w:szCs w:val="32"/>
        </w:rPr>
      </w:pPr>
    </w:p>
    <w:p w14:paraId="74D24364">
      <w:pPr>
        <w:spacing w:line="600" w:lineRule="exact"/>
        <w:ind w:firstLine="320" w:firstLineChars="100"/>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单位名称：</w:t>
      </w:r>
      <w:r>
        <w:rPr>
          <w:rFonts w:hint="default" w:ascii="Times New Roman" w:hAnsi="Times New Roman" w:eastAsia="仿宋_GB2312" w:cs="Times New Roman"/>
          <w:sz w:val="32"/>
          <w:szCs w:val="32"/>
          <w:u w:val="single"/>
        </w:rPr>
        <w:t>怀化市委</w:t>
      </w:r>
      <w:r>
        <w:rPr>
          <w:rFonts w:hint="default" w:ascii="Times New Roman" w:hAnsi="Times New Roman" w:eastAsia="仿宋_GB2312" w:cs="Times New Roman"/>
          <w:sz w:val="32"/>
          <w:szCs w:val="32"/>
          <w:u w:val="single"/>
          <w:lang w:val="en-US" w:eastAsia="zh-CN"/>
        </w:rPr>
        <w:t>市</w:t>
      </w:r>
      <w:r>
        <w:rPr>
          <w:rFonts w:hint="default" w:ascii="Times New Roman" w:hAnsi="Times New Roman" w:eastAsia="仿宋_GB2312" w:cs="Times New Roman"/>
          <w:sz w:val="32"/>
          <w:szCs w:val="32"/>
          <w:u w:val="single"/>
        </w:rPr>
        <w:t>政府机关老干部休养所（盖章）</w:t>
      </w:r>
    </w:p>
    <w:p w14:paraId="48DE8475">
      <w:pPr>
        <w:spacing w:line="600" w:lineRule="exact"/>
        <w:ind w:firstLine="3200" w:firstLineChars="1000"/>
        <w:rPr>
          <w:rFonts w:hint="default" w:ascii="Times New Roman" w:hAnsi="Times New Roman" w:eastAsia="楷体_GB2312" w:cs="Times New Roman"/>
          <w:sz w:val="32"/>
          <w:szCs w:val="32"/>
        </w:rPr>
      </w:pPr>
      <w:r>
        <w:rPr>
          <w:rFonts w:hint="default" w:ascii="Times New Roman" w:hAnsi="Times New Roman" w:eastAsia="楷体_GB2312" w:cs="Times New Roman"/>
          <w:sz w:val="32"/>
          <w:szCs w:val="32"/>
          <w:lang w:val="en-US" w:eastAsia="zh-CN"/>
        </w:rPr>
        <w:t>2025</w:t>
      </w:r>
      <w:r>
        <w:rPr>
          <w:rFonts w:hint="default" w:ascii="Times New Roman" w:hAnsi="Times New Roman" w:eastAsia="楷体_GB2312" w:cs="Times New Roman"/>
          <w:sz w:val="32"/>
          <w:szCs w:val="32"/>
        </w:rPr>
        <w:t>年</w:t>
      </w:r>
      <w:r>
        <w:rPr>
          <w:rFonts w:hint="default" w:ascii="Times New Roman" w:hAnsi="Times New Roman" w:eastAsia="楷体_GB2312" w:cs="Times New Roman"/>
          <w:sz w:val="32"/>
          <w:szCs w:val="32"/>
          <w:lang w:val="en-US" w:eastAsia="zh-CN"/>
        </w:rPr>
        <w:t>6</w:t>
      </w:r>
      <w:r>
        <w:rPr>
          <w:rFonts w:hint="default" w:ascii="Times New Roman" w:hAnsi="Times New Roman" w:eastAsia="楷体_GB2312" w:cs="Times New Roman"/>
          <w:sz w:val="32"/>
          <w:szCs w:val="32"/>
        </w:rPr>
        <w:t>月</w:t>
      </w:r>
      <w:r>
        <w:rPr>
          <w:rFonts w:hint="default" w:ascii="Times New Roman" w:hAnsi="Times New Roman" w:eastAsia="楷体_GB2312" w:cs="Times New Roman"/>
          <w:sz w:val="32"/>
          <w:szCs w:val="32"/>
          <w:lang w:val="en-US" w:eastAsia="zh-CN"/>
        </w:rPr>
        <w:t>20</w:t>
      </w:r>
      <w:r>
        <w:rPr>
          <w:rFonts w:hint="default" w:ascii="Times New Roman" w:hAnsi="Times New Roman" w:eastAsia="楷体_GB2312" w:cs="Times New Roman"/>
          <w:sz w:val="32"/>
          <w:szCs w:val="32"/>
        </w:rPr>
        <w:t>日</w:t>
      </w:r>
    </w:p>
    <w:p w14:paraId="6628461E">
      <w:pPr>
        <w:jc w:val="center"/>
        <w:rPr>
          <w:rFonts w:hint="default" w:ascii="Times New Roman" w:hAnsi="Times New Roman" w:eastAsia="黑体" w:cs="Times New Roman"/>
          <w:sz w:val="32"/>
          <w:szCs w:val="32"/>
        </w:rPr>
      </w:pPr>
    </w:p>
    <w:p w14:paraId="1AAF6434">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14:paraId="3C7D898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hint="default" w:ascii="Times New Roman" w:hAnsi="Times New Roman" w:eastAsia="方正小标宋_GBK" w:cs="Times New Roman"/>
          <w:i w:val="0"/>
          <w:iCs w:val="0"/>
          <w:caps w:val="0"/>
          <w:color w:val="000000"/>
          <w:spacing w:val="0"/>
          <w:sz w:val="44"/>
          <w:szCs w:val="44"/>
          <w:shd w:val="clear" w:fill="FFFFFF"/>
          <w:lang w:val="en-US" w:eastAsia="zh-CN"/>
        </w:rPr>
        <w:sectPr>
          <w:pgSz w:w="11906" w:h="16838"/>
          <w:pgMar w:top="2098" w:right="1531" w:bottom="1871" w:left="1531" w:header="851" w:footer="992" w:gutter="0"/>
          <w:pgNumType w:fmt="decimal"/>
          <w:cols w:space="425" w:num="1"/>
          <w:docGrid w:type="lines" w:linePitch="312" w:charSpace="0"/>
        </w:sectPr>
      </w:pPr>
    </w:p>
    <w:p w14:paraId="142D0EF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hint="default" w:ascii="Times New Roman" w:hAnsi="Times New Roman" w:eastAsia="方正小标宋_GBK" w:cs="Times New Roman"/>
          <w:i w:val="0"/>
          <w:iCs w:val="0"/>
          <w:caps w:val="0"/>
          <w:color w:val="000000"/>
          <w:spacing w:val="0"/>
          <w:sz w:val="44"/>
          <w:szCs w:val="44"/>
          <w:shd w:val="clear" w:fill="FFFFFF"/>
          <w:lang w:val="en-US" w:eastAsia="zh-CN"/>
        </w:rPr>
      </w:pPr>
      <w:r>
        <w:rPr>
          <w:rFonts w:hint="default" w:ascii="Times New Roman" w:hAnsi="Times New Roman" w:eastAsia="方正小标宋_GBK" w:cs="Times New Roman"/>
          <w:i w:val="0"/>
          <w:iCs w:val="0"/>
          <w:caps w:val="0"/>
          <w:color w:val="000000"/>
          <w:spacing w:val="0"/>
          <w:sz w:val="44"/>
          <w:szCs w:val="44"/>
          <w:shd w:val="clear" w:fill="FFFFFF"/>
          <w:lang w:val="en-US" w:eastAsia="zh-CN"/>
        </w:rPr>
        <w:t>怀化市委市政府机关老干部休养所</w:t>
      </w:r>
    </w:p>
    <w:p w14:paraId="36BC4CF9">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center"/>
        <w:textAlignment w:val="auto"/>
        <w:rPr>
          <w:rFonts w:hint="default" w:ascii="Times New Roman" w:hAnsi="Times New Roman" w:eastAsia="方正小标宋_GBK" w:cs="Times New Roman"/>
          <w:i w:val="0"/>
          <w:iCs w:val="0"/>
          <w:caps w:val="0"/>
          <w:color w:val="000000"/>
          <w:spacing w:val="0"/>
          <w:sz w:val="44"/>
          <w:szCs w:val="44"/>
        </w:rPr>
      </w:pPr>
      <w:r>
        <w:rPr>
          <w:rFonts w:hint="default" w:ascii="Times New Roman" w:hAnsi="Times New Roman" w:eastAsia="方正小标宋_GBK" w:cs="Times New Roman"/>
          <w:i w:val="0"/>
          <w:iCs w:val="0"/>
          <w:caps w:val="0"/>
          <w:color w:val="000000"/>
          <w:spacing w:val="0"/>
          <w:sz w:val="44"/>
          <w:szCs w:val="44"/>
          <w:shd w:val="clear" w:fill="FFFFFF"/>
        </w:rPr>
        <w:t>部门整体支出绩效自评报告</w:t>
      </w:r>
    </w:p>
    <w:p w14:paraId="2D373C8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0"/>
        <w:jc w:val="both"/>
        <w:textAlignment w:val="auto"/>
        <w:rPr>
          <w:rFonts w:hint="default" w:ascii="Times New Roman" w:hAnsi="Times New Roman" w:eastAsia="仿宋_GB2312" w:cs="Times New Roman"/>
          <w:i w:val="0"/>
          <w:iCs w:val="0"/>
          <w:caps w:val="0"/>
          <w:color w:val="000000"/>
          <w:spacing w:val="0"/>
          <w:sz w:val="24"/>
          <w:szCs w:val="24"/>
        </w:rPr>
      </w:pPr>
    </w:p>
    <w:p w14:paraId="72B11FB5">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楷体" w:cs="Times New Roman"/>
          <w:b/>
          <w:spacing w:val="-2"/>
          <w:sz w:val="32"/>
          <w:szCs w:val="21"/>
        </w:rPr>
      </w:pPr>
      <w:r>
        <w:rPr>
          <w:rFonts w:hint="default" w:ascii="Times New Roman" w:hAnsi="Times New Roman" w:eastAsia="黑体" w:cs="Times New Roman"/>
          <w:i w:val="0"/>
          <w:iCs w:val="0"/>
          <w:caps w:val="0"/>
          <w:color w:val="000000"/>
          <w:spacing w:val="0"/>
          <w:sz w:val="32"/>
          <w:szCs w:val="32"/>
          <w:shd w:val="clear" w:fill="FFFFFF"/>
        </w:rPr>
        <w:t>一、</w:t>
      </w:r>
      <w:r>
        <w:rPr>
          <w:rFonts w:hint="default" w:ascii="Times New Roman" w:hAnsi="Times New Roman" w:eastAsia="黑体" w:cs="Times New Roman"/>
          <w:i w:val="0"/>
          <w:iCs w:val="0"/>
          <w:caps w:val="0"/>
          <w:color w:val="000000"/>
          <w:spacing w:val="0"/>
          <w:sz w:val="32"/>
          <w:szCs w:val="32"/>
          <w:shd w:val="clear" w:color="auto" w:fill="FFFFFF"/>
          <w:lang w:eastAsia="zh-CN"/>
        </w:rPr>
        <w:t>部</w:t>
      </w:r>
      <w:r>
        <w:rPr>
          <w:rFonts w:hint="default" w:ascii="Times New Roman" w:hAnsi="Times New Roman" w:eastAsia="黑体" w:cs="Times New Roman"/>
          <w:i w:val="0"/>
          <w:iCs w:val="0"/>
          <w:caps w:val="0"/>
          <w:color w:val="000000"/>
          <w:spacing w:val="0"/>
          <w:sz w:val="32"/>
          <w:szCs w:val="32"/>
          <w:shd w:val="clear" w:color="auto" w:fill="FFFFFF"/>
        </w:rPr>
        <w:t>门</w:t>
      </w:r>
      <w:r>
        <w:rPr>
          <w:rFonts w:hint="default" w:ascii="Times New Roman" w:hAnsi="Times New Roman" w:eastAsia="黑体" w:cs="Times New Roman"/>
          <w:i w:val="0"/>
          <w:iCs w:val="0"/>
          <w:caps w:val="0"/>
          <w:color w:val="000000"/>
          <w:spacing w:val="0"/>
          <w:sz w:val="32"/>
          <w:szCs w:val="32"/>
          <w:shd w:val="clear" w:color="auto" w:fill="FFFFFF"/>
          <w:lang w:eastAsia="zh-CN"/>
        </w:rPr>
        <w:t>概</w:t>
      </w:r>
      <w:r>
        <w:rPr>
          <w:rFonts w:hint="default" w:ascii="Times New Roman" w:hAnsi="Times New Roman" w:eastAsia="黑体" w:cs="Times New Roman"/>
          <w:i w:val="0"/>
          <w:iCs w:val="0"/>
          <w:caps w:val="0"/>
          <w:color w:val="000000"/>
          <w:spacing w:val="0"/>
          <w:sz w:val="32"/>
          <w:szCs w:val="32"/>
          <w:shd w:val="clear" w:color="auto" w:fill="FFFFFF"/>
        </w:rPr>
        <w:t>况</w:t>
      </w:r>
    </w:p>
    <w:p w14:paraId="2A4AB8D2">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jc w:val="left"/>
        <w:textAlignment w:val="auto"/>
        <w:rPr>
          <w:rFonts w:hint="default" w:ascii="Times New Roman" w:hAnsi="Times New Roman" w:eastAsia="楷体_GB2312" w:cs="Times New Roman"/>
          <w:b/>
          <w:bCs/>
          <w:i w:val="0"/>
          <w:iCs w:val="0"/>
          <w:caps w:val="0"/>
          <w:color w:val="000000"/>
          <w:spacing w:val="0"/>
          <w:sz w:val="32"/>
          <w:szCs w:val="32"/>
          <w:shd w:val="clear" w:fill="FFFFFF"/>
        </w:rPr>
      </w:pPr>
      <w:r>
        <w:rPr>
          <w:rFonts w:hint="default" w:ascii="Times New Roman" w:hAnsi="Times New Roman" w:eastAsia="楷体_GB2312" w:cs="Times New Roman"/>
          <w:b/>
          <w:bCs/>
          <w:i w:val="0"/>
          <w:iCs w:val="0"/>
          <w:caps w:val="0"/>
          <w:color w:val="000000"/>
          <w:spacing w:val="0"/>
          <w:sz w:val="32"/>
          <w:szCs w:val="32"/>
          <w:shd w:val="clear" w:color="auto" w:fill="FFFFFF"/>
        </w:rPr>
        <w:t>（一）</w:t>
      </w:r>
      <w:r>
        <w:rPr>
          <w:rFonts w:hint="default" w:ascii="Times New Roman" w:hAnsi="Times New Roman" w:eastAsia="楷体_GB2312" w:cs="Times New Roman"/>
          <w:b/>
          <w:bCs/>
          <w:i w:val="0"/>
          <w:iCs w:val="0"/>
          <w:caps w:val="0"/>
          <w:color w:val="000000"/>
          <w:spacing w:val="0"/>
          <w:sz w:val="32"/>
          <w:szCs w:val="32"/>
          <w:shd w:val="clear" w:color="auto" w:fill="FFFFFF"/>
          <w:lang w:eastAsia="zh-CN"/>
        </w:rPr>
        <w:t>部门基本</w:t>
      </w:r>
      <w:r>
        <w:rPr>
          <w:rFonts w:hint="default" w:ascii="Times New Roman" w:hAnsi="Times New Roman" w:eastAsia="楷体_GB2312" w:cs="Times New Roman"/>
          <w:b/>
          <w:bCs/>
          <w:i w:val="0"/>
          <w:iCs w:val="0"/>
          <w:caps w:val="0"/>
          <w:color w:val="000000"/>
          <w:spacing w:val="0"/>
          <w:sz w:val="32"/>
          <w:szCs w:val="32"/>
          <w:shd w:val="clear" w:color="auto" w:fill="FFFFFF"/>
        </w:rPr>
        <w:t>情况</w:t>
      </w:r>
    </w:p>
    <w:p w14:paraId="4E80A643">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1.部门机构设置情况</w:t>
      </w:r>
    </w:p>
    <w:p w14:paraId="226F8FD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lang w:val="en-US" w:eastAsia="zh-CN"/>
        </w:rPr>
        <w:t>怀化市委市政府机关老干部休养所作为怀化市委老干部局的二级部门预算单位，内设科室为：</w:t>
      </w:r>
      <w:r>
        <w:rPr>
          <w:rFonts w:hint="default" w:ascii="Times New Roman" w:hAnsi="Times New Roman" w:eastAsia="仿宋_GB2312" w:cs="Times New Roman"/>
          <w:i w:val="0"/>
          <w:iCs w:val="0"/>
          <w:caps w:val="0"/>
          <w:color w:val="000000"/>
          <w:spacing w:val="0"/>
          <w:sz w:val="32"/>
          <w:szCs w:val="32"/>
          <w:shd w:val="clear" w:fill="FFFFFF"/>
        </w:rPr>
        <w:t>办公室、活动</w:t>
      </w:r>
      <w:r>
        <w:rPr>
          <w:rFonts w:hint="default" w:ascii="Times New Roman" w:hAnsi="Times New Roman" w:eastAsia="仿宋_GB2312" w:cs="Times New Roman"/>
          <w:i w:val="0"/>
          <w:iCs w:val="0"/>
          <w:caps w:val="0"/>
          <w:color w:val="000000"/>
          <w:spacing w:val="0"/>
          <w:sz w:val="32"/>
          <w:szCs w:val="32"/>
          <w:shd w:val="clear" w:fill="FFFFFF"/>
          <w:lang w:eastAsia="zh-CN"/>
        </w:rPr>
        <w:t>组织部</w:t>
      </w:r>
      <w:r>
        <w:rPr>
          <w:rFonts w:hint="default" w:ascii="Times New Roman" w:hAnsi="Times New Roman" w:eastAsia="仿宋_GB2312" w:cs="Times New Roman"/>
          <w:i w:val="0"/>
          <w:iCs w:val="0"/>
          <w:caps w:val="0"/>
          <w:color w:val="000000"/>
          <w:spacing w:val="0"/>
          <w:sz w:val="32"/>
          <w:szCs w:val="32"/>
          <w:shd w:val="clear" w:fill="FFFFFF"/>
        </w:rPr>
        <w:t>。</w:t>
      </w:r>
    </w:p>
    <w:p w14:paraId="2F31E85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fill="FFFFFF"/>
        </w:rPr>
      </w:pPr>
      <w:r>
        <w:rPr>
          <w:rFonts w:hint="default" w:ascii="Times New Roman" w:hAnsi="Times New Roman" w:eastAsia="楷体_GB2312" w:cs="Times New Roman"/>
          <w:b/>
          <w:bCs/>
          <w:i w:val="0"/>
          <w:iCs w:val="0"/>
          <w:caps w:val="0"/>
          <w:color w:val="000000"/>
          <w:spacing w:val="0"/>
          <w:sz w:val="32"/>
          <w:szCs w:val="32"/>
          <w:shd w:val="clear" w:fill="FFFFFF"/>
          <w:lang w:val="en-US" w:eastAsia="zh-CN"/>
        </w:rPr>
        <w:t>2.</w:t>
      </w:r>
      <w:r>
        <w:rPr>
          <w:rFonts w:hint="default" w:ascii="Times New Roman" w:hAnsi="Times New Roman" w:eastAsia="楷体_GB2312" w:cs="Times New Roman"/>
          <w:b/>
          <w:bCs/>
          <w:i w:val="0"/>
          <w:iCs w:val="0"/>
          <w:caps w:val="0"/>
          <w:color w:val="000000"/>
          <w:spacing w:val="0"/>
          <w:sz w:val="32"/>
          <w:szCs w:val="32"/>
          <w:shd w:val="clear" w:fill="FFFFFF"/>
        </w:rPr>
        <w:t>人员编制情况</w:t>
      </w:r>
    </w:p>
    <w:p w14:paraId="2E77F10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2024年末编制人数9人，其中行政编0人，参公编9人；2024年末实有人员8人。</w:t>
      </w:r>
    </w:p>
    <w:p w14:paraId="19B50835">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fill="FFFFFF"/>
        </w:rPr>
      </w:pPr>
      <w:r>
        <w:rPr>
          <w:rFonts w:hint="default" w:ascii="Times New Roman" w:hAnsi="Times New Roman" w:eastAsia="楷体_GB2312" w:cs="Times New Roman"/>
          <w:b/>
          <w:bCs/>
          <w:i w:val="0"/>
          <w:iCs w:val="0"/>
          <w:caps w:val="0"/>
          <w:color w:val="000000"/>
          <w:spacing w:val="0"/>
          <w:sz w:val="32"/>
          <w:szCs w:val="32"/>
          <w:shd w:val="clear" w:fill="FFFFFF"/>
          <w:lang w:val="en-US" w:eastAsia="zh-CN"/>
        </w:rPr>
        <w:t>3.</w:t>
      </w:r>
      <w:r>
        <w:rPr>
          <w:rFonts w:hint="default" w:ascii="Times New Roman" w:hAnsi="Times New Roman" w:eastAsia="楷体_GB2312" w:cs="Times New Roman"/>
          <w:b/>
          <w:bCs/>
          <w:i w:val="0"/>
          <w:iCs w:val="0"/>
          <w:caps w:val="0"/>
          <w:color w:val="000000"/>
          <w:spacing w:val="0"/>
          <w:sz w:val="32"/>
          <w:szCs w:val="32"/>
          <w:shd w:val="clear" w:fill="FFFFFF"/>
        </w:rPr>
        <w:t>主要职能职责</w:t>
      </w:r>
    </w:p>
    <w:p w14:paraId="45C1D8C0">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宋体" w:cs="Times New Roman"/>
          <w:i w:val="0"/>
          <w:caps w:val="0"/>
          <w:color w:val="3D3D3D"/>
          <w:spacing w:val="0"/>
          <w:sz w:val="32"/>
          <w:szCs w:val="32"/>
          <w:shd w:val="clear" w:fill="FFFFFF"/>
          <w:lang w:eastAsia="zh-CN"/>
        </w:rPr>
        <w:t>（</w:t>
      </w:r>
      <w:r>
        <w:rPr>
          <w:rFonts w:hint="default" w:ascii="Times New Roman" w:hAnsi="Times New Roman" w:eastAsia="仿宋_GB2312" w:cs="Times New Roman"/>
          <w:i w:val="0"/>
          <w:iCs w:val="0"/>
          <w:caps w:val="0"/>
          <w:color w:val="000000"/>
          <w:spacing w:val="0"/>
          <w:sz w:val="32"/>
          <w:szCs w:val="32"/>
          <w:shd w:val="clear" w:fill="FFFFFF"/>
          <w:lang w:val="en-US" w:eastAsia="zh-CN"/>
        </w:rPr>
        <w:t>1）认真宣传、贯彻执行党中央、国务院关于离退休干部的各项方针政策。</w:t>
      </w:r>
    </w:p>
    <w:p w14:paraId="3B078F47">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（2）负责做好离退休干部的政治学习、文件传阅、听重要报告、参加重要会议和政治活动等具体组织工作，落实好各项政治待遇。</w:t>
      </w:r>
    </w:p>
    <w:p w14:paraId="72880FB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（3）协助做好离退休干部的医疗保健工作，安排好老干部的体检、疗养和用车。</w:t>
      </w:r>
    </w:p>
    <w:p w14:paraId="0C0108C4">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（4）组织开展有益老干部身心健康的各项活动，发挥老干部在社会建设中的作用。</w:t>
      </w:r>
    </w:p>
    <w:p w14:paraId="1FFD581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（5）生活上关心照顾好老干部，经常了解老干部的思想、身体、生活情况，坚持走访慰问等制度。</w:t>
      </w:r>
    </w:p>
    <w:p w14:paraId="4E43DC1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（6）认真接待好老干部的来电、来信、来访，及时反映他们的合理要求，尽力帮助他们排忧解难。</w:t>
      </w:r>
    </w:p>
    <w:p w14:paraId="3C4F029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（7）会同有关部门办理老干部及遗孀丧葬事宜。</w:t>
      </w:r>
    </w:p>
    <w:p w14:paraId="0906F347">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000000"/>
          <w:spacing w:val="0"/>
          <w:sz w:val="32"/>
          <w:szCs w:val="32"/>
          <w:shd w:val="clear" w:color="auto" w:fill="FFFFFF"/>
        </w:rPr>
        <w:t>（</w:t>
      </w:r>
      <w:r>
        <w:rPr>
          <w:rFonts w:hint="default" w:ascii="Times New Roman" w:hAnsi="Times New Roman" w:eastAsia="楷体_GB2312" w:cs="Times New Roman"/>
          <w:b/>
          <w:bCs/>
          <w:i w:val="0"/>
          <w:iCs w:val="0"/>
          <w:caps w:val="0"/>
          <w:color w:val="000000"/>
          <w:spacing w:val="0"/>
          <w:sz w:val="32"/>
          <w:szCs w:val="32"/>
          <w:shd w:val="clear" w:color="auto" w:fill="FFFFFF"/>
          <w:lang w:eastAsia="zh-CN"/>
        </w:rPr>
        <w:t>二</w:t>
      </w:r>
      <w:r>
        <w:rPr>
          <w:rFonts w:hint="default" w:ascii="Times New Roman" w:hAnsi="Times New Roman" w:eastAsia="楷体_GB2312" w:cs="Times New Roman"/>
          <w:b/>
          <w:bCs/>
          <w:i w:val="0"/>
          <w:iCs w:val="0"/>
          <w:caps w:val="0"/>
          <w:color w:val="000000"/>
          <w:spacing w:val="0"/>
          <w:sz w:val="32"/>
          <w:szCs w:val="32"/>
          <w:shd w:val="clear" w:color="auto" w:fill="FFFFFF"/>
        </w:rPr>
        <w:t>）</w:t>
      </w:r>
      <w:r>
        <w:rPr>
          <w:rFonts w:hint="default" w:ascii="Times New Roman" w:hAnsi="Times New Roman" w:eastAsia="楷体_GB2312" w:cs="Times New Roman"/>
          <w:b/>
          <w:bCs/>
          <w:i w:val="0"/>
          <w:iCs w:val="0"/>
          <w:caps w:val="0"/>
          <w:color w:val="000000"/>
          <w:spacing w:val="0"/>
          <w:sz w:val="32"/>
          <w:szCs w:val="32"/>
          <w:shd w:val="clear" w:color="auto" w:fill="FFFFFF"/>
          <w:lang w:eastAsia="zh-CN"/>
        </w:rPr>
        <w:t>部门整体支出规模、使用方向和主要内容、设计范围等。</w:t>
      </w:r>
    </w:p>
    <w:p w14:paraId="5FCF8FCB">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textAlignment w:val="auto"/>
        <w:rPr>
          <w:rFonts w:hint="default" w:ascii="Times New Roman" w:hAnsi="Times New Roman" w:eastAsia="仿宋"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整体支出规模：2024年，单位整体支出全年预算数429.97万元，决算数427.97万元，预算执行率100.00%，其中基本支出349.97万元，预算执行率100.00%；项目支出78万元，预算执行率100.00%。</w:t>
      </w:r>
    </w:p>
    <w:p w14:paraId="3FAB7D6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 w:cs="Times New Roman"/>
          <w:color w:val="auto"/>
          <w:sz w:val="32"/>
          <w:szCs w:val="32"/>
          <w:highlight w:val="none"/>
          <w:lang w:val="en-US" w:eastAsia="zh-CN"/>
        </w:rPr>
        <w:t>资金使用方向和主要内容、涉及范围：</w:t>
      </w:r>
      <w:r>
        <w:rPr>
          <w:rFonts w:hint="default" w:ascii="Times New Roman" w:hAnsi="Times New Roman" w:eastAsia="仿宋" w:cs="Times New Roman"/>
          <w:sz w:val="32"/>
          <w:szCs w:val="32"/>
          <w:lang w:val="en-US" w:eastAsia="zh-CN"/>
        </w:rPr>
        <w:t>在市委老干部局坚强领导下，预算资金主要用于</w:t>
      </w:r>
      <w:r>
        <w:rPr>
          <w:rFonts w:hint="default" w:ascii="Times New Roman" w:hAnsi="Times New Roman" w:eastAsia="仿宋_GB2312" w:cs="Times New Roman"/>
          <w:i w:val="0"/>
          <w:iCs w:val="0"/>
          <w:caps w:val="0"/>
          <w:color w:val="000000"/>
          <w:spacing w:val="0"/>
          <w:sz w:val="32"/>
          <w:szCs w:val="32"/>
          <w:shd w:val="clear" w:fill="FFFFFF"/>
          <w:lang w:val="en-US" w:eastAsia="zh-CN"/>
        </w:rPr>
        <w:t>离退</w:t>
      </w:r>
      <w:r>
        <w:rPr>
          <w:rFonts w:hint="default" w:ascii="Times New Roman" w:hAnsi="Times New Roman" w:eastAsia="仿宋_GB2312" w:cs="Times New Roman"/>
          <w:i w:val="0"/>
          <w:iCs w:val="0"/>
          <w:caps w:val="0"/>
          <w:color w:val="000000"/>
          <w:spacing w:val="0"/>
          <w:sz w:val="32"/>
          <w:szCs w:val="32"/>
          <w:shd w:val="clear" w:fill="FFFFFF"/>
          <w:lang w:eastAsia="zh-CN"/>
        </w:rPr>
        <w:t>休</w:t>
      </w:r>
      <w:r>
        <w:rPr>
          <w:rFonts w:hint="default" w:ascii="Times New Roman" w:hAnsi="Times New Roman" w:eastAsia="仿宋_GB2312" w:cs="Times New Roman"/>
          <w:i w:val="0"/>
          <w:iCs w:val="0"/>
          <w:caps w:val="0"/>
          <w:color w:val="000000"/>
          <w:spacing w:val="0"/>
          <w:sz w:val="32"/>
          <w:szCs w:val="32"/>
          <w:shd w:val="clear" w:fill="FFFFFF"/>
          <w:lang w:val="en-US" w:eastAsia="zh-CN"/>
        </w:rPr>
        <w:t>党</w:t>
      </w:r>
      <w:r>
        <w:rPr>
          <w:rFonts w:hint="default" w:ascii="Times New Roman" w:hAnsi="Times New Roman" w:eastAsia="仿宋_GB2312" w:cs="Times New Roman"/>
          <w:i w:val="0"/>
          <w:iCs w:val="0"/>
          <w:caps w:val="0"/>
          <w:color w:val="000000"/>
          <w:spacing w:val="0"/>
          <w:sz w:val="32"/>
          <w:szCs w:val="32"/>
          <w:shd w:val="clear" w:fill="FFFFFF"/>
          <w:lang w:eastAsia="zh-CN"/>
        </w:rPr>
        <w:t>支部</w:t>
      </w:r>
      <w:r>
        <w:rPr>
          <w:rFonts w:hint="default" w:ascii="Times New Roman" w:hAnsi="Times New Roman" w:eastAsia="仿宋_GB2312" w:cs="Times New Roman"/>
          <w:i w:val="0"/>
          <w:iCs w:val="0"/>
          <w:caps w:val="0"/>
          <w:color w:val="000000"/>
          <w:spacing w:val="0"/>
          <w:sz w:val="32"/>
          <w:szCs w:val="32"/>
          <w:shd w:val="clear" w:fill="FFFFFF"/>
          <w:lang w:val="en-US" w:eastAsia="zh-CN"/>
        </w:rPr>
        <w:t>建设，加强党建引领，注重服务管理，用心用情、精准服务，全面落实老干部</w:t>
      </w:r>
      <w:r>
        <w:rPr>
          <w:rFonts w:hint="default" w:ascii="Times New Roman" w:hAnsi="Times New Roman" w:eastAsia="仿宋_GB2312" w:cs="Times New Roman"/>
          <w:i w:val="0"/>
          <w:iCs w:val="0"/>
          <w:caps w:val="0"/>
          <w:color w:val="000000"/>
          <w:spacing w:val="0"/>
          <w:sz w:val="32"/>
          <w:szCs w:val="32"/>
          <w:shd w:val="clear" w:fill="FFFFFF"/>
          <w:lang w:eastAsia="zh-CN"/>
        </w:rPr>
        <w:t>的政治待遇和</w:t>
      </w:r>
      <w:r>
        <w:rPr>
          <w:rFonts w:hint="default" w:ascii="Times New Roman" w:hAnsi="Times New Roman" w:eastAsia="仿宋_GB2312" w:cs="Times New Roman"/>
          <w:i w:val="0"/>
          <w:iCs w:val="0"/>
          <w:caps w:val="0"/>
          <w:color w:val="000000"/>
          <w:spacing w:val="0"/>
          <w:sz w:val="32"/>
          <w:szCs w:val="32"/>
          <w:shd w:val="clear" w:fill="FFFFFF"/>
          <w:lang w:val="en-US" w:eastAsia="zh-CN"/>
        </w:rPr>
        <w:t>生活待遇，提高老干部幸福指数；贯彻落实全国、全省离退休干部“双先”表彰大会精神，组织老干部</w:t>
      </w:r>
      <w:r>
        <w:rPr>
          <w:rFonts w:hint="default" w:ascii="Times New Roman" w:hAnsi="Times New Roman" w:eastAsia="仿宋_GB2312" w:cs="Times New Roman"/>
          <w:i w:val="0"/>
          <w:iCs w:val="0"/>
          <w:caps w:val="0"/>
          <w:color w:val="000000"/>
          <w:spacing w:val="0"/>
          <w:sz w:val="32"/>
          <w:szCs w:val="32"/>
          <w:shd w:val="clear" w:fill="FFFFFF"/>
          <w:lang w:eastAsia="zh-CN"/>
        </w:rPr>
        <w:t>参观工农业生产</w:t>
      </w:r>
      <w:r>
        <w:rPr>
          <w:rFonts w:hint="default" w:ascii="Times New Roman" w:hAnsi="Times New Roman" w:eastAsia="仿宋_GB2312" w:cs="Times New Roman"/>
          <w:i w:val="0"/>
          <w:iCs w:val="0"/>
          <w:caps w:val="0"/>
          <w:color w:val="000000"/>
          <w:spacing w:val="0"/>
          <w:sz w:val="32"/>
          <w:szCs w:val="32"/>
          <w:shd w:val="clear" w:fill="FFFFFF"/>
          <w:lang w:val="en-US" w:eastAsia="zh-CN"/>
        </w:rPr>
        <w:t>，订阅杂志，健康体</w:t>
      </w:r>
      <w:r>
        <w:rPr>
          <w:rFonts w:hint="default" w:ascii="Times New Roman" w:hAnsi="Times New Roman" w:eastAsia="仿宋_GB2312" w:cs="Times New Roman"/>
          <w:i w:val="0"/>
          <w:iCs w:val="0"/>
          <w:caps w:val="0"/>
          <w:color w:val="000000"/>
          <w:spacing w:val="0"/>
          <w:sz w:val="32"/>
          <w:szCs w:val="32"/>
          <w:shd w:val="clear" w:fill="FFFFFF"/>
          <w:lang w:eastAsia="zh-CN"/>
        </w:rPr>
        <w:t>检；</w:t>
      </w:r>
      <w:r>
        <w:rPr>
          <w:rFonts w:hint="default" w:ascii="Times New Roman" w:hAnsi="Times New Roman" w:eastAsia="仿宋_GB2312" w:cs="Times New Roman"/>
          <w:i w:val="0"/>
          <w:iCs w:val="0"/>
          <w:caps w:val="0"/>
          <w:color w:val="000000"/>
          <w:spacing w:val="0"/>
          <w:sz w:val="32"/>
          <w:szCs w:val="32"/>
          <w:shd w:val="clear" w:fill="FFFFFF"/>
          <w:lang w:val="en-US" w:eastAsia="zh-CN"/>
        </w:rPr>
        <w:t>对家庭困难的离休干部及遗属进行平时帮扶和节日走访慰问；组织离退休老干部开展文化、体育活动，维修维护活动场所，更新活动设施；为</w:t>
      </w:r>
      <w:r>
        <w:rPr>
          <w:rFonts w:hint="default" w:ascii="Times New Roman" w:hAnsi="Times New Roman" w:eastAsia="仿宋_GB2312" w:cs="Times New Roman"/>
          <w:i w:val="0"/>
          <w:iCs w:val="0"/>
          <w:caps w:val="0"/>
          <w:color w:val="000000"/>
          <w:spacing w:val="0"/>
          <w:sz w:val="32"/>
          <w:szCs w:val="32"/>
          <w:shd w:val="clear" w:fill="FFFFFF"/>
          <w:lang w:eastAsia="zh-CN"/>
        </w:rPr>
        <w:t>老年大学分校</w:t>
      </w:r>
      <w:r>
        <w:rPr>
          <w:rFonts w:hint="default" w:ascii="Times New Roman" w:hAnsi="Times New Roman" w:eastAsia="仿宋_GB2312" w:cs="Times New Roman"/>
          <w:i w:val="0"/>
          <w:iCs w:val="0"/>
          <w:caps w:val="0"/>
          <w:color w:val="000000"/>
          <w:spacing w:val="0"/>
          <w:sz w:val="32"/>
          <w:szCs w:val="32"/>
          <w:shd w:val="clear" w:fill="FFFFFF"/>
          <w:lang w:val="en-US" w:eastAsia="zh-CN"/>
        </w:rPr>
        <w:t>提供教</w:t>
      </w:r>
      <w:r>
        <w:rPr>
          <w:rFonts w:hint="default" w:ascii="Times New Roman" w:hAnsi="Times New Roman" w:eastAsia="仿宋_GB2312" w:cs="Times New Roman"/>
          <w:i w:val="0"/>
          <w:iCs w:val="0"/>
          <w:caps w:val="0"/>
          <w:color w:val="000000"/>
          <w:spacing w:val="0"/>
          <w:sz w:val="32"/>
          <w:szCs w:val="32"/>
          <w:shd w:val="clear" w:fill="FFFFFF"/>
          <w:lang w:eastAsia="zh-CN"/>
        </w:rPr>
        <w:t>学场所</w:t>
      </w:r>
      <w:r>
        <w:rPr>
          <w:rFonts w:hint="default" w:ascii="Times New Roman" w:hAnsi="Times New Roman" w:eastAsia="仿宋_GB2312" w:cs="Times New Roman"/>
          <w:i w:val="0"/>
          <w:iCs w:val="0"/>
          <w:caps w:val="0"/>
          <w:color w:val="000000"/>
          <w:spacing w:val="0"/>
          <w:sz w:val="32"/>
          <w:szCs w:val="32"/>
          <w:shd w:val="clear" w:fill="FFFFFF"/>
          <w:lang w:val="en-US" w:eastAsia="zh-CN"/>
        </w:rPr>
        <w:t>服务。</w:t>
      </w:r>
    </w:p>
    <w:p w14:paraId="3F5349A8">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黑体" w:cs="Times New Roman"/>
          <w:i w:val="0"/>
          <w:iCs w:val="0"/>
          <w:caps w:val="0"/>
          <w:color w:val="000000"/>
          <w:spacing w:val="0"/>
          <w:sz w:val="32"/>
          <w:szCs w:val="32"/>
          <w:shd w:val="clear" w:color="auto" w:fill="FFFFFF"/>
          <w:lang w:val="en-US" w:eastAsia="zh-CN"/>
        </w:rPr>
      </w:pPr>
      <w:r>
        <w:rPr>
          <w:rFonts w:hint="default" w:ascii="Times New Roman" w:hAnsi="Times New Roman" w:eastAsia="黑体" w:cs="Times New Roman"/>
          <w:i w:val="0"/>
          <w:iCs w:val="0"/>
          <w:caps w:val="0"/>
          <w:color w:val="000000"/>
          <w:spacing w:val="0"/>
          <w:sz w:val="32"/>
          <w:szCs w:val="32"/>
          <w:shd w:val="clear" w:color="auto" w:fill="FFFFFF"/>
          <w:lang w:val="en-US" w:eastAsia="zh-CN"/>
        </w:rPr>
        <w:t>二、一般公共预算支出情况</w:t>
      </w:r>
    </w:p>
    <w:p w14:paraId="036F49C5">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color="auto" w:fill="FFFFFF"/>
          <w:lang w:eastAsia="zh-CN"/>
        </w:rPr>
      </w:pPr>
      <w:r>
        <w:rPr>
          <w:rFonts w:hint="default" w:ascii="Times New Roman" w:hAnsi="Times New Roman" w:eastAsia="楷体_GB2312" w:cs="Times New Roman"/>
          <w:b/>
          <w:bCs/>
          <w:i w:val="0"/>
          <w:iCs w:val="0"/>
          <w:caps w:val="0"/>
          <w:color w:val="000000"/>
          <w:spacing w:val="0"/>
          <w:sz w:val="32"/>
          <w:szCs w:val="32"/>
          <w:shd w:val="clear" w:color="auto" w:fill="FFFFFF"/>
          <w:lang w:eastAsia="zh-CN"/>
        </w:rPr>
        <w:t>（一）基本支出</w:t>
      </w:r>
    </w:p>
    <w:p w14:paraId="15D9A6E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val="en-US" w:eastAsia="zh-CN"/>
        </w:rPr>
        <w:t>2024年部门整体全年共计支出427.97万元，年末结转和结余0元。主要包含人员支出、公用经费支出，具体支出情况如下：</w:t>
      </w:r>
    </w:p>
    <w:p w14:paraId="0EEFACC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（1）</w:t>
      </w:r>
      <w:r>
        <w:rPr>
          <w:rFonts w:hint="default" w:ascii="Times New Roman" w:hAnsi="Times New Roman" w:eastAsia="仿宋_GB2312" w:cs="Times New Roman"/>
          <w:i w:val="0"/>
          <w:iCs w:val="0"/>
          <w:caps w:val="0"/>
          <w:color w:val="000000"/>
          <w:spacing w:val="0"/>
          <w:sz w:val="32"/>
          <w:szCs w:val="32"/>
          <w:shd w:val="clear" w:fill="FFFFFF"/>
          <w:lang w:val="en-US" w:eastAsia="zh-CN"/>
        </w:rPr>
        <w:t>工资福利支出100.82万元，主要包括基本工资支出、津补贴支出、奖金支出、机关事业单位基本养老保险缴费、职工基本医疗保险缴费、其他工资福利支出、其他社会保障缴费。</w:t>
      </w:r>
    </w:p>
    <w:p w14:paraId="2B55302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（2）</w:t>
      </w:r>
      <w:r>
        <w:rPr>
          <w:rFonts w:hint="default" w:ascii="Times New Roman" w:hAnsi="Times New Roman" w:eastAsia="仿宋_GB2312" w:cs="Times New Roman"/>
          <w:i w:val="0"/>
          <w:iCs w:val="0"/>
          <w:caps w:val="0"/>
          <w:color w:val="000000"/>
          <w:spacing w:val="0"/>
          <w:sz w:val="32"/>
          <w:szCs w:val="32"/>
          <w:shd w:val="clear" w:fill="FFFFFF"/>
          <w:lang w:val="en-US" w:eastAsia="zh-CN"/>
        </w:rPr>
        <w:t>商品和服务支出20.42万元，主要包括办公费、邮电费、差旅费、劳务费、工会经费、福利费、公务用车运行维护费、其他交通费用、其他商品和服务支出。</w:t>
      </w:r>
    </w:p>
    <w:p w14:paraId="733A491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lang w:val="en-US" w:eastAsia="zh-CN"/>
        </w:rPr>
      </w:pPr>
      <w:r>
        <w:rPr>
          <w:rFonts w:hint="default" w:ascii="Times New Roman" w:hAnsi="Times New Roman" w:eastAsia="仿宋_GB2312" w:cs="Times New Roman"/>
          <w:i w:val="0"/>
          <w:iCs w:val="0"/>
          <w:caps w:val="0"/>
          <w:color w:val="000000"/>
          <w:spacing w:val="0"/>
          <w:sz w:val="32"/>
          <w:szCs w:val="32"/>
          <w:shd w:val="clear" w:fill="FFFFFF"/>
          <w:lang w:eastAsia="zh-CN"/>
        </w:rPr>
        <w:t>（3）</w:t>
      </w:r>
      <w:r>
        <w:rPr>
          <w:rFonts w:hint="default" w:ascii="Times New Roman" w:hAnsi="Times New Roman" w:eastAsia="仿宋_GB2312" w:cs="Times New Roman"/>
          <w:i w:val="0"/>
          <w:iCs w:val="0"/>
          <w:caps w:val="0"/>
          <w:color w:val="000000"/>
          <w:spacing w:val="0"/>
          <w:sz w:val="32"/>
          <w:szCs w:val="32"/>
          <w:shd w:val="clear" w:fill="FFFFFF"/>
          <w:lang w:val="en-US" w:eastAsia="zh-CN"/>
        </w:rPr>
        <w:t>对个人和家庭的补助228.97万元。</w:t>
      </w:r>
    </w:p>
    <w:p w14:paraId="705871E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480" w:firstLineChars="150"/>
        <w:textAlignment w:val="auto"/>
        <w:rPr>
          <w:rFonts w:hint="default" w:ascii="Times New Roman" w:hAnsi="Times New Roman" w:eastAsia="楷体_GB2312" w:cs="Times New Roman"/>
          <w:b w:val="0"/>
          <w:bCs w:val="0"/>
          <w:i w:val="0"/>
          <w:iCs w:val="0"/>
          <w:caps w:val="0"/>
          <w:color w:val="000000"/>
          <w:spacing w:val="0"/>
          <w:sz w:val="32"/>
          <w:szCs w:val="32"/>
          <w:shd w:val="clear" w:fill="FFFFFF"/>
          <w:lang w:val="en-US" w:eastAsia="zh-CN"/>
        </w:rPr>
      </w:pPr>
      <w:r>
        <w:rPr>
          <w:rFonts w:hint="default" w:ascii="Times New Roman" w:hAnsi="Times New Roman" w:eastAsia="楷体_GB2312" w:cs="Times New Roman"/>
          <w:b w:val="0"/>
          <w:bCs w:val="0"/>
          <w:i w:val="0"/>
          <w:iCs w:val="0"/>
          <w:caps w:val="0"/>
          <w:color w:val="000000"/>
          <w:spacing w:val="0"/>
          <w:sz w:val="32"/>
          <w:szCs w:val="32"/>
          <w:shd w:val="clear" w:fill="FFFFFF"/>
          <w:lang w:eastAsia="zh-CN"/>
        </w:rPr>
        <w:t>“</w:t>
      </w:r>
      <w:r>
        <w:rPr>
          <w:rFonts w:hint="default" w:ascii="Times New Roman" w:hAnsi="Times New Roman" w:eastAsia="楷体_GB2312" w:cs="Times New Roman"/>
          <w:b w:val="0"/>
          <w:bCs w:val="0"/>
          <w:i w:val="0"/>
          <w:iCs w:val="0"/>
          <w:caps w:val="0"/>
          <w:color w:val="000000"/>
          <w:spacing w:val="0"/>
          <w:sz w:val="32"/>
          <w:szCs w:val="32"/>
          <w:shd w:val="clear" w:fill="FFFFFF"/>
        </w:rPr>
        <w:t>三公</w:t>
      </w:r>
      <w:r>
        <w:rPr>
          <w:rFonts w:hint="default" w:ascii="Times New Roman" w:hAnsi="Times New Roman" w:eastAsia="楷体_GB2312" w:cs="Times New Roman"/>
          <w:b w:val="0"/>
          <w:bCs w:val="0"/>
          <w:i w:val="0"/>
          <w:iCs w:val="0"/>
          <w:caps w:val="0"/>
          <w:color w:val="000000"/>
          <w:spacing w:val="0"/>
          <w:sz w:val="32"/>
          <w:szCs w:val="32"/>
          <w:shd w:val="clear" w:fill="FFFFFF"/>
          <w:lang w:eastAsia="zh-CN"/>
        </w:rPr>
        <w:t>”</w:t>
      </w:r>
      <w:r>
        <w:rPr>
          <w:rFonts w:hint="default" w:ascii="Times New Roman" w:hAnsi="Times New Roman" w:eastAsia="楷体_GB2312" w:cs="Times New Roman"/>
          <w:b w:val="0"/>
          <w:bCs w:val="0"/>
          <w:i w:val="0"/>
          <w:iCs w:val="0"/>
          <w:caps w:val="0"/>
          <w:color w:val="000000"/>
          <w:spacing w:val="0"/>
          <w:sz w:val="32"/>
          <w:szCs w:val="32"/>
          <w:shd w:val="clear" w:fill="FFFFFF"/>
        </w:rPr>
        <w:t>经费使用和管理情况</w:t>
      </w:r>
    </w:p>
    <w:p w14:paraId="10B1588A">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leftChars="0" w:right="0" w:rightChars="0" w:firstLine="320" w:firstLineChars="100"/>
        <w:textAlignment w:val="auto"/>
        <w:rPr>
          <w:rFonts w:hint="default" w:ascii="Times New Roman" w:hAnsi="Times New Roman" w:eastAsia="楷体_GB2312" w:cs="Times New Roman"/>
          <w:i w:val="0"/>
          <w:iCs w:val="0"/>
          <w:caps w:val="0"/>
          <w:color w:val="000000"/>
          <w:spacing w:val="0"/>
          <w:sz w:val="32"/>
          <w:szCs w:val="32"/>
          <w:shd w:val="clear" w:fill="FFFFFF"/>
        </w:rPr>
      </w:pPr>
      <w:r>
        <w:rPr>
          <w:rFonts w:hint="default" w:ascii="Times New Roman" w:hAnsi="Times New Roman" w:eastAsia="楷体_GB2312" w:cs="Times New Roman"/>
          <w:i w:val="0"/>
          <w:iCs w:val="0"/>
          <w:caps w:val="0"/>
          <w:color w:val="000000"/>
          <w:spacing w:val="0"/>
          <w:sz w:val="32"/>
          <w:szCs w:val="32"/>
          <w:shd w:val="clear" w:fill="FFFFFF"/>
        </w:rPr>
        <w:t xml:space="preserve"> </w:t>
      </w:r>
      <w:r>
        <w:rPr>
          <w:rFonts w:hint="default" w:ascii="Times New Roman" w:hAnsi="Times New Roman" w:eastAsia="仿宋" w:cs="Times New Roman"/>
          <w:spacing w:val="-2"/>
          <w:kern w:val="2"/>
          <w:sz w:val="32"/>
          <w:szCs w:val="32"/>
          <w:lang w:val="en-US" w:eastAsia="zh-CN" w:bidi="ar-SA"/>
        </w:rPr>
        <w:t>2024年“三公”经费全年共计支出7.56万元，其中：公务用车运行维护费7.56万元，公务用车购置费0万元，公务接待费0万元，因公出国（境）费0万元。2024年“三公”经费支出较上一年度减少20.34%，严格坚持财政要求，厉行节约、严格控制三公经费、从严从紧安排三公经费支出。</w:t>
      </w:r>
    </w:p>
    <w:p w14:paraId="6E5349B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t>（二）项目支出情况</w:t>
      </w:r>
    </w:p>
    <w:p w14:paraId="57BE0F33">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2024年下达项目资金78万元，其中：</w:t>
      </w:r>
      <w:r>
        <w:rPr>
          <w:rFonts w:hint="default" w:ascii="Times New Roman" w:hAnsi="Times New Roman" w:eastAsia="仿宋_GB2312" w:cs="Times New Roman"/>
          <w:i w:val="0"/>
          <w:iCs w:val="0"/>
          <w:caps w:val="0"/>
          <w:color w:val="000000"/>
          <w:spacing w:val="0"/>
          <w:kern w:val="0"/>
          <w:sz w:val="32"/>
          <w:szCs w:val="32"/>
          <w:shd w:val="clear" w:fill="FFFFFF"/>
          <w:lang w:eastAsia="zh-CN" w:bidi="ar"/>
        </w:rPr>
        <w:t>工资性支出</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2.34</w:t>
      </w:r>
      <w:r>
        <w:rPr>
          <w:rFonts w:hint="default" w:ascii="Times New Roman" w:hAnsi="Times New Roman" w:eastAsia="仿宋_GB2312" w:cs="Times New Roman"/>
          <w:i w:val="0"/>
          <w:iCs w:val="0"/>
          <w:caps w:val="0"/>
          <w:color w:val="000000"/>
          <w:spacing w:val="0"/>
          <w:kern w:val="0"/>
          <w:sz w:val="32"/>
          <w:szCs w:val="32"/>
          <w:shd w:val="clear" w:fill="FFFFFF"/>
          <w:lang w:eastAsia="zh-CN" w:bidi="ar"/>
        </w:rPr>
        <w:t>万元</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w:t>
      </w:r>
      <w:r>
        <w:rPr>
          <w:rFonts w:hint="default" w:ascii="Times New Roman" w:hAnsi="Times New Roman" w:eastAsia="仿宋_GB2312" w:cs="Times New Roman"/>
          <w:i w:val="0"/>
          <w:iCs w:val="0"/>
          <w:caps w:val="0"/>
          <w:color w:val="000000"/>
          <w:spacing w:val="0"/>
          <w:kern w:val="0"/>
          <w:sz w:val="32"/>
          <w:szCs w:val="32"/>
          <w:shd w:val="clear" w:fill="FFFFFF"/>
          <w:lang w:eastAsia="zh-CN" w:bidi="ar"/>
        </w:rPr>
        <w:t>商品服务性支出5</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0.34</w:t>
      </w:r>
      <w:r>
        <w:rPr>
          <w:rFonts w:hint="default" w:ascii="Times New Roman" w:hAnsi="Times New Roman" w:eastAsia="仿宋_GB2312" w:cs="Times New Roman"/>
          <w:i w:val="0"/>
          <w:iCs w:val="0"/>
          <w:caps w:val="0"/>
          <w:color w:val="000000"/>
          <w:spacing w:val="0"/>
          <w:kern w:val="0"/>
          <w:sz w:val="32"/>
          <w:szCs w:val="32"/>
          <w:shd w:val="clear" w:fill="FFFFFF"/>
          <w:lang w:eastAsia="zh-CN" w:bidi="ar"/>
        </w:rPr>
        <w:t>万元，对个人和家庭的补助支出2</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5.32</w:t>
      </w:r>
      <w:r>
        <w:rPr>
          <w:rFonts w:hint="default" w:ascii="Times New Roman" w:hAnsi="Times New Roman" w:eastAsia="仿宋_GB2312" w:cs="Times New Roman"/>
          <w:i w:val="0"/>
          <w:iCs w:val="0"/>
          <w:caps w:val="0"/>
          <w:color w:val="000000"/>
          <w:spacing w:val="0"/>
          <w:kern w:val="0"/>
          <w:sz w:val="32"/>
          <w:szCs w:val="32"/>
          <w:shd w:val="clear" w:fill="FFFFFF"/>
          <w:lang w:eastAsia="zh-CN" w:bidi="ar"/>
        </w:rPr>
        <w:t>万元，</w:t>
      </w:r>
      <w:r>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t>资本性支出0万元。</w:t>
      </w:r>
    </w:p>
    <w:p w14:paraId="56CFC42F">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left="0"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fill="FFFFFF"/>
          <w:lang w:val="en-US" w:eastAsia="zh-CN" w:bidi="ar"/>
        </w:rPr>
      </w:pPr>
      <w:r>
        <w:rPr>
          <w:rFonts w:hint="default" w:ascii="Times New Roman" w:hAnsi="Times New Roman" w:eastAsia="仿宋_GB2312" w:cs="Times New Roman"/>
          <w:color w:val="auto"/>
          <w:sz w:val="32"/>
          <w:szCs w:val="32"/>
          <w:highlight w:val="none"/>
          <w:lang w:val="en-US" w:eastAsia="zh-CN"/>
        </w:rPr>
        <w:t>2024年怀化市委市政府机关老干部休养所年初申报项目资金3个，合计63万元，分别是：老干春节慰问费、祝寿13万元、专项业务（工作）经费32万元、老干电话费和小车补助等四项经费18万元；年中调整项目2个，合计15万元，分别是：市直单位老干部活动经费12万元，厅级退休老干部活动经费3万元。</w:t>
      </w:r>
    </w:p>
    <w:p w14:paraId="6B04C6D7">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黑体" w:cs="Times New Roman"/>
          <w:i w:val="0"/>
          <w:iCs w:val="0"/>
          <w:caps w:val="0"/>
          <w:color w:val="000000"/>
          <w:spacing w:val="0"/>
          <w:sz w:val="32"/>
          <w:szCs w:val="32"/>
          <w:shd w:val="clear" w:color="auto" w:fill="FFFFFF"/>
          <w:lang w:val="en-US" w:eastAsia="zh-CN"/>
        </w:rPr>
      </w:pPr>
      <w:r>
        <w:rPr>
          <w:rFonts w:hint="default" w:ascii="Times New Roman" w:hAnsi="Times New Roman" w:eastAsia="黑体" w:cs="Times New Roman"/>
          <w:i w:val="0"/>
          <w:iCs w:val="0"/>
          <w:caps w:val="0"/>
          <w:color w:val="000000"/>
          <w:spacing w:val="0"/>
          <w:sz w:val="32"/>
          <w:szCs w:val="32"/>
          <w:shd w:val="clear" w:color="auto" w:fill="FFFFFF"/>
          <w:lang w:val="en-US" w:eastAsia="zh-CN"/>
        </w:rPr>
        <w:t>三、项目组织实施情况</w:t>
      </w:r>
    </w:p>
    <w:p w14:paraId="01EDEECE">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t>（一）项目组织情况分析，主要包括项目招投标、调整、竣工验收等情况。</w:t>
      </w:r>
    </w:p>
    <w:p w14:paraId="2589EFBD">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 w:cs="Times New Roman"/>
          <w:color w:val="auto"/>
          <w:sz w:val="32"/>
          <w:szCs w:val="32"/>
          <w:highlight w:val="none"/>
          <w:lang w:val="en-US" w:eastAsia="zh-CN"/>
        </w:rPr>
        <w:t>按照年初预算及工作计划安排，2024年共安排427.97万元，其中人员项目全年预算安排329.13万元，实际支出329.13万元，预算执行率100.00%；公用经费项目全年预算安排20.42万元，实际支出20.42万元，预算执行率100.00%；专项支出78万元，实际执行78万元，预算执行率100.00%。2024年度</w:t>
      </w:r>
      <w:r>
        <w:rPr>
          <w:rFonts w:hint="default" w:ascii="Times New Roman" w:hAnsi="Times New Roman" w:eastAsia="仿宋_GB2312" w:cs="Times New Roman"/>
          <w:color w:val="auto"/>
          <w:sz w:val="32"/>
          <w:szCs w:val="32"/>
          <w:highlight w:val="none"/>
          <w:lang w:val="en-US" w:eastAsia="zh-CN"/>
        </w:rPr>
        <w:t>老干春节慰问费、祝寿13万元</w:t>
      </w:r>
      <w:r>
        <w:rPr>
          <w:rFonts w:hint="default" w:ascii="Times New Roman" w:hAnsi="Times New Roman" w:eastAsia="仿宋" w:cs="Times New Roman"/>
          <w:color w:val="auto"/>
          <w:sz w:val="32"/>
          <w:szCs w:val="32"/>
          <w:highlight w:val="none"/>
          <w:lang w:val="en-US" w:eastAsia="zh-CN"/>
        </w:rPr>
        <w:t>，实际支出13万元，预算执行率100%；2024年</w:t>
      </w:r>
      <w:r>
        <w:rPr>
          <w:rFonts w:hint="default" w:ascii="Times New Roman" w:hAnsi="Times New Roman" w:eastAsia="仿宋_GB2312" w:cs="Times New Roman"/>
          <w:color w:val="auto"/>
          <w:sz w:val="32"/>
          <w:szCs w:val="32"/>
          <w:highlight w:val="none"/>
          <w:lang w:val="en-US" w:eastAsia="zh-CN"/>
        </w:rPr>
        <w:t>专项业务（工作）经费32万元</w:t>
      </w:r>
      <w:r>
        <w:rPr>
          <w:rFonts w:hint="default" w:ascii="Times New Roman" w:hAnsi="Times New Roman" w:eastAsia="仿宋" w:cs="Times New Roman"/>
          <w:color w:val="auto"/>
          <w:sz w:val="32"/>
          <w:szCs w:val="32"/>
          <w:highlight w:val="none"/>
          <w:lang w:val="en-US" w:eastAsia="zh-CN"/>
        </w:rPr>
        <w:t>，实际支出32万元，预算执行率100%；</w:t>
      </w:r>
      <w:r>
        <w:rPr>
          <w:rFonts w:hint="default" w:ascii="Times New Roman" w:hAnsi="Times New Roman" w:eastAsia="仿宋_GB2312" w:cs="Times New Roman"/>
          <w:color w:val="auto"/>
          <w:sz w:val="32"/>
          <w:szCs w:val="32"/>
          <w:highlight w:val="none"/>
          <w:lang w:val="en-US" w:eastAsia="zh-CN"/>
        </w:rPr>
        <w:t>老干电话费和小车补助等四项经费18万元，</w:t>
      </w:r>
      <w:r>
        <w:rPr>
          <w:rFonts w:hint="default" w:ascii="Times New Roman" w:hAnsi="Times New Roman" w:eastAsia="仿宋" w:cs="Times New Roman"/>
          <w:color w:val="auto"/>
          <w:sz w:val="32"/>
          <w:szCs w:val="32"/>
          <w:highlight w:val="none"/>
          <w:lang w:val="en-US" w:eastAsia="zh-CN"/>
        </w:rPr>
        <w:t>实际支出18万元，预算执行率100%；</w:t>
      </w:r>
      <w:r>
        <w:rPr>
          <w:rFonts w:hint="default" w:ascii="Times New Roman" w:hAnsi="Times New Roman" w:eastAsia="仿宋_GB2312" w:cs="Times New Roman"/>
          <w:color w:val="auto"/>
          <w:sz w:val="32"/>
          <w:szCs w:val="32"/>
          <w:highlight w:val="none"/>
          <w:lang w:val="en-US" w:eastAsia="zh-CN"/>
        </w:rPr>
        <w:t>市直单位老干部活动经费12万元，</w:t>
      </w:r>
      <w:r>
        <w:rPr>
          <w:rFonts w:hint="default" w:ascii="Times New Roman" w:hAnsi="Times New Roman" w:eastAsia="仿宋" w:cs="Times New Roman"/>
          <w:color w:val="auto"/>
          <w:sz w:val="32"/>
          <w:szCs w:val="32"/>
          <w:highlight w:val="none"/>
          <w:lang w:val="en-US" w:eastAsia="zh-CN"/>
        </w:rPr>
        <w:t>实际支出12万元，预算执行率100%；</w:t>
      </w:r>
      <w:r>
        <w:rPr>
          <w:rFonts w:hint="default" w:ascii="Times New Roman" w:hAnsi="Times New Roman" w:eastAsia="仿宋_GB2312" w:cs="Times New Roman"/>
          <w:color w:val="auto"/>
          <w:sz w:val="32"/>
          <w:szCs w:val="32"/>
          <w:highlight w:val="none"/>
          <w:lang w:val="en-US" w:eastAsia="zh-CN"/>
        </w:rPr>
        <w:t>厅级退休老干部活动经费3万元</w:t>
      </w:r>
      <w:r>
        <w:rPr>
          <w:rFonts w:hint="default" w:ascii="Times New Roman" w:hAnsi="Times New Roman" w:eastAsia="仿宋" w:cs="Times New Roman"/>
          <w:color w:val="auto"/>
          <w:sz w:val="32"/>
          <w:szCs w:val="32"/>
          <w:highlight w:val="none"/>
          <w:lang w:val="en-US" w:eastAsia="zh-CN"/>
        </w:rPr>
        <w:t>，实际支出3万元，预算执行率100%；截止自评报告日，项目已经全部完成。</w:t>
      </w:r>
    </w:p>
    <w:p w14:paraId="09F402F8">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3" w:firstLineChars="200"/>
        <w:textAlignment w:val="auto"/>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pPr>
      <w:r>
        <w:rPr>
          <w:rFonts w:hint="default" w:ascii="Times New Roman" w:hAnsi="Times New Roman" w:eastAsia="楷体_GB2312" w:cs="Times New Roman"/>
          <w:b/>
          <w:bCs/>
          <w:i w:val="0"/>
          <w:iCs w:val="0"/>
          <w:caps w:val="0"/>
          <w:color w:val="000000"/>
          <w:spacing w:val="0"/>
          <w:sz w:val="32"/>
          <w:szCs w:val="32"/>
          <w:shd w:val="clear" w:color="auto" w:fill="FFFFFF"/>
          <w:lang w:val="en-US" w:eastAsia="zh-CN"/>
        </w:rPr>
        <w:t>（二）项目管理情况分析，主要包括项目管理制度建设、日常检查监督管理等情况。</w:t>
      </w:r>
    </w:p>
    <w:p w14:paraId="75627A6E">
      <w:pPr>
        <w:keepNext w:val="0"/>
        <w:keepLines w:val="0"/>
        <w:pageBreakBefore w:val="0"/>
        <w:widowControl w:val="0"/>
        <w:kinsoku/>
        <w:wordWrap/>
        <w:overflowPunct/>
        <w:topLinePunct w:val="0"/>
        <w:autoSpaceDE/>
        <w:autoSpaceDN/>
        <w:bidi w:val="0"/>
        <w:adjustRightInd/>
        <w:snapToGrid w:val="0"/>
        <w:spacing w:line="580" w:lineRule="exact"/>
        <w:ind w:left="0" w:firstLine="64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32"/>
          <w:szCs w:val="32"/>
          <w:highlight w:val="none"/>
          <w:lang w:val="en-US" w:eastAsia="zh-CN"/>
        </w:rPr>
        <w:t>2024年，单位依据年初预算及财政下达指标，实施预算项目绩效管理，按照年初绩效目标的要求，进一步提高预算绩效管理意识，在所长及分管领导带领下，严格遵守中心管理制度，认真组织项目实施，确保预算执行及时到位，进一步规范财政资金管理、强化绩效意识和支出责任，提高单位预算绩效管理整体水平。本部门项目经费主要用于开展业务工作，非实质性工程项目，不涉及项目招投标、调整、竣工验收等情况。</w:t>
      </w:r>
    </w:p>
    <w:p w14:paraId="6681E124">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黑体" w:cs="Times New Roman"/>
          <w:i w:val="0"/>
          <w:iCs w:val="0"/>
          <w:caps w:val="0"/>
          <w:color w:val="000000"/>
          <w:spacing w:val="0"/>
          <w:sz w:val="32"/>
          <w:szCs w:val="32"/>
          <w:shd w:val="clear" w:color="auto" w:fill="FFFFFF"/>
          <w:lang w:val="en-US" w:eastAsia="zh-CN"/>
        </w:rPr>
      </w:pPr>
      <w:r>
        <w:rPr>
          <w:rFonts w:hint="default" w:ascii="Times New Roman" w:hAnsi="Times New Roman" w:eastAsia="黑体" w:cs="Times New Roman"/>
          <w:i w:val="0"/>
          <w:iCs w:val="0"/>
          <w:caps w:val="0"/>
          <w:color w:val="000000"/>
          <w:spacing w:val="0"/>
          <w:sz w:val="32"/>
          <w:szCs w:val="32"/>
          <w:shd w:val="clear" w:color="auto" w:fill="FFFFFF"/>
          <w:lang w:val="en-US" w:eastAsia="zh-CN"/>
        </w:rPr>
        <w:t>四、资产管理情况</w:t>
      </w:r>
    </w:p>
    <w:p w14:paraId="4CF19ED0">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一是加强会计核算工作。</w:t>
      </w:r>
      <w:r>
        <w:rPr>
          <w:rFonts w:hint="default" w:ascii="Times New Roman" w:hAnsi="Times New Roman" w:eastAsia="仿宋_GB2312" w:cs="Times New Roman"/>
          <w:color w:val="auto"/>
          <w:sz w:val="32"/>
          <w:szCs w:val="32"/>
          <w:highlight w:val="none"/>
          <w:lang w:val="en-US" w:eastAsia="zh-CN"/>
        </w:rPr>
        <w:t xml:space="preserve">严格执行现行固定资产管理制度，对购入固定资产、收到的捐赠资产、上级主管部门调拨资产及时入账、并按照数量、金额登记明细账，及时编制资产卡片，确保不漏登少登固定资产，做到账实相符。 </w:t>
      </w:r>
    </w:p>
    <w:p w14:paraId="4B5FB37E">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二是加强流程管理。</w:t>
      </w:r>
      <w:r>
        <w:rPr>
          <w:rFonts w:hint="default" w:ascii="Times New Roman" w:hAnsi="Times New Roman" w:eastAsia="仿宋_GB2312" w:cs="Times New Roman"/>
          <w:color w:val="auto"/>
          <w:sz w:val="32"/>
          <w:szCs w:val="32"/>
          <w:highlight w:val="none"/>
          <w:lang w:val="en-US" w:eastAsia="zh-CN"/>
        </w:rPr>
        <w:t xml:space="preserve">对纳入政府采购目录范围内的资产采购，先报市财政局政府采购管理部门审批，对未纳入政府采购目录范围的物资采购，货比三家。对未纳入预算的固定资产不得随意采购，确需采购的，必须经预算管理部门批准。 </w:t>
      </w:r>
    </w:p>
    <w:p w14:paraId="44AD87C7">
      <w:pPr>
        <w:keepNext w:val="0"/>
        <w:keepLines w:val="0"/>
        <w:pageBreakBefore w:val="0"/>
        <w:widowControl w:val="0"/>
        <w:kinsoku/>
        <w:wordWrap/>
        <w:overflowPunct/>
        <w:topLinePunct w:val="0"/>
        <w:autoSpaceDE/>
        <w:autoSpaceDN/>
        <w:bidi w:val="0"/>
        <w:adjustRightInd/>
        <w:snapToGrid w:val="0"/>
        <w:spacing w:line="580" w:lineRule="exact"/>
        <w:ind w:left="0" w:firstLine="643" w:firstLineChars="200"/>
        <w:textAlignment w:val="auto"/>
        <w:rPr>
          <w:rFonts w:hint="default" w:ascii="Times New Roman" w:hAnsi="Times New Roman" w:eastAsia="仿宋_GB2312" w:cs="Times New Roman"/>
          <w:color w:val="auto"/>
          <w:sz w:val="32"/>
          <w:szCs w:val="32"/>
          <w:highlight w:val="none"/>
          <w:lang w:val="en-US" w:eastAsia="zh-CN"/>
        </w:rPr>
      </w:pPr>
      <w:r>
        <w:rPr>
          <w:rFonts w:hint="default" w:ascii="Times New Roman" w:hAnsi="Times New Roman" w:eastAsia="仿宋_GB2312" w:cs="Times New Roman"/>
          <w:b/>
          <w:bCs/>
          <w:color w:val="auto"/>
          <w:sz w:val="32"/>
          <w:szCs w:val="32"/>
          <w:highlight w:val="none"/>
          <w:lang w:val="en-US" w:eastAsia="zh-CN"/>
        </w:rPr>
        <w:t>三是加强内部监督。</w:t>
      </w:r>
      <w:r>
        <w:rPr>
          <w:rFonts w:hint="default" w:ascii="Times New Roman" w:hAnsi="Times New Roman" w:eastAsia="仿宋_GB2312" w:cs="Times New Roman"/>
          <w:color w:val="auto"/>
          <w:sz w:val="32"/>
          <w:szCs w:val="32"/>
          <w:highlight w:val="none"/>
          <w:lang w:val="en-US" w:eastAsia="zh-CN"/>
        </w:rPr>
        <w:t>定期或者不定期对固定资产进行清查盘点，检查资产的购置、领用、处置是否合程合规、账实是否相符，防止国有资产遭受损失和流失，实现资产管理绩效。</w:t>
      </w:r>
    </w:p>
    <w:p w14:paraId="7510F1B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黑体" w:cs="Times New Roman"/>
          <w:i w:val="0"/>
          <w:iCs w:val="0"/>
          <w:caps w:val="0"/>
          <w:color w:val="000000"/>
          <w:spacing w:val="0"/>
          <w:sz w:val="32"/>
          <w:szCs w:val="32"/>
          <w:shd w:val="clear" w:color="auto" w:fill="FFFFFF"/>
        </w:rPr>
      </w:pPr>
      <w:r>
        <w:rPr>
          <w:rFonts w:hint="default" w:ascii="Times New Roman" w:hAnsi="Times New Roman" w:eastAsia="黑体" w:cs="Times New Roman"/>
          <w:i w:val="0"/>
          <w:iCs w:val="0"/>
          <w:caps w:val="0"/>
          <w:color w:val="000000"/>
          <w:spacing w:val="0"/>
          <w:sz w:val="32"/>
          <w:szCs w:val="32"/>
          <w:shd w:val="clear" w:color="auto" w:fill="FFFFFF"/>
          <w:lang w:eastAsia="zh-CN"/>
        </w:rPr>
        <w:t>五</w:t>
      </w:r>
      <w:r>
        <w:rPr>
          <w:rFonts w:hint="default" w:ascii="Times New Roman" w:hAnsi="Times New Roman" w:eastAsia="黑体" w:cs="Times New Roman"/>
          <w:i w:val="0"/>
          <w:iCs w:val="0"/>
          <w:caps w:val="0"/>
          <w:color w:val="000000"/>
          <w:spacing w:val="0"/>
          <w:sz w:val="32"/>
          <w:szCs w:val="32"/>
          <w:shd w:val="clear" w:color="auto" w:fill="FFFFFF"/>
        </w:rPr>
        <w:t>、政府性基金预算支出情况</w:t>
      </w:r>
    </w:p>
    <w:p w14:paraId="344F821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32" w:firstLineChars="200"/>
        <w:textAlignment w:val="auto"/>
        <w:rPr>
          <w:rFonts w:hint="default" w:ascii="Times New Roman" w:hAnsi="Times New Roman" w:eastAsia="仿宋" w:cs="Times New Roman"/>
          <w:spacing w:val="-2"/>
          <w:kern w:val="2"/>
          <w:sz w:val="32"/>
          <w:szCs w:val="32"/>
          <w:lang w:val="en-US" w:eastAsia="zh-CN" w:bidi="ar-SA"/>
        </w:rPr>
      </w:pPr>
      <w:r>
        <w:rPr>
          <w:rFonts w:hint="default" w:ascii="Times New Roman" w:hAnsi="Times New Roman" w:eastAsia="仿宋" w:cs="Times New Roman"/>
          <w:spacing w:val="-2"/>
          <w:kern w:val="2"/>
          <w:sz w:val="32"/>
          <w:szCs w:val="32"/>
          <w:lang w:val="en-US" w:eastAsia="zh-CN" w:bidi="ar-SA"/>
        </w:rPr>
        <w:t>无</w:t>
      </w:r>
    </w:p>
    <w:p w14:paraId="5BA23B87">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黑体" w:cs="Times New Roman"/>
          <w:i w:val="0"/>
          <w:iCs w:val="0"/>
          <w:caps w:val="0"/>
          <w:color w:val="000000"/>
          <w:spacing w:val="0"/>
          <w:sz w:val="32"/>
          <w:szCs w:val="32"/>
        </w:rPr>
      </w:pPr>
      <w:r>
        <w:rPr>
          <w:rFonts w:hint="default" w:ascii="Times New Roman" w:hAnsi="Times New Roman" w:eastAsia="黑体" w:cs="Times New Roman"/>
          <w:i w:val="0"/>
          <w:iCs w:val="0"/>
          <w:caps w:val="0"/>
          <w:color w:val="000000"/>
          <w:spacing w:val="0"/>
          <w:sz w:val="32"/>
          <w:szCs w:val="32"/>
          <w:shd w:val="clear" w:color="auto" w:fill="FFFFFF"/>
          <w:lang w:eastAsia="zh-CN"/>
        </w:rPr>
        <w:t>六</w:t>
      </w:r>
      <w:r>
        <w:rPr>
          <w:rFonts w:hint="default" w:ascii="Times New Roman" w:hAnsi="Times New Roman" w:eastAsia="黑体" w:cs="Times New Roman"/>
          <w:i w:val="0"/>
          <w:iCs w:val="0"/>
          <w:caps w:val="0"/>
          <w:color w:val="000000"/>
          <w:spacing w:val="0"/>
          <w:sz w:val="32"/>
          <w:szCs w:val="32"/>
          <w:shd w:val="clear" w:color="auto" w:fill="FFFFFF"/>
        </w:rPr>
        <w:t>、国有资本经营预算支出情况</w:t>
      </w:r>
    </w:p>
    <w:p w14:paraId="68B40E63">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仿宋" w:cs="Times New Roman"/>
          <w:spacing w:val="-2"/>
          <w:sz w:val="32"/>
          <w:szCs w:val="32"/>
          <w:lang w:eastAsia="zh-CN"/>
        </w:rPr>
      </w:pPr>
      <w:r>
        <w:rPr>
          <w:rFonts w:hint="default" w:ascii="Times New Roman" w:hAnsi="Times New Roman" w:eastAsia="仿宋" w:cs="Times New Roman"/>
          <w:spacing w:val="-2"/>
          <w:sz w:val="32"/>
          <w:szCs w:val="32"/>
          <w:lang w:eastAsia="zh-CN"/>
        </w:rPr>
        <w:t>无</w:t>
      </w:r>
    </w:p>
    <w:p w14:paraId="583325D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黑体" w:cs="Times New Roman"/>
          <w:i w:val="0"/>
          <w:iCs w:val="0"/>
          <w:caps w:val="0"/>
          <w:color w:val="000000"/>
          <w:spacing w:val="0"/>
          <w:sz w:val="32"/>
          <w:szCs w:val="32"/>
        </w:rPr>
      </w:pPr>
      <w:r>
        <w:rPr>
          <w:rFonts w:hint="default" w:ascii="Times New Roman" w:hAnsi="Times New Roman" w:eastAsia="黑体" w:cs="Times New Roman"/>
          <w:i w:val="0"/>
          <w:iCs w:val="0"/>
          <w:caps w:val="0"/>
          <w:color w:val="000000"/>
          <w:spacing w:val="0"/>
          <w:sz w:val="32"/>
          <w:szCs w:val="32"/>
          <w:shd w:val="clear" w:color="auto" w:fill="FFFFFF"/>
          <w:lang w:eastAsia="zh-CN"/>
        </w:rPr>
        <w:t>七</w:t>
      </w:r>
      <w:r>
        <w:rPr>
          <w:rFonts w:hint="default" w:ascii="Times New Roman" w:hAnsi="Times New Roman" w:eastAsia="黑体" w:cs="Times New Roman"/>
          <w:i w:val="0"/>
          <w:iCs w:val="0"/>
          <w:caps w:val="0"/>
          <w:color w:val="000000"/>
          <w:spacing w:val="0"/>
          <w:sz w:val="32"/>
          <w:szCs w:val="32"/>
          <w:shd w:val="clear" w:color="auto" w:fill="FFFFFF"/>
        </w:rPr>
        <w:t>、社会保险基金预算支出情况</w:t>
      </w:r>
    </w:p>
    <w:p w14:paraId="2F65B66F">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仿宋" w:cs="Times New Roman"/>
          <w:spacing w:val="-2"/>
          <w:sz w:val="32"/>
          <w:szCs w:val="32"/>
          <w:lang w:eastAsia="zh-CN"/>
        </w:rPr>
      </w:pPr>
      <w:r>
        <w:rPr>
          <w:rFonts w:hint="default" w:ascii="Times New Roman" w:hAnsi="Times New Roman" w:eastAsia="仿宋" w:cs="Times New Roman"/>
          <w:spacing w:val="-2"/>
          <w:sz w:val="32"/>
          <w:szCs w:val="32"/>
          <w:lang w:eastAsia="zh-CN"/>
        </w:rPr>
        <w:t>无</w:t>
      </w:r>
    </w:p>
    <w:p w14:paraId="453F7AF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黑体" w:cs="Times New Roman"/>
          <w:i w:val="0"/>
          <w:iCs w:val="0"/>
          <w:caps w:val="0"/>
          <w:color w:val="000000"/>
          <w:spacing w:val="0"/>
          <w:sz w:val="32"/>
          <w:szCs w:val="32"/>
          <w:shd w:val="clear" w:color="auto" w:fill="FFFFFF"/>
          <w:lang w:val="en-US" w:eastAsia="zh-CN"/>
        </w:rPr>
      </w:pPr>
      <w:r>
        <w:rPr>
          <w:rFonts w:hint="default" w:ascii="Times New Roman" w:hAnsi="Times New Roman" w:eastAsia="黑体" w:cs="Times New Roman"/>
          <w:i w:val="0"/>
          <w:iCs w:val="0"/>
          <w:caps w:val="0"/>
          <w:color w:val="000000"/>
          <w:spacing w:val="0"/>
          <w:sz w:val="32"/>
          <w:szCs w:val="32"/>
          <w:shd w:val="clear" w:color="auto" w:fill="FFFFFF"/>
          <w:lang w:val="en-US" w:eastAsia="zh-CN"/>
        </w:rPr>
        <w:t>八、部门整体支出绩效情况</w:t>
      </w:r>
    </w:p>
    <w:p w14:paraId="21CC9860">
      <w:pPr>
        <w:pStyle w:val="11"/>
        <w:keepNext w:val="0"/>
        <w:keepLines w:val="0"/>
        <w:pageBreakBefore w:val="0"/>
        <w:widowControl w:val="0"/>
        <w:kinsoku/>
        <w:wordWrap/>
        <w:overflowPunct/>
        <w:topLinePunct w:val="0"/>
        <w:autoSpaceDE/>
        <w:autoSpaceDN/>
        <w:bidi w:val="0"/>
        <w:adjustRightInd/>
        <w:spacing w:beforeLines="0" w:afterLines="0" w:line="580" w:lineRule="exact"/>
        <w:ind w:left="0" w:leftChars="0" w:firstLine="643" w:firstLineChars="200"/>
        <w:jc w:val="left"/>
        <w:textAlignment w:val="auto"/>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1.综合评价指标分析</w:t>
      </w:r>
    </w:p>
    <w:p w14:paraId="26E2842E">
      <w:pPr>
        <w:pStyle w:val="7"/>
        <w:keepNext w:val="0"/>
        <w:keepLines w:val="0"/>
        <w:pageBreakBefore w:val="0"/>
        <w:widowControl w:val="0"/>
        <w:numPr>
          <w:ilvl w:val="0"/>
          <w:numId w:val="0"/>
        </w:numPr>
        <w:kinsoku/>
        <w:wordWrap/>
        <w:overflowPunct/>
        <w:topLinePunct w:val="0"/>
        <w:autoSpaceDE/>
        <w:autoSpaceDN/>
        <w:bidi w:val="0"/>
        <w:adjustRightInd/>
        <w:spacing w:line="580" w:lineRule="exact"/>
        <w:ind w:left="0" w:firstLine="643" w:firstLineChars="200"/>
        <w:jc w:val="left"/>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整体绩效目标设定：</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根据绩效目标设定的相关规定，围绕我所的部门职责和行业发展规划，制定本所整体绩效目标，绩效目标设定基本做到了完整、合理、细化和量化。</w:t>
      </w:r>
    </w:p>
    <w:p w14:paraId="16C10564">
      <w:pPr>
        <w:pStyle w:val="7"/>
        <w:keepNext w:val="0"/>
        <w:keepLines w:val="0"/>
        <w:pageBreakBefore w:val="0"/>
        <w:widowControl w:val="0"/>
        <w:kinsoku/>
        <w:wordWrap/>
        <w:overflowPunct/>
        <w:topLinePunct w:val="0"/>
        <w:autoSpaceDE/>
        <w:autoSpaceDN/>
        <w:bidi w:val="0"/>
        <w:adjustRightInd/>
        <w:spacing w:line="580" w:lineRule="exact"/>
        <w:ind w:left="0" w:firstLine="643" w:firstLineChars="200"/>
        <w:jc w:val="left"/>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预算配置方面：</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根据年初预算和履职目标，参考上一年预算执行情况、有关支出绩效评价结果和本年度收支预测，按照规定程序征求各方面意见后，进行分配，确保预算资金分配合理、合规。</w:t>
      </w:r>
    </w:p>
    <w:p w14:paraId="4AB40E62">
      <w:pPr>
        <w:pStyle w:val="7"/>
        <w:keepNext w:val="0"/>
        <w:keepLines w:val="0"/>
        <w:pageBreakBefore w:val="0"/>
        <w:widowControl w:val="0"/>
        <w:kinsoku/>
        <w:wordWrap/>
        <w:overflowPunct/>
        <w:topLinePunct w:val="0"/>
        <w:autoSpaceDE/>
        <w:autoSpaceDN/>
        <w:bidi w:val="0"/>
        <w:adjustRightInd/>
        <w:spacing w:line="580" w:lineRule="exact"/>
        <w:ind w:left="0" w:firstLine="643" w:firstLineChars="200"/>
        <w:jc w:val="left"/>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预算执行：</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按照“量入为出、收支平衡”的原则。严格执行本所预算配置方案，不擅自扩大支出范围、提高开支标准，及时了解预算执行进度，提高资金执行效率。</w:t>
      </w:r>
    </w:p>
    <w:p w14:paraId="1D48AFEF">
      <w:pPr>
        <w:pStyle w:val="7"/>
        <w:keepNext w:val="0"/>
        <w:keepLines w:val="0"/>
        <w:pageBreakBefore w:val="0"/>
        <w:widowControl w:val="0"/>
        <w:kinsoku/>
        <w:wordWrap/>
        <w:overflowPunct/>
        <w:topLinePunct w:val="0"/>
        <w:autoSpaceDE/>
        <w:autoSpaceDN/>
        <w:bidi w:val="0"/>
        <w:adjustRightInd/>
        <w:spacing w:line="580" w:lineRule="exact"/>
        <w:ind w:left="0" w:firstLine="643" w:firstLineChars="200"/>
        <w:jc w:val="left"/>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预算管理：</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我单位按照预算法要求进行预算管理。一是预算编制。采取零基预算法、定额预算法、固定预算法进行“一上”申报，在“一下”的基础上进行修改进行“二上”申报，形成以单位领导支持、财务牵头、其他部门密切配合的工作格局，保证预算编制质量；二是预算执行。部门预算经批复后，对财政下达指标数据核对，科学合理安排支出，专项项目资金做到专款专用。三是加强对预算执行过程的控制和结果的反馈，对预算执行差异及时分析成因和影响，并及时向领导和相关部门进行反馈，以采取措施纠正执行偏差，促进预算目标的全面完成。</w:t>
      </w:r>
    </w:p>
    <w:p w14:paraId="2CDBF8A8">
      <w:pPr>
        <w:pStyle w:val="7"/>
        <w:keepNext w:val="0"/>
        <w:keepLines w:val="0"/>
        <w:pageBreakBefore w:val="0"/>
        <w:widowControl w:val="0"/>
        <w:kinsoku/>
        <w:wordWrap/>
        <w:overflowPunct/>
        <w:topLinePunct w:val="0"/>
        <w:autoSpaceDE/>
        <w:autoSpaceDN/>
        <w:bidi w:val="0"/>
        <w:adjustRightInd/>
        <w:spacing w:line="580" w:lineRule="exact"/>
        <w:ind w:left="0" w:firstLine="643" w:firstLineChars="200"/>
        <w:jc w:val="left"/>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资产管理：</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我所严格按照《行政事业性国有资产管理条例》（国务院令738号）进行固定资产配置、购置、验收、入账，对固定资产实施资产管理信息动态化监管，建立了规范的固定资产台账，落实资产关键岗位、使用人员的职责。</w:t>
      </w:r>
    </w:p>
    <w:p w14:paraId="0E14CF0B">
      <w:pPr>
        <w:pStyle w:val="7"/>
        <w:keepNext w:val="0"/>
        <w:keepLines w:val="0"/>
        <w:pageBreakBefore w:val="0"/>
        <w:widowControl w:val="0"/>
        <w:kinsoku/>
        <w:wordWrap/>
        <w:overflowPunct/>
        <w:topLinePunct w:val="0"/>
        <w:autoSpaceDE/>
        <w:autoSpaceDN/>
        <w:bidi w:val="0"/>
        <w:adjustRightInd/>
        <w:spacing w:line="580" w:lineRule="exact"/>
        <w:ind w:left="0" w:firstLine="643" w:firstLineChars="200"/>
        <w:jc w:val="left"/>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履职履效：</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2024年围绕本所工作职责开展工作平稳、有序，很好的完成了市委、市政府下达的各项工作任务和老干所自身绩效目标。</w:t>
      </w:r>
    </w:p>
    <w:p w14:paraId="4999A9EF">
      <w:pPr>
        <w:pStyle w:val="11"/>
        <w:keepNext w:val="0"/>
        <w:keepLines w:val="0"/>
        <w:pageBreakBefore w:val="0"/>
        <w:widowControl w:val="0"/>
        <w:kinsoku/>
        <w:wordWrap/>
        <w:overflowPunct/>
        <w:topLinePunct w:val="0"/>
        <w:autoSpaceDE/>
        <w:autoSpaceDN/>
        <w:bidi w:val="0"/>
        <w:adjustRightInd/>
        <w:spacing w:beforeLines="0" w:afterLines="0" w:line="580" w:lineRule="exact"/>
        <w:ind w:left="0" w:leftChars="0" w:firstLine="643" w:firstLineChars="200"/>
        <w:jc w:val="left"/>
        <w:textAlignment w:val="auto"/>
        <w:rPr>
          <w:rFonts w:hint="default" w:ascii="Times New Roman" w:hAnsi="Times New Roman" w:eastAsia="楷体" w:cs="Times New Roman"/>
          <w:b/>
          <w:color w:val="0000FF"/>
          <w:spacing w:val="-2"/>
          <w:sz w:val="32"/>
          <w:szCs w:val="32"/>
          <w:lang w:val="en-US" w:eastAsia="zh-CN"/>
        </w:rPr>
      </w:pPr>
      <w:r>
        <w:rPr>
          <w:rFonts w:hint="default" w:ascii="Times New Roman" w:hAnsi="Times New Roman" w:eastAsia="仿宋_GB2312" w:cs="Times New Roman"/>
          <w:b/>
          <w:bCs/>
          <w:i w:val="0"/>
          <w:iCs w:val="0"/>
          <w:caps w:val="0"/>
          <w:color w:val="000000"/>
          <w:spacing w:val="0"/>
          <w:kern w:val="0"/>
          <w:sz w:val="32"/>
          <w:szCs w:val="32"/>
          <w:shd w:val="clear" w:color="auto" w:fill="FFFFFF"/>
          <w:lang w:val="en-US" w:eastAsia="zh-CN" w:bidi="ar"/>
        </w:rPr>
        <w:t>2.绩效目标完成情况及绩效情况</w:t>
      </w:r>
    </w:p>
    <w:p w14:paraId="6B0647F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32" w:firstLineChars="200"/>
        <w:textAlignment w:val="auto"/>
        <w:rPr>
          <w:rFonts w:hint="default" w:ascii="Times New Roman" w:hAnsi="Times New Roman" w:eastAsia="仿宋" w:cs="Times New Roman"/>
          <w:spacing w:val="-2"/>
          <w:sz w:val="32"/>
          <w:szCs w:val="32"/>
          <w:highlight w:val="none"/>
          <w:lang w:val="en-US" w:eastAsia="zh-CN"/>
        </w:rPr>
      </w:pPr>
      <w:r>
        <w:rPr>
          <w:rFonts w:hint="default" w:ascii="Times New Roman" w:hAnsi="Times New Roman" w:eastAsia="仿宋" w:cs="Times New Roman"/>
          <w:spacing w:val="-2"/>
          <w:sz w:val="32"/>
          <w:szCs w:val="32"/>
          <w:highlight w:val="none"/>
          <w:lang w:val="en-US" w:eastAsia="zh-CN"/>
        </w:rPr>
        <w:t>我部门2024年一般公共预算资金总体目标完成较好，具体如下：</w:t>
      </w:r>
    </w:p>
    <w:p w14:paraId="7271F5DD">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（1）产出指标分析</w:t>
      </w:r>
    </w:p>
    <w:p w14:paraId="44CD2733">
      <w:pPr>
        <w:keepNext w:val="0"/>
        <w:keepLines w:val="0"/>
        <w:pageBreakBefore w:val="0"/>
        <w:widowControl w:val="0"/>
        <w:kinsoku/>
        <w:wordWrap/>
        <w:overflowPunct/>
        <w:topLinePunct w:val="0"/>
        <w:autoSpaceDE/>
        <w:autoSpaceDN/>
        <w:bidi w:val="0"/>
        <w:adjustRightInd/>
        <w:spacing w:line="580" w:lineRule="exact"/>
        <w:ind w:left="0" w:firstLine="640" w:firstLineChars="200"/>
        <w:textAlignment w:val="auto"/>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kern w:val="0"/>
          <w:sz w:val="32"/>
          <w:szCs w:val="32"/>
          <w:shd w:val="clear" w:color="auto" w:fill="FFFFFF"/>
          <w:lang w:val="en-US" w:eastAsia="zh-CN" w:bidi="ar"/>
        </w:rPr>
        <w:t>2024年度老干所坚持“五必访”“两定访”制度，做好入户暖心服务工作。一是开展老干部力所能及的活动。目前我所平均每周开展各种形式的活动6次，最多时达到9次；二是组织了6次参观考察活动，8位老干部参加局机关组织的厅级老干部“见证福地怀化‘五新四城’新腾飞”参观考察活动；三是结合参观考察活动，引导老同志创作了50余首点赞新时代、讴歌新怀化的诗词作品，开展“庆祝新中国成立75周年”文化作品征集活动，收集作品50个，制作《时光印记》个人画册。做实日常服务管理：一是坚持经常性地病房探视慰问。对长期住院老干部每周探视走访，每半年赠送1次慰问金。二是把“我为老干部办实事”实践活动做得更精准精细，上门为老干部家中进行磨刀服务50多件次，上门为老干部购物、买药、维修电气设备等100余人次。三是及时做好重要时间节点的走访慰问工作。在8个节日期间走访慰问了全部老干部，全年走访慰问离退休老干部及遗孀106人次，易地走访百岁老干部祝寿1次。</w:t>
      </w:r>
    </w:p>
    <w:p w14:paraId="2C9C9602">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（2）效益指标分析</w:t>
      </w:r>
    </w:p>
    <w:p w14:paraId="7CB583E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 xml:space="preserve"> 加强学习教育，支部全年集中学习12次，对于行动不方便的老同志，开展送学上门服务；不断细化老干部“一对一”结对服务，丰富老干部日常活动形式，提高离退休干部的幸福指数；积极推动乡村振兴工作，做好结对帮扶工作，完成了村部旁生活污水治理，为村民提供了休闲场所、丰富人民群众文化生活完成年初目标。</w:t>
      </w:r>
    </w:p>
    <w:p w14:paraId="58E26644">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（3）满意度指标分析</w:t>
      </w:r>
    </w:p>
    <w:p w14:paraId="57F9BEC1">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Times New Roman" w:hAnsi="Times New Roman" w:eastAsia="仿宋_GB2312" w:cs="Times New Roman"/>
          <w:i w:val="0"/>
          <w:iCs w:val="0"/>
          <w:caps w:val="0"/>
          <w:color w:val="000000"/>
          <w:spacing w:val="0"/>
          <w:sz w:val="32"/>
          <w:szCs w:val="32"/>
          <w:shd w:val="clear" w:color="auto" w:fill="FFFFFF"/>
          <w:lang w:val="en-US" w:eastAsia="zh-CN"/>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离退休老干部满意度95%以上，完成年初目标。</w:t>
      </w:r>
    </w:p>
    <w:p w14:paraId="78B5BE6A">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jc w:val="left"/>
        <w:textAlignment w:val="auto"/>
        <w:rPr>
          <w:rFonts w:hint="default" w:ascii="Times New Roman" w:hAnsi="Times New Roman" w:cs="Times New Roman"/>
          <w:color w:val="FF0000"/>
        </w:rPr>
      </w:pP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2024年，在市委市政府的高度重视和关心下，取得了较好的成绩，绩效考核评为优秀等次。</w:t>
      </w:r>
    </w:p>
    <w:p w14:paraId="56947556">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480" w:firstLineChars="150"/>
        <w:textAlignment w:val="auto"/>
        <w:rPr>
          <w:rFonts w:hint="default" w:ascii="Times New Roman" w:hAnsi="Times New Roman" w:eastAsia="黑体" w:cs="Times New Roman"/>
          <w:i w:val="0"/>
          <w:iCs w:val="0"/>
          <w:caps w:val="0"/>
          <w:color w:val="000000"/>
          <w:spacing w:val="0"/>
          <w:sz w:val="32"/>
          <w:szCs w:val="32"/>
          <w:highlight w:val="none"/>
        </w:rPr>
      </w:pPr>
      <w:r>
        <w:rPr>
          <w:rFonts w:hint="default" w:ascii="Times New Roman" w:hAnsi="Times New Roman" w:eastAsia="黑体" w:cs="Times New Roman"/>
          <w:i w:val="0"/>
          <w:iCs w:val="0"/>
          <w:caps w:val="0"/>
          <w:color w:val="000000"/>
          <w:spacing w:val="0"/>
          <w:sz w:val="32"/>
          <w:szCs w:val="32"/>
          <w:highlight w:val="none"/>
          <w:shd w:val="clear" w:fill="FFFFFF"/>
          <w:lang w:eastAsia="zh-CN"/>
        </w:rPr>
        <w:t>九</w:t>
      </w:r>
      <w:r>
        <w:rPr>
          <w:rFonts w:hint="default" w:ascii="Times New Roman" w:hAnsi="Times New Roman" w:eastAsia="黑体" w:cs="Times New Roman"/>
          <w:i w:val="0"/>
          <w:iCs w:val="0"/>
          <w:caps w:val="0"/>
          <w:color w:val="000000"/>
          <w:spacing w:val="0"/>
          <w:sz w:val="32"/>
          <w:szCs w:val="32"/>
          <w:highlight w:val="none"/>
          <w:shd w:val="clear" w:fill="FFFFFF"/>
        </w:rPr>
        <w:t>、存在的问题及原因分析</w:t>
      </w:r>
    </w:p>
    <w:p w14:paraId="2C090ED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绩效评价目标体系设置精细化程度仍需提高。在202</w:t>
      </w:r>
      <w:r>
        <w:rPr>
          <w:rFonts w:hint="default" w:ascii="Times New Roman" w:hAnsi="Times New Roman" w:eastAsia="仿宋_GB2312" w:cs="Times New Roman"/>
          <w:i w:val="0"/>
          <w:iCs w:val="0"/>
          <w:caps w:val="0"/>
          <w:color w:val="000000"/>
          <w:spacing w:val="0"/>
          <w:sz w:val="32"/>
          <w:szCs w:val="32"/>
          <w:shd w:val="clear" w:fill="FFFFFF"/>
          <w:lang w:val="en-US" w:eastAsia="zh-CN"/>
        </w:rPr>
        <w:t>4</w:t>
      </w:r>
      <w:r>
        <w:rPr>
          <w:rFonts w:hint="default" w:ascii="Times New Roman" w:hAnsi="Times New Roman" w:eastAsia="仿宋_GB2312" w:cs="Times New Roman"/>
          <w:i w:val="0"/>
          <w:iCs w:val="0"/>
          <w:caps w:val="0"/>
          <w:color w:val="000000"/>
          <w:spacing w:val="0"/>
          <w:sz w:val="32"/>
          <w:szCs w:val="32"/>
          <w:shd w:val="clear" w:fill="FFFFFF"/>
        </w:rPr>
        <w:t>年度预算绩效目标编制工作中，对各</w:t>
      </w:r>
      <w:r>
        <w:rPr>
          <w:rFonts w:hint="default" w:ascii="Times New Roman" w:hAnsi="Times New Roman" w:eastAsia="仿宋_GB2312" w:cs="Times New Roman"/>
          <w:i w:val="0"/>
          <w:iCs w:val="0"/>
          <w:caps w:val="0"/>
          <w:color w:val="000000"/>
          <w:spacing w:val="0"/>
          <w:sz w:val="32"/>
          <w:szCs w:val="32"/>
          <w:shd w:val="clear" w:fill="FFFFFF"/>
          <w:lang w:eastAsia="zh-CN"/>
        </w:rPr>
        <w:t>部</w:t>
      </w:r>
      <w:r>
        <w:rPr>
          <w:rFonts w:hint="default" w:ascii="Times New Roman" w:hAnsi="Times New Roman" w:eastAsia="仿宋_GB2312" w:cs="Times New Roman"/>
          <w:i w:val="0"/>
          <w:iCs w:val="0"/>
          <w:caps w:val="0"/>
          <w:color w:val="000000"/>
          <w:spacing w:val="0"/>
          <w:sz w:val="32"/>
          <w:szCs w:val="32"/>
          <w:shd w:val="clear" w:fill="FFFFFF"/>
        </w:rPr>
        <w:t>室的绩效目标和绩效指标的设定未紧扣各自职能，有的指标设置科学量化度不高，绩效目标编制质量仍需提高。</w:t>
      </w:r>
    </w:p>
    <w:p w14:paraId="743A4A55">
      <w:pPr>
        <w:keepNext w:val="0"/>
        <w:keepLines w:val="0"/>
        <w:pageBreakBefore w:val="0"/>
        <w:widowControl w:val="0"/>
        <w:shd w:val="clear" w:color="auto" w:fill="FFFFFF"/>
        <w:kinsoku/>
        <w:wordWrap/>
        <w:overflowPunct/>
        <w:topLinePunct w:val="0"/>
        <w:autoSpaceDE/>
        <w:autoSpaceDN/>
        <w:bidi w:val="0"/>
        <w:adjustRightInd/>
        <w:spacing w:line="580" w:lineRule="exact"/>
        <w:ind w:left="0" w:firstLine="640"/>
        <w:textAlignment w:val="auto"/>
        <w:rPr>
          <w:rFonts w:hint="default" w:ascii="Times New Roman" w:hAnsi="Times New Roman" w:eastAsia="黑体" w:cs="Times New Roman"/>
          <w:i w:val="0"/>
          <w:iCs w:val="0"/>
          <w:caps w:val="0"/>
          <w:color w:val="000000"/>
          <w:spacing w:val="0"/>
          <w:kern w:val="0"/>
          <w:sz w:val="32"/>
          <w:szCs w:val="32"/>
          <w:shd w:val="clear" w:color="auto" w:fill="FFFFFF"/>
          <w:lang w:val="en-US" w:eastAsia="zh-CN" w:bidi="ar"/>
        </w:rPr>
      </w:pPr>
      <w:bookmarkStart w:id="0" w:name="_Toc15372278"/>
      <w:r>
        <w:rPr>
          <w:rFonts w:hint="default" w:ascii="Times New Roman" w:hAnsi="Times New Roman" w:eastAsia="黑体" w:cs="Times New Roman"/>
          <w:i w:val="0"/>
          <w:iCs w:val="0"/>
          <w:caps w:val="0"/>
          <w:color w:val="000000"/>
          <w:spacing w:val="0"/>
          <w:kern w:val="0"/>
          <w:sz w:val="32"/>
          <w:szCs w:val="32"/>
          <w:shd w:val="clear" w:color="auto" w:fill="FFFFFF"/>
          <w:lang w:val="en-US" w:eastAsia="zh-CN" w:bidi="ar"/>
        </w:rPr>
        <w:t>十、下一步改进措施</w:t>
      </w:r>
    </w:p>
    <w:p w14:paraId="03D0615C">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1、定期做好预算支出财务分析，做好部门整体支出预算评价工作，进一步提高预算基本支出的财务保障水平，强化机关经费管理的刚性约束，项目支出按照预算和工作进度执行，进一步规范各项支出。</w:t>
      </w:r>
      <w:bookmarkEnd w:id="0"/>
    </w:p>
    <w:p w14:paraId="2DFA5813">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i w:val="0"/>
          <w:iCs w:val="0"/>
          <w:caps w:val="0"/>
          <w:color w:val="000000"/>
          <w:spacing w:val="0"/>
          <w:sz w:val="32"/>
          <w:szCs w:val="32"/>
          <w:shd w:val="clear" w:fill="FFFFFF"/>
        </w:rPr>
      </w:pPr>
      <w:r>
        <w:rPr>
          <w:rFonts w:hint="default" w:ascii="Times New Roman" w:hAnsi="Times New Roman" w:eastAsia="仿宋_GB2312" w:cs="Times New Roman"/>
          <w:i w:val="0"/>
          <w:iCs w:val="0"/>
          <w:caps w:val="0"/>
          <w:color w:val="000000"/>
          <w:spacing w:val="0"/>
          <w:sz w:val="32"/>
          <w:szCs w:val="32"/>
          <w:shd w:val="clear" w:fill="FFFFFF"/>
        </w:rPr>
        <w:t>2、今后严格按照预算绩效管理要求，坚持定性与定量相结合，突出重点，便于检验、评价、考核。可以量化的三级指标，都要予以量化；确实难以量化的，要提炼出能够反映目标任务和预期成效的结果性描述。</w:t>
      </w:r>
    </w:p>
    <w:p w14:paraId="2963C19F">
      <w:pPr>
        <w:pStyle w:val="10"/>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firstLine="640" w:firstLineChars="200"/>
        <w:textAlignment w:val="auto"/>
        <w:rPr>
          <w:rFonts w:hint="default" w:ascii="Times New Roman" w:hAnsi="Times New Roman" w:eastAsia="黑体" w:cs="Times New Roman"/>
          <w:i w:val="0"/>
          <w:iCs w:val="0"/>
          <w:caps w:val="0"/>
          <w:color w:val="000000"/>
          <w:spacing w:val="0"/>
          <w:sz w:val="32"/>
          <w:szCs w:val="32"/>
          <w:shd w:val="clear" w:color="auto" w:fill="FFFFFF"/>
          <w:lang w:eastAsia="zh-CN"/>
        </w:rPr>
      </w:pPr>
      <w:r>
        <w:rPr>
          <w:rFonts w:hint="default" w:ascii="Times New Roman" w:hAnsi="Times New Roman" w:eastAsia="黑体" w:cs="Times New Roman"/>
          <w:i w:val="0"/>
          <w:iCs w:val="0"/>
          <w:caps w:val="0"/>
          <w:color w:val="000000"/>
          <w:spacing w:val="0"/>
          <w:sz w:val="32"/>
          <w:szCs w:val="32"/>
          <w:shd w:val="clear" w:color="auto" w:fill="FFFFFF"/>
          <w:lang w:eastAsia="zh-CN"/>
        </w:rPr>
        <w:t>十一、绩效自评结果拟应用和公开情况</w:t>
      </w:r>
    </w:p>
    <w:p w14:paraId="767F84E0">
      <w:pPr>
        <w:pStyle w:val="3"/>
        <w:keepNext w:val="0"/>
        <w:keepLines w:val="0"/>
        <w:pageBreakBefore w:val="0"/>
        <w:widowControl w:val="0"/>
        <w:kinsoku/>
        <w:wordWrap/>
        <w:overflowPunct/>
        <w:topLinePunct w:val="0"/>
        <w:autoSpaceDE/>
        <w:autoSpaceDN/>
        <w:bidi w:val="0"/>
        <w:adjustRightInd/>
        <w:spacing w:line="580" w:lineRule="exact"/>
        <w:ind w:left="0" w:firstLine="640" w:firstLineChars="200"/>
        <w:jc w:val="left"/>
        <w:textAlignment w:val="auto"/>
        <w:rPr>
          <w:rFonts w:hint="default" w:ascii="Times New Roman" w:hAnsi="Times New Roman" w:eastAsia="黑体" w:cs="Times New Roman"/>
          <w:i w:val="0"/>
          <w:iCs w:val="0"/>
          <w:caps w:val="0"/>
          <w:color w:val="000000"/>
          <w:spacing w:val="0"/>
          <w:sz w:val="32"/>
          <w:szCs w:val="32"/>
          <w:shd w:val="clear" w:color="auto" w:fill="FFFFFF"/>
          <w:lang w:eastAsia="zh-CN"/>
        </w:rPr>
      </w:pPr>
      <w:r>
        <w:rPr>
          <w:rFonts w:hint="default" w:ascii="Times New Roman" w:hAnsi="Times New Roman" w:eastAsia="仿宋_GB2312" w:cs="Times New Roman"/>
          <w:bCs w:val="0"/>
          <w:i w:val="0"/>
          <w:iCs w:val="0"/>
          <w:caps w:val="0"/>
          <w:color w:val="000000"/>
          <w:spacing w:val="0"/>
          <w:kern w:val="0"/>
          <w:sz w:val="32"/>
          <w:szCs w:val="32"/>
          <w:shd w:val="clear" w:color="auto" w:fill="FFFFFF"/>
          <w:lang w:val="en-US" w:eastAsia="zh-CN" w:bidi="ar"/>
        </w:rPr>
        <w:t>根据《怀化市财政局关于开展2024年度预算支出绩效自评工作的通知》中整体支出绩效评价指标体系，对我单位2024年部门整体支出绩效开展了评价。2024年本单位整体支出达到预期目标，在计划时间内很好的完成各项指标</w:t>
      </w:r>
      <w:r>
        <w:rPr>
          <w:rFonts w:hint="default" w:ascii="Times New Roman" w:hAnsi="Times New Roman" w:eastAsia="仿宋_GB2312" w:cs="Times New Roman"/>
          <w:bCs w:val="0"/>
          <w:i w:val="0"/>
          <w:iCs w:val="0"/>
          <w:caps w:val="0"/>
          <w:color w:val="auto"/>
          <w:spacing w:val="0"/>
          <w:kern w:val="0"/>
          <w:sz w:val="32"/>
          <w:szCs w:val="32"/>
          <w:shd w:val="clear" w:color="auto" w:fill="FFFFFF"/>
          <w:lang w:val="en-US" w:eastAsia="zh-CN" w:bidi="ar"/>
        </w:rPr>
        <w:t>，自评得分96分，评价等级“优”。绩效自评结果将按照怀化市财政局的要求，在相关网站予以公示。</w:t>
      </w:r>
    </w:p>
    <w:p w14:paraId="7209F525">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leftChars="0" w:right="0" w:rightChars="0" w:firstLine="640" w:firstLineChars="200"/>
        <w:textAlignment w:val="auto"/>
        <w:rPr>
          <w:rFonts w:hint="default" w:ascii="Times New Roman" w:hAnsi="Times New Roman" w:eastAsia="黑体" w:cs="Times New Roman"/>
          <w:i w:val="0"/>
          <w:iCs w:val="0"/>
          <w:caps w:val="0"/>
          <w:color w:val="000000"/>
          <w:spacing w:val="0"/>
          <w:sz w:val="32"/>
          <w:szCs w:val="32"/>
          <w:shd w:val="clear" w:color="auto" w:fill="FFFFFF"/>
        </w:rPr>
      </w:pPr>
      <w:r>
        <w:rPr>
          <w:rFonts w:hint="default" w:ascii="Times New Roman" w:hAnsi="Times New Roman" w:eastAsia="黑体" w:cs="Times New Roman"/>
          <w:i w:val="0"/>
          <w:iCs w:val="0"/>
          <w:caps w:val="0"/>
          <w:color w:val="000000"/>
          <w:spacing w:val="0"/>
          <w:sz w:val="32"/>
          <w:szCs w:val="32"/>
          <w:shd w:val="clear" w:color="auto" w:fill="FFFFFF"/>
          <w:lang w:eastAsia="zh-CN"/>
        </w:rPr>
        <w:t>十二、</w:t>
      </w:r>
      <w:r>
        <w:rPr>
          <w:rFonts w:hint="default" w:ascii="Times New Roman" w:hAnsi="Times New Roman" w:eastAsia="黑体" w:cs="Times New Roman"/>
          <w:i w:val="0"/>
          <w:iCs w:val="0"/>
          <w:caps w:val="0"/>
          <w:color w:val="000000"/>
          <w:spacing w:val="0"/>
          <w:sz w:val="32"/>
          <w:szCs w:val="32"/>
          <w:shd w:val="clear" w:color="auto" w:fill="FFFFFF"/>
        </w:rPr>
        <w:t>其他需要说明的情况</w:t>
      </w:r>
    </w:p>
    <w:p w14:paraId="59BB117D">
      <w:pPr>
        <w:pStyle w:val="10"/>
        <w:keepNext w:val="0"/>
        <w:keepLines w:val="0"/>
        <w:pageBreakBefore w:val="0"/>
        <w:widowControl w:val="0"/>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val="0"/>
        <w:spacing w:before="0" w:beforeAutospacing="0" w:after="0" w:afterAutospacing="0" w:line="580" w:lineRule="exact"/>
        <w:ind w:left="0" w:right="0" w:rightChars="0"/>
        <w:textAlignment w:val="auto"/>
        <w:rPr>
          <w:rFonts w:hint="default" w:ascii="Times New Roman" w:hAnsi="Times New Roman" w:eastAsia="黑体" w:cs="Times New Roman"/>
          <w:i w:val="0"/>
          <w:iCs w:val="0"/>
          <w:caps w:val="0"/>
          <w:color w:val="000000"/>
          <w:spacing w:val="0"/>
          <w:sz w:val="32"/>
          <w:szCs w:val="32"/>
          <w:shd w:val="clear" w:color="auto" w:fill="FFFFFF"/>
          <w:lang w:val="en-US" w:eastAsia="zh-CN"/>
        </w:rPr>
      </w:pPr>
      <w:r>
        <w:rPr>
          <w:rFonts w:hint="default" w:ascii="Times New Roman" w:hAnsi="Times New Roman" w:eastAsia="黑体" w:cs="Times New Roman"/>
          <w:i w:val="0"/>
          <w:iCs w:val="0"/>
          <w:caps w:val="0"/>
          <w:color w:val="000000"/>
          <w:spacing w:val="0"/>
          <w:sz w:val="32"/>
          <w:szCs w:val="32"/>
          <w:shd w:val="clear" w:color="auto" w:fill="FFFFFF"/>
          <w:lang w:val="en-US" w:eastAsia="zh-CN"/>
        </w:rPr>
        <w:t xml:space="preserve">    </w:t>
      </w:r>
      <w:r>
        <w:rPr>
          <w:rFonts w:hint="default" w:ascii="Times New Roman" w:hAnsi="Times New Roman" w:eastAsia="仿宋_GB2312" w:cs="Times New Roman"/>
          <w:i w:val="0"/>
          <w:iCs w:val="0"/>
          <w:caps w:val="0"/>
          <w:color w:val="000000"/>
          <w:spacing w:val="0"/>
          <w:sz w:val="32"/>
          <w:szCs w:val="32"/>
          <w:shd w:val="clear" w:color="auto" w:fill="FFFFFF"/>
          <w:lang w:val="en-US" w:eastAsia="zh-CN"/>
        </w:rPr>
        <w:t>无。</w:t>
      </w:r>
    </w:p>
    <w:p w14:paraId="06EAF17B">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default" w:ascii="Times New Roman" w:hAnsi="Times New Roman" w:eastAsia="仿宋_GB2312" w:cs="Times New Roman"/>
          <w:snapToGrid/>
          <w:color w:val="000000"/>
          <w:kern w:val="0"/>
          <w:sz w:val="24"/>
          <w:szCs w:val="24"/>
          <w:lang w:val="en-US" w:eastAsia="zh-CN" w:bidi="ar-SA"/>
        </w:rPr>
      </w:pPr>
      <w:r>
        <w:rPr>
          <w:rFonts w:hint="eastAsia" w:ascii="Times New Roman" w:hAnsi="Times New Roman" w:eastAsia="仿宋_GB2312" w:cs="Times New Roman"/>
          <w:snapToGrid/>
          <w:color w:val="000000"/>
          <w:kern w:val="0"/>
          <w:sz w:val="24"/>
          <w:szCs w:val="24"/>
          <w:lang w:val="en-US" w:eastAsia="zh-CN" w:bidi="ar-SA"/>
        </w:rPr>
        <w:t xml:space="preserve">   </w:t>
      </w:r>
      <w:bookmarkStart w:id="1" w:name="_GoBack"/>
      <w:bookmarkEnd w:id="1"/>
    </w:p>
    <w:sectPr>
      <w:footerReference r:id="rId3" w:type="default"/>
      <w:pgSz w:w="11906" w:h="16838"/>
      <w:pgMar w:top="2098" w:right="1531" w:bottom="1871" w:left="1531"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libri Light">
    <w:altName w:val="DejaVu Sans"/>
    <w:panose1 w:val="020F0302020204030204"/>
    <w:charset w:val="00"/>
    <w:family w:val="auto"/>
    <w:pitch w:val="default"/>
    <w:sig w:usb0="00000000" w:usb1="00000000" w:usb2="00000009" w:usb3="00000000" w:csb0="200001FF" w:csb1="00000000"/>
  </w:font>
  <w:font w:name="DejaVu Sans">
    <w:panose1 w:val="020B0603030804020204"/>
    <w:charset w:val="00"/>
    <w:family w:val="auto"/>
    <w:pitch w:val="default"/>
    <w:sig w:usb0="E7006EFF" w:usb1="D200FDFF" w:usb2="0A246029" w:usb3="0400200C" w:csb0="600001FF" w:csb1="DFFF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36F37D">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19348A">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219348A">
                    <w:pPr>
                      <w:pStyle w:val="2"/>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zNDNmZGY5ODE4YTVlYjYxZjc0MjRkNGFmZDRkY2UifQ=="/>
    <w:docVar w:name="KSO_WPS_MARK_KEY" w:val="9920a277-c0c3-43b4-93d3-1636fe398e0b"/>
  </w:docVars>
  <w:rsids>
    <w:rsidRoot w:val="753C4E9B"/>
    <w:rsid w:val="037434B5"/>
    <w:rsid w:val="046F014E"/>
    <w:rsid w:val="05B6378A"/>
    <w:rsid w:val="05E95AA6"/>
    <w:rsid w:val="064E1CFC"/>
    <w:rsid w:val="076FA153"/>
    <w:rsid w:val="07FEE92A"/>
    <w:rsid w:val="0885555B"/>
    <w:rsid w:val="09AB595F"/>
    <w:rsid w:val="09FDC805"/>
    <w:rsid w:val="0C180A78"/>
    <w:rsid w:val="0C9F6CCE"/>
    <w:rsid w:val="0CFA14D3"/>
    <w:rsid w:val="0D276746"/>
    <w:rsid w:val="0D464D9C"/>
    <w:rsid w:val="0DD52794"/>
    <w:rsid w:val="0E956870"/>
    <w:rsid w:val="1027560F"/>
    <w:rsid w:val="10AF020D"/>
    <w:rsid w:val="10C666A5"/>
    <w:rsid w:val="1109206A"/>
    <w:rsid w:val="1223366A"/>
    <w:rsid w:val="12EEEFD8"/>
    <w:rsid w:val="12FF586A"/>
    <w:rsid w:val="13554B37"/>
    <w:rsid w:val="13E3108A"/>
    <w:rsid w:val="143877FD"/>
    <w:rsid w:val="165939E2"/>
    <w:rsid w:val="18683002"/>
    <w:rsid w:val="19984BCA"/>
    <w:rsid w:val="19E805B2"/>
    <w:rsid w:val="1CA42301"/>
    <w:rsid w:val="1D79396D"/>
    <w:rsid w:val="1D80558B"/>
    <w:rsid w:val="1E566F23"/>
    <w:rsid w:val="1FFA2CE8"/>
    <w:rsid w:val="22FE234B"/>
    <w:rsid w:val="25D84499"/>
    <w:rsid w:val="277E6F02"/>
    <w:rsid w:val="27DB1F08"/>
    <w:rsid w:val="28EB332A"/>
    <w:rsid w:val="28FEC6CB"/>
    <w:rsid w:val="29093B6B"/>
    <w:rsid w:val="29990575"/>
    <w:rsid w:val="29F4787C"/>
    <w:rsid w:val="2A5E7C6A"/>
    <w:rsid w:val="2A7A17FA"/>
    <w:rsid w:val="2A9F67FB"/>
    <w:rsid w:val="2AF6742D"/>
    <w:rsid w:val="2AFFA251"/>
    <w:rsid w:val="2B3EC81A"/>
    <w:rsid w:val="2BDEB276"/>
    <w:rsid w:val="2C6F32C5"/>
    <w:rsid w:val="2C9F203F"/>
    <w:rsid w:val="2D3B43DD"/>
    <w:rsid w:val="2E1F1DAD"/>
    <w:rsid w:val="2E6D0028"/>
    <w:rsid w:val="2E833798"/>
    <w:rsid w:val="2E9B7978"/>
    <w:rsid w:val="2EEE17F9"/>
    <w:rsid w:val="2F7C3000"/>
    <w:rsid w:val="2FD4DC0C"/>
    <w:rsid w:val="300F2CA5"/>
    <w:rsid w:val="30A8052A"/>
    <w:rsid w:val="312A2265"/>
    <w:rsid w:val="31FBF7BA"/>
    <w:rsid w:val="338151E0"/>
    <w:rsid w:val="33FE2F11"/>
    <w:rsid w:val="347F2A9E"/>
    <w:rsid w:val="34A12FC4"/>
    <w:rsid w:val="35085688"/>
    <w:rsid w:val="367E8E35"/>
    <w:rsid w:val="36A3724B"/>
    <w:rsid w:val="36BF43EE"/>
    <w:rsid w:val="36FC0F5D"/>
    <w:rsid w:val="375773F8"/>
    <w:rsid w:val="37FC6E9A"/>
    <w:rsid w:val="37FE76AC"/>
    <w:rsid w:val="393A66B6"/>
    <w:rsid w:val="393E32BB"/>
    <w:rsid w:val="3978031E"/>
    <w:rsid w:val="397BCBE1"/>
    <w:rsid w:val="398F5B81"/>
    <w:rsid w:val="399B6035"/>
    <w:rsid w:val="3ABFE605"/>
    <w:rsid w:val="3AE75A35"/>
    <w:rsid w:val="3B7AAD30"/>
    <w:rsid w:val="3BE6C936"/>
    <w:rsid w:val="3C415BCC"/>
    <w:rsid w:val="3D5F9E9A"/>
    <w:rsid w:val="3D660E34"/>
    <w:rsid w:val="3DEF26FC"/>
    <w:rsid w:val="3DEFAC9E"/>
    <w:rsid w:val="3EFD0237"/>
    <w:rsid w:val="3EFD6369"/>
    <w:rsid w:val="3EFDBD1D"/>
    <w:rsid w:val="3F2A9A67"/>
    <w:rsid w:val="3F3B2F63"/>
    <w:rsid w:val="3F7ADAF9"/>
    <w:rsid w:val="3F80773F"/>
    <w:rsid w:val="3FBFE798"/>
    <w:rsid w:val="3FD7222D"/>
    <w:rsid w:val="3FEF695D"/>
    <w:rsid w:val="3FF7095B"/>
    <w:rsid w:val="3FFF6F32"/>
    <w:rsid w:val="3FFFFC4F"/>
    <w:rsid w:val="419B2857"/>
    <w:rsid w:val="41D71DA8"/>
    <w:rsid w:val="428A7A8B"/>
    <w:rsid w:val="436B15F0"/>
    <w:rsid w:val="43D02F28"/>
    <w:rsid w:val="44A52F62"/>
    <w:rsid w:val="4539250D"/>
    <w:rsid w:val="453F7D70"/>
    <w:rsid w:val="45E36D34"/>
    <w:rsid w:val="46C83973"/>
    <w:rsid w:val="46F73BBD"/>
    <w:rsid w:val="46FDBEE0"/>
    <w:rsid w:val="46FE75B1"/>
    <w:rsid w:val="47FB9FE6"/>
    <w:rsid w:val="48750D47"/>
    <w:rsid w:val="499552B9"/>
    <w:rsid w:val="4B3D4A08"/>
    <w:rsid w:val="4BB166A7"/>
    <w:rsid w:val="4BE07617"/>
    <w:rsid w:val="4C293B9E"/>
    <w:rsid w:val="4C6611ED"/>
    <w:rsid w:val="4D324064"/>
    <w:rsid w:val="4DDA4D7E"/>
    <w:rsid w:val="4E5DB249"/>
    <w:rsid w:val="4F320FD1"/>
    <w:rsid w:val="4FAA73DF"/>
    <w:rsid w:val="4FBF9847"/>
    <w:rsid w:val="4FDD6A57"/>
    <w:rsid w:val="4FF7B9DE"/>
    <w:rsid w:val="4FFE6B7D"/>
    <w:rsid w:val="4FFF52A0"/>
    <w:rsid w:val="52954530"/>
    <w:rsid w:val="52CB6C8B"/>
    <w:rsid w:val="54EF53A9"/>
    <w:rsid w:val="552A0475"/>
    <w:rsid w:val="55FF38C6"/>
    <w:rsid w:val="575CBDAD"/>
    <w:rsid w:val="578D10CB"/>
    <w:rsid w:val="57BC29D3"/>
    <w:rsid w:val="57F7EDDE"/>
    <w:rsid w:val="57FBA885"/>
    <w:rsid w:val="57FBE508"/>
    <w:rsid w:val="58743D9A"/>
    <w:rsid w:val="59FB7ECF"/>
    <w:rsid w:val="5A5915AC"/>
    <w:rsid w:val="5B7F1B12"/>
    <w:rsid w:val="5BF37FBE"/>
    <w:rsid w:val="5BFF77E9"/>
    <w:rsid w:val="5CD3692D"/>
    <w:rsid w:val="5CFCF394"/>
    <w:rsid w:val="5D081B3F"/>
    <w:rsid w:val="5D2677C2"/>
    <w:rsid w:val="5D753E66"/>
    <w:rsid w:val="5D77D7E9"/>
    <w:rsid w:val="5DFE4C3F"/>
    <w:rsid w:val="5EBFD75F"/>
    <w:rsid w:val="5EF3FF98"/>
    <w:rsid w:val="5F7E3719"/>
    <w:rsid w:val="5FBC514C"/>
    <w:rsid w:val="5FBE7DB0"/>
    <w:rsid w:val="5FCFB7A3"/>
    <w:rsid w:val="5FDBECC4"/>
    <w:rsid w:val="5FDF439C"/>
    <w:rsid w:val="5FF3191D"/>
    <w:rsid w:val="5FF7A860"/>
    <w:rsid w:val="5FFF00DD"/>
    <w:rsid w:val="5FFF027C"/>
    <w:rsid w:val="5FFF7617"/>
    <w:rsid w:val="60DB3948"/>
    <w:rsid w:val="613D648B"/>
    <w:rsid w:val="62CA4EBC"/>
    <w:rsid w:val="64DF90D9"/>
    <w:rsid w:val="65BCBB6A"/>
    <w:rsid w:val="65DDCBE3"/>
    <w:rsid w:val="67225F16"/>
    <w:rsid w:val="67E5FBCF"/>
    <w:rsid w:val="6A12486A"/>
    <w:rsid w:val="6AFE495B"/>
    <w:rsid w:val="6BB71EEE"/>
    <w:rsid w:val="6BDF9D6E"/>
    <w:rsid w:val="6BE25C87"/>
    <w:rsid w:val="6BF7F7BC"/>
    <w:rsid w:val="6BFB2ECD"/>
    <w:rsid w:val="6C276DFE"/>
    <w:rsid w:val="6CD25016"/>
    <w:rsid w:val="6CFFAB2E"/>
    <w:rsid w:val="6D3BB11F"/>
    <w:rsid w:val="6DC72E25"/>
    <w:rsid w:val="6DEFA726"/>
    <w:rsid w:val="6E63CA31"/>
    <w:rsid w:val="6EEAD62E"/>
    <w:rsid w:val="6EED6B3E"/>
    <w:rsid w:val="6EEFF8F1"/>
    <w:rsid w:val="6EFF55AE"/>
    <w:rsid w:val="6F3F63B9"/>
    <w:rsid w:val="6F8ADBD5"/>
    <w:rsid w:val="6FBDC70D"/>
    <w:rsid w:val="6FDB35A5"/>
    <w:rsid w:val="6FDDB5AE"/>
    <w:rsid w:val="6FE72E7B"/>
    <w:rsid w:val="6FE77A28"/>
    <w:rsid w:val="6FF604CD"/>
    <w:rsid w:val="6FF63518"/>
    <w:rsid w:val="6FF731C1"/>
    <w:rsid w:val="6FFA19D6"/>
    <w:rsid w:val="6FFFDE0A"/>
    <w:rsid w:val="70307CB1"/>
    <w:rsid w:val="711868DE"/>
    <w:rsid w:val="72360E20"/>
    <w:rsid w:val="724C1550"/>
    <w:rsid w:val="725F7B7A"/>
    <w:rsid w:val="72F7FFE8"/>
    <w:rsid w:val="736F9DBE"/>
    <w:rsid w:val="73A67C82"/>
    <w:rsid w:val="73B35B5F"/>
    <w:rsid w:val="73C452DB"/>
    <w:rsid w:val="73F23FB7"/>
    <w:rsid w:val="73F6399F"/>
    <w:rsid w:val="73FF0F8D"/>
    <w:rsid w:val="742648F5"/>
    <w:rsid w:val="742F4933"/>
    <w:rsid w:val="7455847D"/>
    <w:rsid w:val="753C4E9B"/>
    <w:rsid w:val="759D012E"/>
    <w:rsid w:val="75B81123"/>
    <w:rsid w:val="75B920A7"/>
    <w:rsid w:val="75DE4386"/>
    <w:rsid w:val="75F755D7"/>
    <w:rsid w:val="75F75BCE"/>
    <w:rsid w:val="767E1D18"/>
    <w:rsid w:val="76CC9CAC"/>
    <w:rsid w:val="76EA6925"/>
    <w:rsid w:val="76FD51D5"/>
    <w:rsid w:val="77133808"/>
    <w:rsid w:val="776D225E"/>
    <w:rsid w:val="77AF1356"/>
    <w:rsid w:val="77BD9921"/>
    <w:rsid w:val="77ED0ECE"/>
    <w:rsid w:val="77EE539E"/>
    <w:rsid w:val="77FF32A5"/>
    <w:rsid w:val="781113A7"/>
    <w:rsid w:val="78F824DC"/>
    <w:rsid w:val="78FF5604"/>
    <w:rsid w:val="791E6510"/>
    <w:rsid w:val="792DFC65"/>
    <w:rsid w:val="7947128C"/>
    <w:rsid w:val="796F41D8"/>
    <w:rsid w:val="79723C68"/>
    <w:rsid w:val="797A4541"/>
    <w:rsid w:val="79EEBDF2"/>
    <w:rsid w:val="79F75561"/>
    <w:rsid w:val="79F94DFB"/>
    <w:rsid w:val="79FBD08D"/>
    <w:rsid w:val="7A5F2730"/>
    <w:rsid w:val="7AAD81AA"/>
    <w:rsid w:val="7ADFF1EB"/>
    <w:rsid w:val="7AFF5306"/>
    <w:rsid w:val="7AFF870C"/>
    <w:rsid w:val="7B4DBCBC"/>
    <w:rsid w:val="7B5D01E9"/>
    <w:rsid w:val="7B9F3CA0"/>
    <w:rsid w:val="7BF7BCA2"/>
    <w:rsid w:val="7BFB4159"/>
    <w:rsid w:val="7BFBD483"/>
    <w:rsid w:val="7BFF1D5C"/>
    <w:rsid w:val="7C5FA2C4"/>
    <w:rsid w:val="7C66DB3F"/>
    <w:rsid w:val="7C7F34F6"/>
    <w:rsid w:val="7C8D4A41"/>
    <w:rsid w:val="7C942E1A"/>
    <w:rsid w:val="7CEB0120"/>
    <w:rsid w:val="7D4EA3F0"/>
    <w:rsid w:val="7D6FA5B9"/>
    <w:rsid w:val="7D6FC5AF"/>
    <w:rsid w:val="7D7B5D29"/>
    <w:rsid w:val="7D7F1D8E"/>
    <w:rsid w:val="7D8FB669"/>
    <w:rsid w:val="7DAC087B"/>
    <w:rsid w:val="7DAF649F"/>
    <w:rsid w:val="7DB3DF3C"/>
    <w:rsid w:val="7DC3AD4E"/>
    <w:rsid w:val="7DE9657C"/>
    <w:rsid w:val="7DEFF708"/>
    <w:rsid w:val="7DFE73B6"/>
    <w:rsid w:val="7E5B4DFC"/>
    <w:rsid w:val="7EBA5270"/>
    <w:rsid w:val="7EDF40D3"/>
    <w:rsid w:val="7EDF6B1C"/>
    <w:rsid w:val="7EDFAA79"/>
    <w:rsid w:val="7EED2969"/>
    <w:rsid w:val="7EFEDA7F"/>
    <w:rsid w:val="7EFFAB6C"/>
    <w:rsid w:val="7F397C4A"/>
    <w:rsid w:val="7F3B1FDB"/>
    <w:rsid w:val="7F3E4E28"/>
    <w:rsid w:val="7F3FE20B"/>
    <w:rsid w:val="7F4FA706"/>
    <w:rsid w:val="7F5EFEE7"/>
    <w:rsid w:val="7F7F941C"/>
    <w:rsid w:val="7F9BAD52"/>
    <w:rsid w:val="7FA1F82D"/>
    <w:rsid w:val="7FABC60C"/>
    <w:rsid w:val="7FBF2E27"/>
    <w:rsid w:val="7FBF9F12"/>
    <w:rsid w:val="7FC70077"/>
    <w:rsid w:val="7FC8952D"/>
    <w:rsid w:val="7FDAD600"/>
    <w:rsid w:val="7FDCF06E"/>
    <w:rsid w:val="7FDD2C5D"/>
    <w:rsid w:val="7FDF4103"/>
    <w:rsid w:val="7FDFE135"/>
    <w:rsid w:val="7FE376C7"/>
    <w:rsid w:val="7FEEAE8A"/>
    <w:rsid w:val="7FF243E9"/>
    <w:rsid w:val="7FF6C049"/>
    <w:rsid w:val="7FF7E182"/>
    <w:rsid w:val="7FFAE6E8"/>
    <w:rsid w:val="7FFE98C9"/>
    <w:rsid w:val="7FFF520A"/>
    <w:rsid w:val="7FFF6433"/>
    <w:rsid w:val="7FFF7F0F"/>
    <w:rsid w:val="7FFFD0CF"/>
    <w:rsid w:val="7FFFF5AA"/>
    <w:rsid w:val="8BDF81AB"/>
    <w:rsid w:val="8EFD1338"/>
    <w:rsid w:val="8FAA732F"/>
    <w:rsid w:val="8FFEB163"/>
    <w:rsid w:val="95B7AAFA"/>
    <w:rsid w:val="97DD9D73"/>
    <w:rsid w:val="997CCAAA"/>
    <w:rsid w:val="9A7D56C8"/>
    <w:rsid w:val="9AF83297"/>
    <w:rsid w:val="9BFD8704"/>
    <w:rsid w:val="9DABE2D3"/>
    <w:rsid w:val="9DFE4872"/>
    <w:rsid w:val="9E374739"/>
    <w:rsid w:val="9E3DBA20"/>
    <w:rsid w:val="9EFAA516"/>
    <w:rsid w:val="9FAD6C5B"/>
    <w:rsid w:val="9FF783BE"/>
    <w:rsid w:val="9FFF5136"/>
    <w:rsid w:val="A687FA2C"/>
    <w:rsid w:val="A76D6784"/>
    <w:rsid w:val="A7F3C3F1"/>
    <w:rsid w:val="A87F7C46"/>
    <w:rsid w:val="ADBD3A92"/>
    <w:rsid w:val="AF3BAA2D"/>
    <w:rsid w:val="AFCFAAF4"/>
    <w:rsid w:val="B3EE6689"/>
    <w:rsid w:val="B66C4D81"/>
    <w:rsid w:val="B6EF0081"/>
    <w:rsid w:val="B7BF3EE4"/>
    <w:rsid w:val="B7EBC245"/>
    <w:rsid w:val="B7EF8429"/>
    <w:rsid w:val="B8FF1458"/>
    <w:rsid w:val="BB73602A"/>
    <w:rsid w:val="BCBF5D0E"/>
    <w:rsid w:val="BCF575CA"/>
    <w:rsid w:val="BCFDEFA0"/>
    <w:rsid w:val="BDEFA8AC"/>
    <w:rsid w:val="BDFEB6E0"/>
    <w:rsid w:val="BDFFD411"/>
    <w:rsid w:val="BEEBF9F8"/>
    <w:rsid w:val="BEEFEAB6"/>
    <w:rsid w:val="BF024F9D"/>
    <w:rsid w:val="BFAD99CE"/>
    <w:rsid w:val="BFCFEE87"/>
    <w:rsid w:val="BFD7A1D1"/>
    <w:rsid w:val="BFEFDD9E"/>
    <w:rsid w:val="BFFB4CA0"/>
    <w:rsid w:val="BFFC68A9"/>
    <w:rsid w:val="BFFD5EBD"/>
    <w:rsid w:val="BFFFD372"/>
    <w:rsid w:val="C7BB4CB9"/>
    <w:rsid w:val="CB9E4376"/>
    <w:rsid w:val="CBFE2B53"/>
    <w:rsid w:val="CFBE9ACC"/>
    <w:rsid w:val="CFFB10CB"/>
    <w:rsid w:val="CFFF38B4"/>
    <w:rsid w:val="D477F91C"/>
    <w:rsid w:val="D4E8E14B"/>
    <w:rsid w:val="D779787B"/>
    <w:rsid w:val="D852EC16"/>
    <w:rsid w:val="D8951F1F"/>
    <w:rsid w:val="D8F51214"/>
    <w:rsid w:val="DB43C87E"/>
    <w:rsid w:val="DB6B55FD"/>
    <w:rsid w:val="DBDB2C1D"/>
    <w:rsid w:val="DBFB1994"/>
    <w:rsid w:val="DD7F4938"/>
    <w:rsid w:val="DDD7A24E"/>
    <w:rsid w:val="DEC3D947"/>
    <w:rsid w:val="DEEF8C38"/>
    <w:rsid w:val="DEF79361"/>
    <w:rsid w:val="DEFDB029"/>
    <w:rsid w:val="DF372E62"/>
    <w:rsid w:val="DF7784AA"/>
    <w:rsid w:val="DF7B0D7C"/>
    <w:rsid w:val="DFB608A7"/>
    <w:rsid w:val="DFCC73B0"/>
    <w:rsid w:val="DFDE4952"/>
    <w:rsid w:val="DFEF0030"/>
    <w:rsid w:val="DFFBB292"/>
    <w:rsid w:val="DFFE9768"/>
    <w:rsid w:val="DFFFAC3F"/>
    <w:rsid w:val="E167DCA3"/>
    <w:rsid w:val="E34BB9E1"/>
    <w:rsid w:val="E4F7F737"/>
    <w:rsid w:val="E5F6A337"/>
    <w:rsid w:val="E7B680E3"/>
    <w:rsid w:val="E7DF92C6"/>
    <w:rsid w:val="E7EB0806"/>
    <w:rsid w:val="E7EEC12C"/>
    <w:rsid w:val="EBDBA9EC"/>
    <w:rsid w:val="EBEC6E6F"/>
    <w:rsid w:val="EC6FDD3A"/>
    <w:rsid w:val="EC7B4262"/>
    <w:rsid w:val="ECB1282F"/>
    <w:rsid w:val="ECBFC80D"/>
    <w:rsid w:val="EDFDAAEB"/>
    <w:rsid w:val="EEFE9139"/>
    <w:rsid w:val="EEFF985D"/>
    <w:rsid w:val="EEFFBE0A"/>
    <w:rsid w:val="EF13867A"/>
    <w:rsid w:val="EF395ADB"/>
    <w:rsid w:val="EF5D9117"/>
    <w:rsid w:val="EF7F3D92"/>
    <w:rsid w:val="EF7F40B9"/>
    <w:rsid w:val="EFA7244B"/>
    <w:rsid w:val="EFB98437"/>
    <w:rsid w:val="EFEB8C0A"/>
    <w:rsid w:val="EFED8B5A"/>
    <w:rsid w:val="EFF76D93"/>
    <w:rsid w:val="EFFB10AE"/>
    <w:rsid w:val="EFFFE9C8"/>
    <w:rsid w:val="F27BE7B9"/>
    <w:rsid w:val="F2B7298F"/>
    <w:rsid w:val="F2FC172A"/>
    <w:rsid w:val="F3E9AACA"/>
    <w:rsid w:val="F3FE0F25"/>
    <w:rsid w:val="F537CCEE"/>
    <w:rsid w:val="F5ED1E2E"/>
    <w:rsid w:val="F5EEAA69"/>
    <w:rsid w:val="F5EF5D2B"/>
    <w:rsid w:val="F5FE2C50"/>
    <w:rsid w:val="F6BF02A2"/>
    <w:rsid w:val="F6EFB76C"/>
    <w:rsid w:val="F7332E41"/>
    <w:rsid w:val="F75F4BC6"/>
    <w:rsid w:val="F7F60D0D"/>
    <w:rsid w:val="F7FD194D"/>
    <w:rsid w:val="F987447B"/>
    <w:rsid w:val="F9B5FF65"/>
    <w:rsid w:val="F9BD2D70"/>
    <w:rsid w:val="F9FEDA70"/>
    <w:rsid w:val="FA3FF8E9"/>
    <w:rsid w:val="FA5F6338"/>
    <w:rsid w:val="FACF66CD"/>
    <w:rsid w:val="FADF6A1E"/>
    <w:rsid w:val="FAF2C95E"/>
    <w:rsid w:val="FAF5D635"/>
    <w:rsid w:val="FAFEA86A"/>
    <w:rsid w:val="FB07FFB2"/>
    <w:rsid w:val="FB7B7F39"/>
    <w:rsid w:val="FB7EA989"/>
    <w:rsid w:val="FBBF694E"/>
    <w:rsid w:val="FBBFD56A"/>
    <w:rsid w:val="FBC52508"/>
    <w:rsid w:val="FBCB545C"/>
    <w:rsid w:val="FBED48C5"/>
    <w:rsid w:val="FBF2E364"/>
    <w:rsid w:val="FBFF11F8"/>
    <w:rsid w:val="FBFFC866"/>
    <w:rsid w:val="FC7B0F2F"/>
    <w:rsid w:val="FCB7F2BD"/>
    <w:rsid w:val="FCCBBD52"/>
    <w:rsid w:val="FD3F0DF6"/>
    <w:rsid w:val="FD4F2D42"/>
    <w:rsid w:val="FD76A7A0"/>
    <w:rsid w:val="FD7F2098"/>
    <w:rsid w:val="FDBF4624"/>
    <w:rsid w:val="FDDF3208"/>
    <w:rsid w:val="FDE7C5AD"/>
    <w:rsid w:val="FDEB96D1"/>
    <w:rsid w:val="FDFF7EEF"/>
    <w:rsid w:val="FDFFA5A4"/>
    <w:rsid w:val="FE3F8245"/>
    <w:rsid w:val="FE69A692"/>
    <w:rsid w:val="FE702040"/>
    <w:rsid w:val="FEE70EBF"/>
    <w:rsid w:val="FEEB6F78"/>
    <w:rsid w:val="FEFBB37C"/>
    <w:rsid w:val="FEFD9D24"/>
    <w:rsid w:val="FEFDFE90"/>
    <w:rsid w:val="FEFEC4DD"/>
    <w:rsid w:val="FEFF40CE"/>
    <w:rsid w:val="FF0BAA25"/>
    <w:rsid w:val="FF5E7299"/>
    <w:rsid w:val="FF677FC1"/>
    <w:rsid w:val="FFABA8E8"/>
    <w:rsid w:val="FFB53A1E"/>
    <w:rsid w:val="FFBDE6EB"/>
    <w:rsid w:val="FFDD4BB4"/>
    <w:rsid w:val="FFDF04BE"/>
    <w:rsid w:val="FFDF0CA6"/>
    <w:rsid w:val="FFDFF613"/>
    <w:rsid w:val="FFE78697"/>
    <w:rsid w:val="FFED7E8B"/>
    <w:rsid w:val="FFF715BD"/>
    <w:rsid w:val="FFFB79AE"/>
    <w:rsid w:val="FFFC3953"/>
    <w:rsid w:val="FFFD4422"/>
    <w:rsid w:val="FFFD53B1"/>
    <w:rsid w:val="FFFE1FB3"/>
    <w:rsid w:val="FFFE3B2F"/>
    <w:rsid w:val="FFFE44D1"/>
    <w:rsid w:val="FFFF1826"/>
    <w:rsid w:val="FFFF9B7F"/>
    <w:rsid w:val="FFFFA092"/>
    <w:rsid w:val="FFFFD2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footer"/>
    <w:basedOn w:val="1"/>
    <w:next w:val="1"/>
    <w:qFormat/>
    <w:uiPriority w:val="0"/>
    <w:pPr>
      <w:tabs>
        <w:tab w:val="center" w:pos="4153"/>
        <w:tab w:val="right" w:pos="8306"/>
      </w:tabs>
      <w:snapToGrid w:val="0"/>
      <w:jc w:val="left"/>
    </w:pPr>
    <w:rPr>
      <w:sz w:val="18"/>
    </w:rPr>
  </w:style>
  <w:style w:type="paragraph" w:styleId="4">
    <w:name w:val="Body Text"/>
    <w:basedOn w:val="1"/>
    <w:next w:val="5"/>
    <w:qFormat/>
    <w:uiPriority w:val="99"/>
    <w:pPr>
      <w:spacing w:after="120"/>
    </w:pPr>
  </w:style>
  <w:style w:type="paragraph" w:styleId="5">
    <w:name w:val="Body Text First Indent"/>
    <w:basedOn w:val="4"/>
    <w:qFormat/>
    <w:uiPriority w:val="0"/>
    <w:pPr>
      <w:ind w:firstLine="664"/>
    </w:pPr>
  </w:style>
  <w:style w:type="paragraph" w:styleId="6">
    <w:name w:val="Body Text Indent"/>
    <w:basedOn w:val="1"/>
    <w:unhideWhenUsed/>
    <w:qFormat/>
    <w:uiPriority w:val="0"/>
    <w:pPr>
      <w:spacing w:beforeLines="0" w:afterLines="0"/>
      <w:ind w:firstLine="640" w:firstLineChars="200"/>
    </w:pPr>
    <w:rPr>
      <w:rFonts w:hint="default"/>
      <w:sz w:val="32"/>
    </w:rPr>
  </w:style>
  <w:style w:type="paragraph" w:styleId="7">
    <w:name w:val="Plain Text"/>
    <w:basedOn w:val="1"/>
    <w:qFormat/>
    <w:uiPriority w:val="0"/>
    <w:rPr>
      <w:rFonts w:ascii="宋体" w:hAnsi="Courier New" w:cs="Courier New"/>
      <w:szCs w:val="21"/>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1">
    <w:name w:val="Body Text First Indent 2"/>
    <w:basedOn w:val="6"/>
    <w:unhideWhenUsed/>
    <w:qFormat/>
    <w:uiPriority w:val="99"/>
    <w:pPr>
      <w:spacing w:beforeLines="0" w:afterLines="0"/>
      <w:ind w:firstLine="420"/>
    </w:pPr>
    <w:rPr>
      <w:rFonts w:hint="default"/>
      <w:sz w:val="32"/>
    </w:rPr>
  </w:style>
  <w:style w:type="paragraph" w:customStyle="1" w:styleId="14">
    <w:name w:val="标题1"/>
    <w:basedOn w:val="3"/>
    <w:qFormat/>
    <w:uiPriority w:val="0"/>
    <w:rPr>
      <w:rFonts w:eastAsia="黑体"/>
    </w:rPr>
  </w:style>
  <w:style w:type="paragraph" w:customStyle="1" w:styleId="15">
    <w:name w:val="首行缩进"/>
    <w:basedOn w:val="1"/>
    <w:qFormat/>
    <w:uiPriority w:val="0"/>
    <w:pPr>
      <w:ind w:firstLine="480" w:firstLineChars="200"/>
    </w:pPr>
    <w:rPr>
      <w:lang w:val="zh-CN"/>
    </w:rPr>
  </w:style>
  <w:style w:type="paragraph" w:customStyle="1" w:styleId="16">
    <w:name w:val="无间隔"/>
    <w:qFormat/>
    <w:uiPriority w:val="0"/>
    <w:pPr>
      <w:widowControl w:val="0"/>
      <w:jc w:val="both"/>
    </w:pPr>
    <w:rPr>
      <w:rFonts w:ascii="Calibri" w:hAnsi="Calibri" w:eastAsia="宋体" w:cs="Times New Roman"/>
      <w:kern w:val="2"/>
      <w:sz w:val="21"/>
      <w:szCs w:val="22"/>
      <w:lang w:val="en-US" w:eastAsia="zh-CN" w:bidi="ar-SA"/>
    </w:rPr>
  </w:style>
  <w:style w:type="paragraph" w:customStyle="1" w:styleId="17">
    <w:name w:val="FootnoteText"/>
    <w:basedOn w:val="1"/>
    <w:next w:val="18"/>
    <w:qFormat/>
    <w:uiPriority w:val="0"/>
    <w:pPr>
      <w:snapToGrid w:val="0"/>
      <w:jc w:val="left"/>
    </w:pPr>
    <w:rPr>
      <w:rFonts w:ascii="Calibri" w:hAnsi="Calibri"/>
      <w:sz w:val="18"/>
    </w:rPr>
  </w:style>
  <w:style w:type="paragraph" w:customStyle="1" w:styleId="18">
    <w:name w:val="BodyText"/>
    <w:basedOn w:val="1"/>
    <w:qFormat/>
    <w:uiPriority w:val="0"/>
    <w:pPr>
      <w:snapToGrid w:val="0"/>
      <w:spacing w:line="579" w:lineRule="exact"/>
    </w:pPr>
    <w:rPr>
      <w:rFonts w:eastAsia="仿宋_GB2312"/>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4274</Words>
  <Characters>4396</Characters>
  <Lines>0</Lines>
  <Paragraphs>0</Paragraphs>
  <TotalTime>0</TotalTime>
  <ScaleCrop>false</ScaleCrop>
  <LinksUpToDate>false</LinksUpToDate>
  <CharactersWithSpaces>5007</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2024-03-01T02:03:00Z</dcterms:created>
  <dc:creator>1402836399</dc:creator>
  <cp:lastModifiedBy>greatwall</cp:lastModifiedBy>
  <cp:lastPrinted>2024-09-20T11:23:00Z</cp:lastPrinted>
  <dcterms:modified xsi:type="dcterms:W3CDTF">2025-06-12T20:52:28Z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641F7053EA0C5AE77A774A6884449D65_43</vt:lpwstr>
  </property>
</Properties>
</file>