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怀化市妇女联合会</w:t>
      </w:r>
      <w:r>
        <w:rPr>
          <w:rFonts w:hint="eastAsia" w:ascii="方正小标宋_GBK" w:hAnsi="方正小标宋_GBK" w:eastAsia="方正小标宋_GBK" w:cs="方正小标宋_GBK"/>
          <w:sz w:val="84"/>
          <w:szCs w:val="84"/>
        </w:rPr>
        <w:t>部门决算</w:t>
      </w:r>
    </w:p>
    <w:p>
      <w:pPr>
        <w:pStyle w:val="14"/>
        <w:jc w:val="center"/>
        <w:rPr>
          <w:rFonts w:hint="eastAsia" w:ascii="方正小标宋_GBK" w:hAnsi="方正小标宋_GBK" w:eastAsia="方正小标宋_GBK" w:cs="方正小标宋_GBK"/>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both"/>
        <w:rPr>
          <w:b/>
          <w:sz w:val="36"/>
          <w:szCs w:val="28"/>
        </w:rPr>
      </w:pPr>
    </w:p>
    <w:p>
      <w:pPr>
        <w:pStyle w:val="14"/>
        <w:spacing w:line="500" w:lineRule="exact"/>
        <w:jc w:val="center"/>
        <w:rPr>
          <w:b/>
          <w:sz w:val="36"/>
          <w:szCs w:val="28"/>
        </w:rPr>
      </w:pPr>
      <w:r>
        <w:rPr>
          <w:rFonts w:hint="eastAsia"/>
          <w:b/>
          <w:sz w:val="36"/>
          <w:szCs w:val="28"/>
        </w:rPr>
        <w:t>目录</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 xml:space="preserve"> 怀化市妇女联合会</w:t>
      </w:r>
      <w:r>
        <w:rPr>
          <w:rFonts w:hint="eastAsia" w:ascii="黑体" w:hAnsi="黑体" w:eastAsia="黑体" w:cs="黑体"/>
          <w:b w:val="0"/>
          <w:bCs/>
          <w:sz w:val="28"/>
          <w:szCs w:val="28"/>
        </w:rPr>
        <w:t>概况</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4"/>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怀化市妇女联合会</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both"/>
        <w:rPr>
          <w:sz w:val="72"/>
          <w:szCs w:val="72"/>
        </w:rPr>
      </w:pPr>
    </w:p>
    <w:p>
      <w:pPr>
        <w:pStyle w:val="3"/>
        <w:ind w:left="0" w:leftChars="0" w:firstLine="0" w:firstLineChars="0"/>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（一）指导全市各级妇联依据《中华全国妇女联合会章程》和妇女代表大会的决定、决议，开展妇女工作，联系团体会员，并给予业务指导；</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（二）团结、动员全市妇女投身改革开放和社会主义现代化建设，推动科学发展，促进社会和谐；</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（三）教育和引导广大妇女发扬自尊、自信、自立、自强的精神，提高综合素质，促进全面发展。宣传马克思主义妇女观和男女平等基本国策，营造有利于妇女全面发展的社会环境；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（四）代表妇女参与国家和社会事务的民主决策、民主管理、民主监督，参与有关妇女儿童法律、法规、规章和政策的制定，参与社会管理和公共服务，培养、推荐女性人才，推动妇女、儿童发展纲要的实施；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（五）维护妇女儿童合法权益，向各级机关提出有关意见和建议，要求并协助有关部门或单位查处侵害妇女儿童权益的行为，为受侵害的妇女儿童提供帮助；</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（六）关心妇女工作生活，拓宽服务渠道，建设服务阵地，发展公益事业，壮大志愿者队伍，为妇女儿童和家庭服务。加强与社会各界的联系，协调和推动社会各界为妇女儿童办实事；</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（七）承办市委、市政府交办的其他事项。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hd w:val="clear"/>
        <w:spacing w:line="600" w:lineRule="exact"/>
        <w:ind w:firstLine="640" w:firstLineChars="20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bidi="ar-SA"/>
        </w:rPr>
        <w:t>怀化市妇女联合会单位内设机构包括：办公室、组织宣传部、妇女发展部、家儿权益部。</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bidi="ar-SA"/>
        </w:rPr>
        <w:t>怀化市妇女联合会单位2023年部门决算汇总公开单位构成包括：怀化市妇女联合会单位本级。</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4"/>
        <w:jc w:val="both"/>
        <w:rPr>
          <w:rFonts w:hint="eastAsia" w:ascii="方正小标宋_GBK" w:hAnsi="方正小标宋_GBK" w:eastAsia="方正小标宋_GBK" w:cs="方正小标宋_GBK"/>
          <w:sz w:val="84"/>
          <w:szCs w:val="84"/>
        </w:rPr>
      </w:pPr>
    </w:p>
    <w:p>
      <w:pPr>
        <w:pStyle w:val="14"/>
        <w:jc w:val="both"/>
        <w:rPr>
          <w:rFonts w:hint="eastAsia" w:ascii="方正小标宋_GBK" w:hAnsi="方正小标宋_GBK" w:eastAsia="方正小标宋_GBK" w:cs="方正小标宋_GBK"/>
          <w:sz w:val="84"/>
          <w:szCs w:val="84"/>
        </w:rPr>
      </w:pPr>
    </w:p>
    <w:p>
      <w:pPr>
        <w:pStyle w:val="14"/>
        <w:jc w:val="both"/>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51"/>
        <w:gridCol w:w="1309"/>
        <w:gridCol w:w="3997"/>
        <w:gridCol w:w="1305"/>
        <w:gridCol w:w="1305"/>
        <w:gridCol w:w="1305"/>
        <w:gridCol w:w="1305"/>
        <w:gridCol w:w="1306"/>
        <w:gridCol w:w="1306"/>
        <w:gridCol w:w="2239"/>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2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shd w:val="clea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auto"/>
                  <w:noWrap/>
                  <w:vAlign w:val="center"/>
                </w:tcPr>
                <w:p>
                  <w:pPr>
                    <w:shd w:val="clea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keepNext w:val="0"/>
                    <w:keepLines w:val="0"/>
                    <w:widowControl/>
                    <w:suppressLineNumbers w:val="0"/>
                    <w:shd w:val="clear"/>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auto"/>
                  <w:noWrap/>
                  <w:vAlign w:val="center"/>
                </w:tcPr>
                <w:p>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94"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pPr>
                    <w:shd w:val="clea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auto"/>
                  <w:noWrap/>
                  <w:vAlign w:val="center"/>
                </w:tcPr>
                <w:p>
                  <w:pPr>
                    <w:keepNext w:val="0"/>
                    <w:keepLines w:val="0"/>
                    <w:widowControl/>
                    <w:suppressLineNumbers w:val="0"/>
                    <w:shd w:val="clear"/>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91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center"/>
                    <w:rPr>
                      <w:rFonts w:hint="eastAsia" w:ascii="宋体" w:hAnsi="宋体" w:eastAsia="宋体" w:cs="宋体"/>
                      <w:i w:val="0"/>
                      <w:color w:val="000000"/>
                      <w:sz w:val="24"/>
                      <w:szCs w:val="24"/>
                      <w:u w:val="none"/>
                    </w:rPr>
                  </w:pP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404.37</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1582.54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七、卫生健康支出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1223.92</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八</w:t>
                  </w:r>
                  <w:r>
                    <w:rPr>
                      <w:rFonts w:hint="eastAsia" w:ascii="宋体" w:hAnsi="宋体" w:eastAsia="宋体" w:cs="宋体"/>
                      <w:i w:val="0"/>
                      <w:color w:val="000000"/>
                      <w:sz w:val="22"/>
                      <w:szCs w:val="22"/>
                      <w:u w:val="none"/>
                    </w:rPr>
                    <w:t>、农林水支出</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eastAsia" w:ascii="宋体" w:hAnsi="宋体" w:eastAsia="宋体" w:cs="宋体"/>
                      <w:i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1628.29</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1628.29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1628.29</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hd w:val="clear"/>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jc w:val="right"/>
                    <w:rPr>
                      <w:rFonts w:hint="default" w:ascii="宋体" w:hAnsi="宋体" w:eastAsia="宋体" w:cs="宋体"/>
                      <w:b w:val="0"/>
                      <w:bCs/>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1628.29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keepNext w:val="0"/>
                    <w:keepLines w:val="0"/>
                    <w:widowControl/>
                    <w:suppressLineNumbers w:val="0"/>
                    <w:shd w:val="clear"/>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pPr>
                    <w:pStyle w:val="2"/>
                    <w:shd w:val="clear"/>
                    <w:rPr>
                      <w:rFonts w:hint="eastAsia"/>
                      <w:lang w:val="en-US" w:eastAsia="zh-CN"/>
                    </w:rPr>
                  </w:pPr>
                </w:p>
                <w:p>
                  <w:pPr>
                    <w:keepNext w:val="0"/>
                    <w:keepLines w:val="0"/>
                    <w:widowControl/>
                    <w:suppressLineNumbers w:val="0"/>
                    <w:shd w:val="clear"/>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shd w:val="clea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51" w:type="dxa"/>
            <w:tcBorders>
              <w:top w:val="nil"/>
              <w:left w:val="nil"/>
              <w:bottom w:val="nil"/>
              <w:right w:val="nil"/>
            </w:tcBorders>
            <w:shd w:val="clear" w:color="000000" w:fill="FFFFFF"/>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9"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3997"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6"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6"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2239"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1360" w:type="dxa"/>
            <w:gridSpan w:val="2"/>
            <w:tcBorders>
              <w:top w:val="nil"/>
              <w:left w:val="nil"/>
              <w:bottom w:val="nil"/>
              <w:right w:val="nil"/>
            </w:tcBorders>
            <w:shd w:val="clear" w:color="auto" w:fill="auto"/>
            <w:noWrap/>
            <w:tcMar>
              <w:top w:w="15" w:type="dxa"/>
              <w:left w:w="15" w:type="dxa"/>
              <w:bottom w:w="0" w:type="dxa"/>
              <w:right w:w="15" w:type="dxa"/>
            </w:tcMar>
            <w:vAlign w:val="center"/>
          </w:tcPr>
          <w:p>
            <w:pPr>
              <w:shd w:val="clear"/>
              <w:rPr>
                <w:rFonts w:ascii="宋体" w:hAnsi="宋体" w:eastAsia="宋体" w:cs="宋体"/>
                <w:color w:val="000000"/>
                <w:sz w:val="20"/>
                <w:szCs w:val="20"/>
              </w:rPr>
            </w:pPr>
            <w:r>
              <w:rPr>
                <w:rFonts w:hint="eastAsia"/>
                <w:color w:val="000000"/>
                <w:sz w:val="20"/>
                <w:szCs w:val="20"/>
              </w:rPr>
              <w:t>部门：</w:t>
            </w:r>
          </w:p>
        </w:tc>
        <w:tc>
          <w:tcPr>
            <w:tcW w:w="3997"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color w:val="000000"/>
                <w:sz w:val="20"/>
                <w:szCs w:val="20"/>
              </w:rPr>
            </w:pPr>
            <w:r>
              <w:rPr>
                <w:rFonts w:hint="eastAsia"/>
                <w:color w:val="000000"/>
                <w:sz w:val="20"/>
                <w:szCs w:val="20"/>
              </w:rPr>
              <w:t>　</w:t>
            </w:r>
          </w:p>
        </w:tc>
        <w:tc>
          <w:tcPr>
            <w:tcW w:w="1305"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6"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1306"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sz w:val="24"/>
                <w:szCs w:val="24"/>
              </w:rPr>
            </w:pPr>
            <w:r>
              <w:rPr>
                <w:rFonts w:hint="eastAsia"/>
              </w:rPr>
              <w:t>　</w:t>
            </w:r>
          </w:p>
        </w:tc>
        <w:tc>
          <w:tcPr>
            <w:tcW w:w="2239" w:type="dxa"/>
            <w:tcBorders>
              <w:top w:val="nil"/>
              <w:left w:val="nil"/>
              <w:bottom w:val="nil"/>
              <w:right w:val="nil"/>
            </w:tcBorders>
            <w:shd w:val="clear" w:color="auto" w:fill="auto"/>
            <w:noWrap/>
            <w:tcMar>
              <w:top w:w="15" w:type="dxa"/>
              <w:left w:w="15" w:type="dxa"/>
              <w:bottom w:w="0" w:type="dxa"/>
              <w:right w:w="15" w:type="dxa"/>
            </w:tcMar>
            <w:vAlign w:val="center"/>
          </w:tcPr>
          <w:p>
            <w:pPr>
              <w:shd w:val="clea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535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项    目</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本年收入合计</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财政拨款收入</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上级补助收入</w:t>
            </w:r>
          </w:p>
        </w:tc>
        <w:tc>
          <w:tcPr>
            <w:tcW w:w="13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事业收入</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经营收入</w:t>
            </w:r>
          </w:p>
        </w:tc>
        <w:tc>
          <w:tcPr>
            <w:tcW w:w="130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附属单位上缴收入</w:t>
            </w:r>
          </w:p>
        </w:tc>
        <w:tc>
          <w:tcPr>
            <w:tcW w:w="223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360"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功能分类科目编码</w:t>
            </w:r>
          </w:p>
        </w:tc>
        <w:tc>
          <w:tcPr>
            <w:tcW w:w="3997"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科目名称</w:t>
            </w: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22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136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3997" w:type="dxa"/>
            <w:vMerge w:val="continue"/>
            <w:tcBorders>
              <w:top w:val="nil"/>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1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c>
          <w:tcPr>
            <w:tcW w:w="223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5357"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栏次</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1</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2</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3</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4</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5</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6</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5357"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rPr>
              <w:t>合计</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1628.29</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404.37</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1223.92</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2080505</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机关事业单位基本养老保险缴费支出</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20.89</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20.89</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2012999</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其他群众团体事务支出</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710.95</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78.75</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632.2</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2012902</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一般行政管理事务</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112.12</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112.12</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2101101</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行政单位医疗</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8.27</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8.27</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2012901</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行政运行</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167.75</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167.75</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2080501</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行政单位离退休</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2080599</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其他行政事业单位养老支出</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11.63</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11.63</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2019999</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其他一般公共服务支出</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591.72</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591.72</w:t>
            </w:r>
          </w:p>
        </w:tc>
      </w:tr>
      <w:tr>
        <w:tblPrEx>
          <w:tblCellMar>
            <w:top w:w="0" w:type="dxa"/>
            <w:left w:w="0" w:type="dxa"/>
            <w:bottom w:w="0" w:type="dxa"/>
            <w:right w:w="0" w:type="dxa"/>
          </w:tblCellMar>
        </w:tblPrEx>
        <w:trPr>
          <w:trHeight w:val="450" w:hRule="atLeast"/>
        </w:trPr>
        <w:tc>
          <w:tcPr>
            <w:tcW w:w="13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2130804</w:t>
            </w:r>
          </w:p>
        </w:tc>
        <w:tc>
          <w:tcPr>
            <w:tcW w:w="39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left"/>
              <w:rPr>
                <w:rFonts w:hint="eastAsia" w:ascii="宋体" w:hAnsi="宋体" w:eastAsia="宋体" w:cs="宋体"/>
                <w:sz w:val="24"/>
                <w:szCs w:val="24"/>
              </w:rPr>
            </w:pPr>
            <w:r>
              <w:rPr>
                <w:rFonts w:hint="eastAsia" w:ascii="宋体" w:hAnsi="宋体" w:eastAsia="宋体" w:cs="宋体"/>
                <w:sz w:val="24"/>
                <w:szCs w:val="24"/>
              </w:rPr>
              <w:t>创业担保贷款贴息及奖补</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4.96</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4.96</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c>
          <w:tcPr>
            <w:tcW w:w="13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eastAsia" w:ascii="宋体" w:hAnsi="宋体" w:eastAsia="宋体" w:cs="宋体"/>
                <w:sz w:val="24"/>
                <w:szCs w:val="24"/>
              </w:rPr>
            </w:pPr>
            <w:r>
              <w:rPr>
                <w:rFonts w:hint="eastAsia" w:ascii="宋体" w:hAnsi="宋体" w:eastAsia="宋体" w:cs="宋体"/>
                <w:sz w:val="24"/>
                <w:szCs w:val="24"/>
                <w:lang w:val="en-US" w:eastAsia="zh-CN"/>
              </w:rPr>
              <w:t>0.00</w:t>
            </w:r>
          </w:p>
        </w:tc>
        <w:tc>
          <w:tcPr>
            <w:tcW w:w="22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shd w:val="clea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0.00</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shd w:val="clear"/>
              <w:rPr>
                <w:rFonts w:ascii="宋体" w:hAnsi="宋体" w:eastAsia="宋体" w:cs="宋体"/>
                <w:sz w:val="24"/>
                <w:szCs w:val="24"/>
              </w:rPr>
            </w:pPr>
            <w:r>
              <w:rPr>
                <w:rFonts w:hint="eastAsia"/>
              </w:rPr>
              <w:t>注：本表反映部门本年度取得的各项收入情况。</w:t>
            </w:r>
          </w:p>
        </w:tc>
      </w:tr>
    </w:tbl>
    <w:p>
      <w:pPr>
        <w:widowControl/>
        <w:shd w:val="clear"/>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10"/>
        <w:tblW w:w="15640" w:type="dxa"/>
        <w:tblInd w:w="93" w:type="dxa"/>
        <w:shd w:val="clear" w:color="auto" w:fill="auto"/>
        <w:tblLayout w:type="fixed"/>
        <w:tblCellMar>
          <w:top w:w="0" w:type="dxa"/>
          <w:left w:w="108" w:type="dxa"/>
          <w:bottom w:w="0" w:type="dxa"/>
          <w:right w:w="108" w:type="dxa"/>
        </w:tblCellMar>
      </w:tblPr>
      <w:tblGrid>
        <w:gridCol w:w="1236"/>
        <w:gridCol w:w="263"/>
        <w:gridCol w:w="2801"/>
        <w:gridCol w:w="1704"/>
        <w:gridCol w:w="1380"/>
        <w:gridCol w:w="1530"/>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0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0"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0"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auto" w:fill="auto"/>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0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0"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0" w:type="dxa"/>
            <w:tcBorders>
              <w:top w:val="nil"/>
              <w:left w:val="nil"/>
              <w:bottom w:val="nil"/>
              <w:right w:val="nil"/>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auto" w:fill="auto"/>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43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8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2801"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430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3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430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1628.29</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223.54</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1404.75</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2080505</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机关事业单位基本养老保险缴费支出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20.89</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20.89</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2019999</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其他一般公共服务支出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591.72</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591.72</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732"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2012999</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其他群众团体事务支出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710.95</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15.00</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695.95</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2100410</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突发公共卫生事件应急处理</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2012902</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一般行政管理事务</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112.12</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112.12</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607"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2101101</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行政单位医疗</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8.27</w:t>
            </w:r>
            <w:r>
              <w:rPr>
                <w:rFonts w:hint="eastAsia" w:ascii="宋体" w:hAnsi="宋体" w:eastAsia="宋体" w:cs="宋体"/>
                <w:kern w:val="0"/>
                <w:sz w:val="24"/>
                <w:szCs w:val="24"/>
              </w:rPr>
              <w:t>　</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8.27</w:t>
            </w:r>
            <w:r>
              <w:rPr>
                <w:rFonts w:hint="eastAsia" w:ascii="宋体" w:hAnsi="宋体" w:eastAsia="宋体" w:cs="宋体"/>
                <w:kern w:val="0"/>
                <w:sz w:val="24"/>
                <w:szCs w:val="24"/>
              </w:rPr>
              <w:t>　</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2012901</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行政运行</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167.75</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167.75</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2013299</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其他组织事务支出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2080501</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行政单位离退休</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2080599</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其他行政事业单位养老支出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11.63</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11.63</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2296002</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用于社会福利的彩票公益金支出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2130804</w:t>
            </w:r>
          </w:p>
        </w:tc>
        <w:tc>
          <w:tcPr>
            <w:tcW w:w="280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创业担保贷款贴息及奖补</w:t>
            </w:r>
          </w:p>
        </w:tc>
        <w:tc>
          <w:tcPr>
            <w:tcW w:w="17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4.96</w:t>
            </w:r>
          </w:p>
        </w:tc>
        <w:tc>
          <w:tcPr>
            <w:tcW w:w="13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53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4.96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0.00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10"/>
        <w:tblW w:w="15521" w:type="dxa"/>
        <w:tblInd w:w="93" w:type="dxa"/>
        <w:shd w:val="clear" w:color="auto" w:fill="auto"/>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404.37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358.62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358.62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32.52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32.52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8.27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8.27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七、</w:t>
            </w:r>
            <w:r>
              <w:rPr>
                <w:rFonts w:hint="eastAsia" w:ascii="宋体" w:hAnsi="宋体" w:eastAsia="宋体" w:cs="宋体"/>
                <w:kern w:val="0"/>
                <w:sz w:val="24"/>
                <w:szCs w:val="24"/>
              </w:rPr>
              <w:t>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4.96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4.96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404.37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404.37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404.37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404.37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404.37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404.37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b w:val="0"/>
                <w:bCs w:val="0"/>
                <w:kern w:val="0"/>
                <w:sz w:val="22"/>
                <w:lang w:val="en-US" w:eastAsia="zh-CN"/>
              </w:rPr>
            </w:pPr>
            <w:r>
              <w:rPr>
                <w:rFonts w:hint="eastAsia" w:ascii="宋体" w:hAnsi="宋体" w:eastAsia="宋体" w:cs="宋体"/>
                <w:b w:val="0"/>
                <w:bCs w:val="0"/>
                <w:kern w:val="0"/>
                <w:sz w:val="22"/>
              </w:rPr>
              <w:t>　</w:t>
            </w:r>
            <w:r>
              <w:rPr>
                <w:rFonts w:hint="eastAsia" w:ascii="宋体" w:hAnsi="宋体" w:eastAsia="宋体" w:cs="宋体"/>
                <w:b w:val="0"/>
                <w:bCs w:val="0"/>
                <w:kern w:val="0"/>
                <w:sz w:val="22"/>
                <w:lang w:val="en-US" w:eastAsia="zh-CN"/>
              </w:rPr>
              <w:t>0.00</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404.37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223.54</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180.83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358.62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182.75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175.87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20129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群众团体事务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358.62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182.75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175.87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2012901</w:t>
            </w: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167.75</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167.75</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2012902</w:t>
            </w:r>
            <w:r>
              <w:rPr>
                <w:rFonts w:ascii="Times New Roman" w:hAnsi="Times New Roman" w:eastAsia="仿宋_GB2312" w:cs="Times New Roman"/>
                <w:kern w:val="0"/>
                <w:szCs w:val="21"/>
              </w:rPr>
              <w:t>　</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一般行政管理事务</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112.12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112.12</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2012999</w:t>
            </w:r>
            <w:r>
              <w:rPr>
                <w:rFonts w:ascii="Times New Roman" w:hAnsi="Times New Roman" w:eastAsia="仿宋_GB2312" w:cs="Times New Roman"/>
                <w:kern w:val="0"/>
                <w:szCs w:val="21"/>
              </w:rPr>
              <w:t>　</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其他群众团体事务支出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78.75</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63.75</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w:t>
            </w:r>
            <w:r>
              <w:rPr>
                <w:rFonts w:ascii="Times New Roman" w:hAnsi="Times New Roman" w:eastAsia="仿宋_GB2312" w:cs="Times New Roman"/>
                <w:kern w:val="0"/>
                <w:szCs w:val="21"/>
              </w:rPr>
              <w:t>　</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社会保障和就业支出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行政事业单位养老支出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32.52</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2080505</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机关事业单位基本养老保险缴费支出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20.89</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2080599</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其他行政事业单位养老支出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11.63</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11.63</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卫生健康支出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8.27</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8.27</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21011</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行政事业单位医疗</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8.27</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8.27</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2101101</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行政单位医疗</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8.27</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8.27</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农林水支出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4.96</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21308</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普惠金融发展支出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4.96</w:t>
            </w:r>
          </w:p>
        </w:tc>
      </w:tr>
      <w:tr>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rPr>
            </w:pPr>
            <w:r>
              <w:rPr>
                <w:rFonts w:hint="eastAsia" w:ascii="Times New Roman" w:hAnsi="Times New Roman" w:eastAsia="仿宋_GB2312" w:cs="Times New Roman"/>
                <w:kern w:val="0"/>
                <w:szCs w:val="21"/>
              </w:rPr>
              <w:t>2130804</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创业担保贷款贴息及奖补</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4.96</w:t>
            </w:r>
          </w:p>
        </w:tc>
      </w:tr>
      <w:tr>
        <w:tblPrEx>
          <w:tblCellMar>
            <w:top w:w="0" w:type="dxa"/>
            <w:left w:w="108" w:type="dxa"/>
            <w:bottom w:w="0" w:type="dxa"/>
            <w:right w:w="108" w:type="dxa"/>
          </w:tblCellMar>
        </w:tblPrEx>
        <w:trPr>
          <w:trHeight w:val="645" w:hRule="atLeast"/>
          <w:jc w:val="center"/>
        </w:trPr>
        <w:tc>
          <w:tcPr>
            <w:tcW w:w="14219" w:type="dxa"/>
            <w:gridSpan w:val="5"/>
            <w:tcBorders>
              <w:top w:val="single" w:color="auto" w:sz="8" w:space="0"/>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0" w:type="auto"/>
        <w:tblInd w:w="0" w:type="dxa"/>
        <w:tblLayout w:type="fixed"/>
        <w:tblCellMar>
          <w:top w:w="0" w:type="dxa"/>
          <w:left w:w="108" w:type="dxa"/>
          <w:bottom w:w="0" w:type="dxa"/>
          <w:right w:w="108" w:type="dxa"/>
        </w:tblCellMar>
      </w:tblPr>
      <w:tblGrid>
        <w:gridCol w:w="93"/>
        <w:gridCol w:w="898"/>
        <w:gridCol w:w="240"/>
        <w:gridCol w:w="94"/>
        <w:gridCol w:w="94"/>
        <w:gridCol w:w="701"/>
        <w:gridCol w:w="496"/>
        <w:gridCol w:w="1796"/>
        <w:gridCol w:w="312"/>
        <w:gridCol w:w="5"/>
        <w:gridCol w:w="972"/>
        <w:gridCol w:w="989"/>
        <w:gridCol w:w="306"/>
        <w:gridCol w:w="731"/>
        <w:gridCol w:w="1248"/>
        <w:gridCol w:w="112"/>
        <w:gridCol w:w="742"/>
        <w:gridCol w:w="996"/>
        <w:gridCol w:w="217"/>
        <w:gridCol w:w="139"/>
        <w:gridCol w:w="2091"/>
        <w:gridCol w:w="1165"/>
        <w:gridCol w:w="776"/>
        <w:gridCol w:w="150"/>
        <w:gridCol w:w="251"/>
      </w:tblGrid>
      <w:tr>
        <w:tblPrEx>
          <w:tblCellMar>
            <w:top w:w="0" w:type="dxa"/>
            <w:left w:w="108" w:type="dxa"/>
            <w:bottom w:w="0" w:type="dxa"/>
            <w:right w:w="108" w:type="dxa"/>
          </w:tblCellMar>
        </w:tblPrEx>
        <w:trPr>
          <w:trHeight w:val="113" w:hRule="atLeast"/>
        </w:trPr>
        <w:tc>
          <w:tcPr>
            <w:tcW w:w="15614" w:type="dxa"/>
            <w:gridSpan w:val="25"/>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2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0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12"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7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166.68</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15.14</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65.13</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41.43</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47.10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4.80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0.06</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0.75</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7.40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0.93</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0.83</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1.89</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10.65</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w:t>
            </w: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2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04"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98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5"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5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12" w:type="dxa"/>
            <w:gridSpan w:val="4"/>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729" w:type="dxa"/>
            <w:gridSpan w:val="10"/>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167.61</w:t>
            </w:r>
          </w:p>
        </w:tc>
        <w:tc>
          <w:tcPr>
            <w:tcW w:w="8736" w:type="dxa"/>
            <w:gridSpan w:val="11"/>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77"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15.14</w:t>
            </w:r>
          </w:p>
        </w:tc>
      </w:tr>
      <w:tr>
        <w:tblPrEx>
          <w:tblCellMar>
            <w:top w:w="0" w:type="dxa"/>
            <w:left w:w="108" w:type="dxa"/>
            <w:bottom w:w="0" w:type="dxa"/>
            <w:right w:w="108" w:type="dxa"/>
          </w:tblCellMar>
        </w:tblPrEx>
        <w:trPr>
          <w:trHeight w:val="284" w:hRule="exact"/>
        </w:trPr>
        <w:tc>
          <w:tcPr>
            <w:tcW w:w="15614" w:type="dxa"/>
            <w:gridSpan w:val="25"/>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2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gridSpan w:val="2"/>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385" w:type="dxa"/>
            <w:gridSpan w:val="4"/>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272" w:type="dxa"/>
            <w:gridSpan w:val="4"/>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1" w:type="dxa"/>
            <w:gridSpan w:val="3"/>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1" w:type="dxa"/>
            <w:gridSpan w:val="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91"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385" w:type="dxa"/>
            <w:gridSpan w:val="4"/>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272" w:type="dxa"/>
            <w:gridSpan w:val="4"/>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1" w:type="dxa"/>
            <w:gridSpan w:val="3"/>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4" w:type="dxa"/>
            <w:gridSpan w:val="4"/>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2091" w:type="dxa"/>
            <w:gridSpan w:val="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229</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其他支出</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22960</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彩票公益金安排的支出</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2296002</w:t>
            </w: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用于社会福利的彩票公益金支出</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2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63" w:hRule="atLeast"/>
        </w:trPr>
        <w:tc>
          <w:tcPr>
            <w:tcW w:w="15120" w:type="dxa"/>
            <w:gridSpan w:val="2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1326" w:type="dxa"/>
            <w:gridSpan w:val="4"/>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292" w:type="dxa"/>
            <w:gridSpan w:val="2"/>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3315" w:type="dxa"/>
            <w:gridSpan w:val="6"/>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3315" w:type="dxa"/>
            <w:gridSpan w:val="5"/>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4171" w:type="dxa"/>
            <w:gridSpan w:val="4"/>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1326"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292" w:type="dxa"/>
            <w:gridSpan w:val="2"/>
            <w:tcBorders>
              <w:top w:val="nil"/>
              <w:left w:val="nil"/>
              <w:bottom w:val="nil"/>
              <w:right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3315" w:type="dxa"/>
            <w:gridSpan w:val="6"/>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3315" w:type="dxa"/>
            <w:gridSpan w:val="5"/>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4171" w:type="dxa"/>
            <w:gridSpan w:val="4"/>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76" w:hRule="atLeast"/>
        </w:trPr>
        <w:tc>
          <w:tcPr>
            <w:tcW w:w="15120" w:type="dxa"/>
            <w:gridSpan w:val="2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pStyle w:val="2"/>
        <w:rPr>
          <w:rFonts w:hint="eastAsia" w:ascii="Times New Roman" w:hAnsi="Times New Roman" w:eastAsia="方正小标宋_GBK" w:cs="Times New Roman"/>
          <w:color w:val="000000"/>
          <w:kern w:val="0"/>
          <w:sz w:val="36"/>
          <w:szCs w:val="36"/>
        </w:rPr>
      </w:pPr>
    </w:p>
    <w:p>
      <w:pPr>
        <w:pStyle w:val="3"/>
        <w:rPr>
          <w:rFonts w:hint="eastAsia"/>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auto"/>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pStyle w:val="14"/>
        <w:rPr>
          <w:sz w:val="72"/>
          <w:szCs w:val="72"/>
        </w:rPr>
      </w:pPr>
    </w:p>
    <w:p>
      <w:pPr>
        <w:pStyle w:val="14"/>
        <w:rPr>
          <w:sz w:val="72"/>
          <w:szCs w:val="72"/>
        </w:rPr>
      </w:pPr>
    </w:p>
    <w:p>
      <w:pPr>
        <w:pStyle w:val="14"/>
        <w:rPr>
          <w:sz w:val="72"/>
          <w:szCs w:val="72"/>
        </w:rPr>
      </w:pPr>
    </w:p>
    <w:p>
      <w:pPr>
        <w:pStyle w:val="14"/>
        <w:rPr>
          <w:sz w:val="72"/>
          <w:szCs w:val="72"/>
        </w:rPr>
      </w:pPr>
    </w:p>
    <w:p>
      <w:pPr>
        <w:pStyle w:val="14"/>
        <w:jc w:val="center"/>
        <w:rPr>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1628.29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1186.04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268.18</w:t>
      </w:r>
      <w:r>
        <w:rPr>
          <w:rFonts w:hint="eastAsia" w:ascii="Times New Roman" w:hAnsi="Times New Roman" w:eastAsia="仿宋_GB2312"/>
          <w:sz w:val="32"/>
          <w:szCs w:val="32"/>
        </w:rPr>
        <w:t>%，主要是因为2023年度收省妇女儿童发展基金会拨付“出手吧，姐姐温暖2022--关爱困境妇女儿童”公益项目募捐资金及市妇联非税往来资金（出手吧姐姐捐赠收入）1223.92万元</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1628.29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404.37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24.83</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1223.92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75.17</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1628.29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223.54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13.73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1404.75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86.27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404.37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37.88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8.57</w:t>
      </w:r>
      <w:r>
        <w:rPr>
          <w:rFonts w:hint="eastAsia" w:ascii="Times New Roman" w:hAnsi="Times New Roman" w:eastAsia="仿宋_GB2312"/>
          <w:sz w:val="32"/>
          <w:szCs w:val="32"/>
        </w:rPr>
        <w:t>%，主要是因为2023年度</w:t>
      </w:r>
      <w:r>
        <w:rPr>
          <w:rFonts w:hint="eastAsia" w:ascii="Times New Roman" w:hAnsi="Times New Roman" w:eastAsia="仿宋_GB2312"/>
          <w:sz w:val="32"/>
          <w:szCs w:val="32"/>
          <w:lang w:val="en-US" w:eastAsia="zh-CN"/>
        </w:rPr>
        <w:t>压减经费开支</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404.37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24.83</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37.88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8.57</w:t>
      </w:r>
      <w:r>
        <w:rPr>
          <w:rFonts w:hint="eastAsia" w:ascii="Times New Roman" w:hAnsi="Times New Roman" w:eastAsia="仿宋_GB2312"/>
          <w:sz w:val="32"/>
          <w:szCs w:val="32"/>
        </w:rPr>
        <w:t>%，主要是因为2023年度</w:t>
      </w:r>
      <w:r>
        <w:rPr>
          <w:rFonts w:hint="eastAsia" w:ascii="Times New Roman" w:hAnsi="Times New Roman" w:eastAsia="仿宋_GB2312"/>
          <w:sz w:val="32"/>
          <w:szCs w:val="32"/>
          <w:lang w:val="en-US" w:eastAsia="zh-CN"/>
        </w:rPr>
        <w:t>压减经费开支</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404.37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358.62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88.69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社会保障和就业（类）支出32.52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卫生健康（类）支出8.27万元，占比2.05%；农林水（类）支出4.96万元，占比1.22%。</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345.38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404.37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117.08</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1、一般公共服务（类）群众团体事务（款）行政运行（项）。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204.03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167.75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82.22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工资发放依据上年数据，和实际发放有差别。</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2、一般公共服务（类）群众团体事务（款）一般行政管理事务（项）。</w:t>
      </w:r>
    </w:p>
    <w:p>
      <w:pPr>
        <w:pStyle w:val="14"/>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112.12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99.66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压减经费开支。</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、一般公共服务（类）群众团体事务（款）其他群众团体事务支出（项）。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78.75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%，决算数大于年初预算数的主要原因是：其他群众团体事务支出</w:t>
      </w:r>
      <w:r>
        <w:rPr>
          <w:rFonts w:hint="eastAsia" w:ascii="Times New Roman" w:hAnsi="Times New Roman" w:eastAsia="仿宋_GB2312"/>
          <w:sz w:val="32"/>
          <w:szCs w:val="32"/>
          <w:lang w:val="en-US" w:eastAsia="zh-CN"/>
        </w:rPr>
        <w:t>未纳入年初预算。</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、社会保障和就业支出（类）行政事业单位养老支出（款）机关事业单位基本养老保险缴费支出（项）。</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20.89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101.90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社保测算和实际发放有差别。</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、社会保障和就业支出（类）行政事业单位养老支出（款）其他行政事业单位养老支出（项）。</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11.63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对个人和家庭的补助中生活补助未纳入年初预算。</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、卫生健康支出（类）行政事业单位医疗（款）行政单位医疗（项）。</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8.34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99.16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医疗保险测算和实际发放有差别。</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、农林水支出（类）普惠金融发展支出（款）创业担保贷款贴息及奖补（项）。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4.96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%，决算数大于年初预算数的主要原因是：农林水支出（类）普惠金融发展支出（款）创业担保贷款贴息及奖补（项）</w:t>
      </w:r>
      <w:r>
        <w:rPr>
          <w:rFonts w:hint="eastAsia" w:ascii="Times New Roman" w:hAnsi="Times New Roman" w:eastAsia="仿宋_GB2312"/>
          <w:sz w:val="32"/>
          <w:szCs w:val="32"/>
          <w:lang w:val="en-US" w:eastAsia="zh-CN"/>
        </w:rPr>
        <w:t>未纳入年初预算</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223.54</w:t>
      </w:r>
      <w:r>
        <w:rPr>
          <w:rFonts w:hint="eastAsia" w:ascii="Times New Roman" w:hAnsi="Times New Roman" w:eastAsia="仿宋_GB2312"/>
          <w:sz w:val="32"/>
          <w:szCs w:val="32"/>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208.40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93.23</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主要包括基本工资、津贴补贴、奖金、伙食补助费</w:t>
      </w:r>
      <w:r>
        <w:rPr>
          <w:rFonts w:hint="eastAsia" w:ascii="Times New Roman" w:hAnsi="Times New Roman" w:eastAsia="仿宋_GB2312"/>
          <w:color w:val="auto"/>
          <w:sz w:val="32"/>
          <w:szCs w:val="32"/>
          <w:lang w:eastAsia="zh-CN"/>
        </w:rPr>
        <w:t>、机关事业单位基本养老保险缴费、职工基本医疗保险缴费、其他社会保障缴费、生活补助、其他对个人和家庭的补助。</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15.14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6.77</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主要包括</w:t>
      </w:r>
      <w:r>
        <w:rPr>
          <w:rFonts w:hint="eastAsia" w:ascii="Times New Roman" w:hAnsi="Times New Roman" w:eastAsia="仿宋_GB2312"/>
          <w:color w:val="auto"/>
          <w:sz w:val="32"/>
          <w:szCs w:val="32"/>
          <w:lang w:eastAsia="zh-CN"/>
        </w:rPr>
        <w:t>补助、交通补贴等</w:t>
      </w:r>
      <w:r>
        <w:rPr>
          <w:rFonts w:hint="eastAsia" w:ascii="Times New Roman" w:hAnsi="Times New Roman" w:eastAsia="仿宋_GB2312"/>
          <w:color w:val="auto"/>
          <w:sz w:val="32"/>
          <w:szCs w:val="32"/>
        </w:rPr>
        <w:t>。</w:t>
      </w:r>
    </w:p>
    <w:p>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91.74</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因公出国（境）</w:t>
      </w:r>
      <w:r>
        <w:rPr>
          <w:rFonts w:hint="eastAsia" w:ascii="Times New Roman" w:hAnsi="Times New Roman" w:eastAsia="仿宋_GB2312"/>
          <w:color w:val="auto"/>
          <w:sz w:val="32"/>
          <w:szCs w:val="32"/>
          <w:lang w:val="en-US" w:eastAsia="zh-CN"/>
        </w:rPr>
        <w:t>公务活动</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持平</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因公出国（境）</w:t>
      </w:r>
      <w:r>
        <w:rPr>
          <w:rFonts w:hint="eastAsia" w:ascii="Times New Roman" w:hAnsi="Times New Roman" w:eastAsia="仿宋_GB2312"/>
          <w:color w:val="auto"/>
          <w:sz w:val="32"/>
          <w:szCs w:val="32"/>
          <w:lang w:val="en-US" w:eastAsia="zh-CN"/>
        </w:rPr>
        <w:t>公务活动</w:t>
      </w: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71</w:t>
      </w:r>
      <w:r>
        <w:rPr>
          <w:rFonts w:hint="eastAsia" w:ascii="Times New Roman" w:hAnsi="Times New Roman" w:eastAsia="仿宋_GB2312"/>
          <w:sz w:val="32"/>
          <w:szCs w:val="32"/>
        </w:rPr>
        <w:t>%，决算数小于预算数的主要原因是2023年度根据财政要求，压减经费开支，与上年相比增加</w:t>
      </w:r>
      <w:r>
        <w:rPr>
          <w:rFonts w:hint="eastAsia" w:ascii="Times New Roman" w:hAnsi="Times New Roman" w:eastAsia="仿宋_GB2312"/>
          <w:sz w:val="32"/>
          <w:szCs w:val="32"/>
          <w:lang w:val="en-US" w:eastAsia="zh-CN"/>
        </w:rPr>
        <w:t>0.39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121.33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default" w:ascii="Times New Roman" w:hAnsi="Times New Roman" w:eastAsia="仿宋_GB2312"/>
          <w:sz w:val="32"/>
          <w:szCs w:val="32"/>
          <w:lang w:val="en-US"/>
        </w:rPr>
        <w:t>2023</w:t>
      </w:r>
      <w:r>
        <w:rPr>
          <w:rFonts w:hint="eastAsia" w:ascii="Times New Roman" w:hAnsi="Times New Roman" w:eastAsia="仿宋_GB2312"/>
          <w:sz w:val="32"/>
          <w:szCs w:val="32"/>
          <w:lang w:val="en-US" w:eastAsia="zh-CN"/>
        </w:rPr>
        <w:t>年度因</w:t>
      </w:r>
      <w:r>
        <w:rPr>
          <w:rFonts w:hint="eastAsia" w:ascii="Times New Roman" w:hAnsi="Times New Roman" w:eastAsia="仿宋_GB2312"/>
          <w:sz w:val="32"/>
          <w:szCs w:val="32"/>
        </w:rPr>
        <w:t>业务工作需要</w:t>
      </w:r>
      <w:r>
        <w:rPr>
          <w:rFonts w:hint="eastAsia" w:ascii="Times New Roman" w:hAnsi="Times New Roman" w:eastAsia="仿宋_GB2312"/>
          <w:sz w:val="32"/>
          <w:szCs w:val="32"/>
          <w:lang w:eastAsia="zh-CN"/>
        </w:rPr>
        <w:t>开展</w:t>
      </w:r>
      <w:r>
        <w:rPr>
          <w:rFonts w:hint="eastAsia" w:ascii="Times New Roman" w:hAnsi="Times New Roman" w:eastAsia="仿宋_GB2312"/>
          <w:sz w:val="32"/>
          <w:szCs w:val="32"/>
        </w:rPr>
        <w:t>公务接待。</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w:t>
      </w:r>
      <w:bookmarkStart w:id="3" w:name="_GoBack"/>
      <w:bookmarkEnd w:id="3"/>
      <w:r>
        <w:rPr>
          <w:rFonts w:hint="eastAsia" w:ascii="Times New Roman" w:hAnsi="Times New Roman" w:eastAsia="仿宋_GB2312"/>
          <w:sz w:val="32"/>
          <w:szCs w:val="32"/>
        </w:rPr>
        <w:t>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等于</w:t>
      </w:r>
      <w:r>
        <w:rPr>
          <w:rFonts w:hint="eastAsia" w:ascii="Times New Roman" w:hAnsi="Times New Roman" w:eastAsia="仿宋_GB2312"/>
          <w:color w:val="auto"/>
          <w:sz w:val="32"/>
          <w:szCs w:val="32"/>
        </w:rPr>
        <w:t>预算数的主要原因是</w:t>
      </w:r>
      <w:r>
        <w:rPr>
          <w:rFonts w:hint="eastAsia" w:ascii="Times New Roman" w:hAnsi="Times New Roman" w:eastAsia="仿宋_GB2312"/>
          <w:color w:val="auto"/>
          <w:sz w:val="32"/>
          <w:szCs w:val="32"/>
          <w:lang w:val="en-US" w:eastAsia="zh-CN"/>
        </w:rPr>
        <w:t>未购置公务用车</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持平</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val="en-US" w:eastAsia="zh-CN"/>
        </w:rPr>
        <w:t>未购置公务用车</w:t>
      </w: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97.5</w:t>
      </w:r>
      <w:r>
        <w:rPr>
          <w:rFonts w:hint="eastAsia" w:ascii="Times New Roman" w:hAnsi="Times New Roman" w:eastAsia="仿宋_GB2312"/>
          <w:sz w:val="32"/>
          <w:szCs w:val="32"/>
        </w:rPr>
        <w:t>%，决算数小于预算数的主要原因是2023年度根据财政要求，压减经费开支，与上年相比减少</w:t>
      </w:r>
      <w:r>
        <w:rPr>
          <w:rFonts w:hint="eastAsia" w:ascii="Times New Roman" w:hAnsi="Times New Roman" w:eastAsia="仿宋_GB2312"/>
          <w:sz w:val="32"/>
          <w:szCs w:val="32"/>
          <w:lang w:val="en-US" w:eastAsia="zh-CN"/>
        </w:rPr>
        <w:t>0.97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21.74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减少的主要原因是压减经费开支。</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16.82</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83.18</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0.71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87</w:t>
      </w:r>
      <w:r>
        <w:rPr>
          <w:rFonts w:hint="eastAsia" w:ascii="Times New Roman" w:hAnsi="Times New Roman" w:eastAsia="仿宋_GB2312"/>
          <w:sz w:val="32"/>
          <w:szCs w:val="32"/>
        </w:rPr>
        <w:t>人次，主要是</w:t>
      </w:r>
      <w:r>
        <w:rPr>
          <w:rFonts w:hint="eastAsia" w:ascii="Times New Roman" w:hAnsi="Times New Roman" w:eastAsia="仿宋_GB2312"/>
          <w:color w:val="auto"/>
          <w:sz w:val="32"/>
          <w:szCs w:val="32"/>
          <w:lang w:val="en-US" w:eastAsia="zh-CN"/>
        </w:rPr>
        <w:t>对接工作</w:t>
      </w:r>
      <w:r>
        <w:rPr>
          <w:rFonts w:hint="eastAsia" w:ascii="Times New Roman" w:hAnsi="Times New Roman" w:eastAsia="仿宋_GB2312"/>
          <w:color w:val="auto"/>
          <w:sz w:val="32"/>
          <w:szCs w:val="32"/>
        </w:rPr>
        <w:t>发生的接待支出</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怀化市妇女联合会</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主要是</w:t>
      </w:r>
      <w:r>
        <w:rPr>
          <w:rFonts w:hint="eastAsia" w:ascii="Times New Roman" w:hAnsi="Times New Roman" w:eastAsia="仿宋_GB2312"/>
          <w:color w:val="auto"/>
          <w:sz w:val="32"/>
          <w:szCs w:val="32"/>
          <w:lang w:val="en-US" w:eastAsia="zh-CN"/>
        </w:rPr>
        <w:t>车辆油耗、保险、维修等</w:t>
      </w:r>
      <w:r>
        <w:rPr>
          <w:rFonts w:hint="eastAsia" w:ascii="Times New Roman" w:hAnsi="Times New Roman" w:eastAsia="仿宋_GB2312"/>
          <w:color w:val="auto"/>
          <w:sz w:val="32"/>
          <w:szCs w:val="32"/>
        </w:rPr>
        <w:t>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rPr>
        <w:t>政府性基金预算财政拨款收</w:t>
      </w:r>
      <w:r>
        <w:rPr>
          <w:rFonts w:hint="eastAsia" w:ascii="Times New Roman" w:hAnsi="Times New Roman" w:eastAsia="仿宋_GB2312"/>
          <w:sz w:val="32"/>
          <w:szCs w:val="32"/>
          <w:lang w:val="en-US" w:eastAsia="zh-CN"/>
        </w:rPr>
        <w:t>支</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九、国有资本经营预算收入支出</w:t>
      </w:r>
      <w:r>
        <w:rPr>
          <w:rFonts w:hint="eastAsia" w:ascii="Times New Roman" w:hAnsi="Times New Roman" w:eastAsia="仿宋_GB2312"/>
          <w:b/>
          <w:sz w:val="32"/>
          <w:szCs w:val="32"/>
        </w:rPr>
        <w:t>决算情况</w:t>
      </w:r>
      <w:r>
        <w:rPr>
          <w:rFonts w:hint="eastAsia" w:ascii="Times New Roman" w:hAnsi="Times New Roman" w:eastAsia="仿宋_GB2312"/>
          <w:b/>
          <w:sz w:val="32"/>
          <w:szCs w:val="32"/>
          <w:lang w:val="en-US" w:eastAsia="zh-CN"/>
        </w:rPr>
        <w:t>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15.14</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1.51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11.05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人员增加</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w:t>
      </w:r>
      <w:r>
        <w:rPr>
          <w:rFonts w:hint="eastAsia" w:ascii="Times New Roman" w:hAnsi="Times New Roman" w:eastAsia="仿宋_GB2312"/>
          <w:sz w:val="32"/>
          <w:szCs w:val="32"/>
          <w:lang w:eastAsia="zh-CN"/>
        </w:rPr>
        <w:t>共</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4.93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其中</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1.75</w:t>
      </w:r>
      <w:r>
        <w:rPr>
          <w:rFonts w:hint="eastAsia" w:ascii="Times New Roman" w:hAnsi="Times New Roman" w:eastAsia="仿宋_GB2312"/>
          <w:sz w:val="32"/>
          <w:szCs w:val="32"/>
        </w:rPr>
        <w:t>万元，用于召开怀化市纪念“三八”国际妇女节11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周年大会，人数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人，内容为纪念“三八”国际妇女节11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周年；开支会议费</w:t>
      </w:r>
      <w:r>
        <w:rPr>
          <w:rFonts w:hint="eastAsia" w:ascii="Times New Roman" w:hAnsi="Times New Roman" w:eastAsia="仿宋_GB2312"/>
          <w:sz w:val="32"/>
          <w:szCs w:val="32"/>
          <w:lang w:val="en-US" w:eastAsia="zh-CN"/>
        </w:rPr>
        <w:t>1.10</w:t>
      </w:r>
      <w:r>
        <w:rPr>
          <w:rFonts w:hint="eastAsia" w:ascii="Times New Roman" w:hAnsi="Times New Roman" w:eastAsia="仿宋_GB2312"/>
          <w:sz w:val="32"/>
          <w:szCs w:val="32"/>
        </w:rPr>
        <w:t>万元，用于召开2023年</w:t>
      </w:r>
      <w:r>
        <w:rPr>
          <w:rFonts w:hint="eastAsia" w:ascii="Times New Roman" w:hAnsi="Times New Roman" w:eastAsia="仿宋_GB2312"/>
          <w:sz w:val="32"/>
          <w:szCs w:val="32"/>
          <w:lang w:eastAsia="zh-CN"/>
        </w:rPr>
        <w:t>怀化市“</w:t>
      </w:r>
      <w:r>
        <w:rPr>
          <w:rFonts w:hint="eastAsia" w:ascii="Times New Roman" w:hAnsi="Times New Roman" w:eastAsia="仿宋_GB2312"/>
          <w:sz w:val="32"/>
          <w:szCs w:val="32"/>
        </w:rPr>
        <w:t>清廉家庭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建设</w:t>
      </w:r>
      <w:r>
        <w:rPr>
          <w:rFonts w:hint="eastAsia" w:ascii="Times New Roman" w:hAnsi="Times New Roman" w:eastAsia="仿宋_GB2312"/>
          <w:sz w:val="32"/>
          <w:szCs w:val="32"/>
          <w:lang w:val="en-US" w:eastAsia="zh-CN"/>
        </w:rPr>
        <w:t>工作</w:t>
      </w:r>
      <w:r>
        <w:rPr>
          <w:rFonts w:hint="eastAsia" w:ascii="Times New Roman" w:hAnsi="Times New Roman" w:eastAsia="仿宋_GB2312"/>
          <w:sz w:val="32"/>
          <w:szCs w:val="32"/>
        </w:rPr>
        <w:t>推进会暨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清风传家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主题故事首场宣讲会，人数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推进“清廉家庭”建设工作并开展“</w:t>
      </w:r>
      <w:r>
        <w:rPr>
          <w:rFonts w:hint="eastAsia" w:ascii="Times New Roman" w:hAnsi="Times New Roman" w:eastAsia="仿宋_GB2312"/>
          <w:sz w:val="32"/>
          <w:szCs w:val="32"/>
        </w:rPr>
        <w:t>清风传家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主题故事首场宣讲；开支会议费</w:t>
      </w:r>
      <w:r>
        <w:rPr>
          <w:rFonts w:hint="eastAsia" w:ascii="Times New Roman" w:hAnsi="Times New Roman" w:eastAsia="仿宋_GB2312"/>
          <w:sz w:val="32"/>
          <w:szCs w:val="32"/>
          <w:lang w:val="en-US" w:eastAsia="zh-CN"/>
        </w:rPr>
        <w:t>1.58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用于怀化市妇女儿童</w:t>
      </w:r>
      <w:r>
        <w:rPr>
          <w:rFonts w:hint="eastAsia" w:ascii="Times New Roman" w:hAnsi="Times New Roman" w:eastAsia="仿宋_GB2312"/>
          <w:sz w:val="32"/>
          <w:szCs w:val="32"/>
        </w:rPr>
        <w:t>工作会议</w:t>
      </w:r>
      <w:r>
        <w:rPr>
          <w:rFonts w:hint="eastAsia" w:ascii="Times New Roman" w:hAnsi="Times New Roman" w:eastAsia="仿宋_GB2312"/>
          <w:sz w:val="32"/>
          <w:szCs w:val="32"/>
          <w:lang w:eastAsia="zh-CN"/>
        </w:rPr>
        <w:t>，人数</w:t>
      </w:r>
      <w:r>
        <w:rPr>
          <w:rFonts w:hint="eastAsia" w:ascii="Times New Roman" w:hAnsi="Times New Roman" w:eastAsia="仿宋_GB2312"/>
          <w:sz w:val="32"/>
          <w:szCs w:val="32"/>
          <w:lang w:val="en-US" w:eastAsia="zh-CN"/>
        </w:rPr>
        <w:t>170人，内容为总结交流近年来全市妇女儿童工作情况，部署“十四五”时期怀化市妇女儿童发展规划的实施工作；</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0.50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用于怀化市妇联五届五次执委会和中国妇女十三大精神宣讲会，人数</w:t>
      </w:r>
      <w:r>
        <w:rPr>
          <w:rFonts w:hint="eastAsia" w:ascii="Times New Roman" w:hAnsi="Times New Roman" w:eastAsia="仿宋_GB2312"/>
          <w:sz w:val="32"/>
          <w:szCs w:val="32"/>
          <w:lang w:val="en-US" w:eastAsia="zh-CN"/>
        </w:rPr>
        <w:t>60人，内容为</w:t>
      </w:r>
      <w:r>
        <w:rPr>
          <w:rFonts w:hint="eastAsia" w:ascii="Times New Roman" w:hAnsi="Times New Roman" w:eastAsia="仿宋_GB2312"/>
          <w:sz w:val="32"/>
          <w:szCs w:val="32"/>
          <w:lang w:eastAsia="zh-CN"/>
        </w:rPr>
        <w:t>中国妇女十三大精神宣讲</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w:t>
      </w:r>
      <w:r>
        <w:rPr>
          <w:rFonts w:hint="eastAsia" w:ascii="Times New Roman" w:hAnsi="Times New Roman" w:eastAsia="仿宋_GB2312"/>
          <w:sz w:val="32"/>
          <w:szCs w:val="32"/>
          <w:lang w:eastAsia="zh-CN"/>
        </w:rPr>
        <w:t>共</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培训费</w:t>
      </w:r>
      <w:r>
        <w:rPr>
          <w:rFonts w:hint="eastAsia" w:ascii="Times New Roman" w:hAnsi="Times New Roman" w:eastAsia="仿宋_GB2312"/>
          <w:sz w:val="32"/>
          <w:szCs w:val="32"/>
          <w:lang w:val="en-US" w:eastAsia="zh-CN"/>
        </w:rPr>
        <w:t>1.39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其中</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0.98</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“收纳课堂进家庭”活动示范课</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收纳技能培训</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短视频拍摄和制作培训，人数</w:t>
      </w:r>
      <w:r>
        <w:rPr>
          <w:rFonts w:hint="eastAsia" w:ascii="Times New Roman" w:hAnsi="Times New Roman" w:eastAsia="仿宋_GB2312"/>
          <w:sz w:val="32"/>
          <w:szCs w:val="32"/>
          <w:lang w:val="en-US" w:eastAsia="zh-CN"/>
        </w:rPr>
        <w:t>50人，</w:t>
      </w:r>
      <w:r>
        <w:rPr>
          <w:rFonts w:hint="eastAsia" w:ascii="Times New Roman" w:hAnsi="Times New Roman" w:eastAsia="仿宋_GB2312"/>
          <w:sz w:val="32"/>
          <w:szCs w:val="32"/>
        </w:rPr>
        <w:t>内容为</w:t>
      </w:r>
      <w:r>
        <w:rPr>
          <w:rFonts w:hint="eastAsia" w:ascii="Times New Roman" w:hAnsi="Times New Roman" w:eastAsia="仿宋_GB2312"/>
          <w:sz w:val="32"/>
          <w:szCs w:val="32"/>
          <w:lang w:eastAsia="zh-CN"/>
        </w:rPr>
        <w:t>短视频拍摄和制作培训，机关干部培训</w:t>
      </w:r>
      <w:r>
        <w:rPr>
          <w:rFonts w:hint="eastAsia" w:ascii="Times New Roman" w:hAnsi="Times New Roman" w:eastAsia="仿宋_GB2312"/>
          <w:sz w:val="32"/>
          <w:szCs w:val="32"/>
          <w:lang w:val="en-US" w:eastAsia="zh-CN"/>
        </w:rPr>
        <w:t>0.16万元，人数7人，内容为</w:t>
      </w:r>
      <w:r>
        <w:rPr>
          <w:rFonts w:hint="eastAsia" w:ascii="Times New Roman" w:hAnsi="Times New Roman" w:eastAsia="仿宋_GB2312"/>
          <w:sz w:val="32"/>
          <w:szCs w:val="32"/>
          <w:lang w:eastAsia="zh-CN"/>
        </w:rPr>
        <w:t>机关干部培训。</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83.55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23.87</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59.68</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83.55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83.55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28.57</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71.5</w:t>
      </w: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一般公务用车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val="en-US" w:eastAsia="zh-CN"/>
        </w:rPr>
        <w:t>第一加强领导，不断完善绩效考核管理制度；第二强化学习宣传，在完善绩效管理考核体系的情况下，不断总结绩效管理过程中的经验，加强绩效管理制度的建设。第三，大力推进绩效管理工作。我部门组织开展绩效考核指标会议，调动人员的工作积极性。</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根据预算绩效管理要求，我部门组织开展整体支出绩效评价，涉及一般公共预算支出</w:t>
      </w:r>
      <w:r>
        <w:rPr>
          <w:rFonts w:hint="eastAsia" w:ascii="Times New Roman" w:hAnsi="Times New Roman" w:eastAsia="仿宋_GB2312"/>
          <w:sz w:val="32"/>
          <w:szCs w:val="32"/>
          <w:lang w:val="en-US" w:eastAsia="zh-CN"/>
        </w:rPr>
        <w:t>404.37</w:t>
      </w:r>
      <w:r>
        <w:rPr>
          <w:rFonts w:hint="eastAsia" w:ascii="Times New Roman" w:hAnsi="Times New Roman" w:eastAsia="仿宋_GB2312"/>
          <w:sz w:val="32"/>
          <w:szCs w:val="32"/>
        </w:rPr>
        <w:t>万元。从评价情况来看，</w:t>
      </w:r>
      <w:r>
        <w:rPr>
          <w:rFonts w:hint="eastAsia" w:ascii="Times New Roman" w:hAnsi="Times New Roman" w:eastAsia="仿宋_GB2312"/>
          <w:sz w:val="32"/>
          <w:szCs w:val="32"/>
          <w:lang w:val="en-US" w:eastAsia="zh-CN"/>
        </w:rPr>
        <w:t>按照财政部门要求开展了整体支出绩效自评，形成的整体支出绩效自评报告见附件。从评价情况来看，通过全年工作的开展，各项目标任务都有效完成</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1、项目预算绩效管理有待进一步加强，预算编制当中绩效目标意识不够，对资金的管理使用不够系统全面。</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2、项目绩效目标设立不够细化、量化。虽然按要求及时申报了项目资料，但项目绩效目标在细化、量化方面还不到位。</w:t>
      </w:r>
    </w:p>
    <w:p>
      <w:pPr>
        <w:pStyle w:val="14"/>
        <w:jc w:val="both"/>
        <w:rPr>
          <w:sz w:val="72"/>
          <w:szCs w:val="72"/>
        </w:rPr>
      </w:pPr>
    </w:p>
    <w:p>
      <w:pPr>
        <w:pStyle w:val="14"/>
        <w:jc w:val="center"/>
        <w:rPr>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3" w:lineRule="atLeast"/>
        <w:ind w:left="0" w:right="0" w:firstLine="600" w:firstLineChars="200"/>
        <w:jc w:val="both"/>
        <w:textAlignment w:val="auto"/>
        <w:rPr>
          <w:rFonts w:hint="eastAsia" w:ascii="仿宋" w:hAnsi="仿宋" w:eastAsia="仿宋" w:cs="仿宋"/>
          <w:i w:val="0"/>
          <w:iCs w:val="0"/>
          <w:caps w:val="0"/>
          <w:color w:val="000000"/>
          <w:spacing w:val="0"/>
          <w:sz w:val="30"/>
          <w:szCs w:val="30"/>
          <w:shd w:val="clear" w:color="auto" w:fill="FFFFFF"/>
        </w:rPr>
      </w:pPr>
      <w:r>
        <w:rPr>
          <w:rFonts w:hint="eastAsia" w:ascii="仿宋" w:hAnsi="仿宋" w:eastAsia="仿宋" w:cs="仿宋"/>
          <w:b/>
          <w:bCs/>
          <w:i w:val="0"/>
          <w:iCs w:val="0"/>
          <w:caps w:val="0"/>
          <w:color w:val="000000"/>
          <w:spacing w:val="0"/>
          <w:sz w:val="30"/>
          <w:szCs w:val="30"/>
          <w:shd w:val="clear" w:color="auto" w:fill="FFFFFF"/>
        </w:rPr>
        <w:t>一、机关运行经费</w:t>
      </w:r>
      <w:r>
        <w:rPr>
          <w:rFonts w:hint="eastAsia" w:ascii="仿宋" w:hAnsi="仿宋" w:eastAsia="仿宋" w:cs="仿宋"/>
          <w:i w:val="0"/>
          <w:iCs w:val="0"/>
          <w:caps w:val="0"/>
          <w:color w:val="000000"/>
          <w:spacing w:val="0"/>
          <w:sz w:val="30"/>
          <w:szCs w:val="30"/>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3" w:lineRule="atLeast"/>
        <w:ind w:left="0" w:right="0" w:firstLine="600" w:firstLineChars="200"/>
        <w:jc w:val="both"/>
        <w:textAlignment w:val="auto"/>
        <w:rPr>
          <w:rFonts w:hint="eastAsia" w:ascii="仿宋" w:hAnsi="仿宋" w:eastAsia="仿宋" w:cs="仿宋"/>
          <w:i w:val="0"/>
          <w:iCs w:val="0"/>
          <w:caps w:val="0"/>
          <w:color w:val="000000"/>
          <w:spacing w:val="0"/>
          <w:sz w:val="30"/>
          <w:szCs w:val="30"/>
          <w:shd w:val="clear" w:color="auto" w:fill="FFFFFF"/>
        </w:rPr>
      </w:pPr>
      <w:r>
        <w:rPr>
          <w:rFonts w:hint="eastAsia" w:ascii="仿宋" w:hAnsi="仿宋" w:eastAsia="仿宋" w:cs="仿宋"/>
          <w:b/>
          <w:bCs/>
          <w:i w:val="0"/>
          <w:iCs w:val="0"/>
          <w:caps w:val="0"/>
          <w:color w:val="000000"/>
          <w:spacing w:val="0"/>
          <w:sz w:val="30"/>
          <w:szCs w:val="30"/>
          <w:shd w:val="clear" w:color="auto" w:fill="FFFFFF"/>
        </w:rPr>
        <w:t>二、“三公”经费</w:t>
      </w:r>
      <w:r>
        <w:rPr>
          <w:rFonts w:hint="eastAsia" w:ascii="仿宋" w:hAnsi="仿宋" w:eastAsia="仿宋" w:cs="仿宋"/>
          <w:i w:val="0"/>
          <w:iCs w:val="0"/>
          <w:caps w:val="0"/>
          <w:color w:val="000000"/>
          <w:spacing w:val="0"/>
          <w:sz w:val="30"/>
          <w:szCs w:val="30"/>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rPr>
          <w:sz w:val="72"/>
          <w:szCs w:val="72"/>
        </w:rPr>
      </w:pPr>
      <w:r>
        <w:rPr>
          <w:sz w:val="72"/>
          <w:szCs w:val="72"/>
        </w:rPr>
        <w:br w:type="page"/>
      </w: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附件一 2023年部门决算公开表</w:t>
      </w:r>
    </w:p>
    <w:p>
      <w:pPr>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附件二 2023年部门整体支出绩效报告</w:t>
      </w:r>
    </w:p>
    <w:p>
      <w:pPr>
        <w:pStyle w:val="14"/>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A6CBA"/>
    <w:multiLevelType w:val="singleLevel"/>
    <w:tmpl w:val="904A6CBA"/>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NDA3MGY0MWUyMzk2YjFkZjY1MDJiNDY2OTNkMzgifQ=="/>
  </w:docVars>
  <w:rsids>
    <w:rsidRoot w:val="004506F9"/>
    <w:rsid w:val="0002229B"/>
    <w:rsid w:val="000273BD"/>
    <w:rsid w:val="0003405E"/>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481F"/>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351AA"/>
    <w:rsid w:val="01062EEC"/>
    <w:rsid w:val="01415CD2"/>
    <w:rsid w:val="01747E56"/>
    <w:rsid w:val="01791910"/>
    <w:rsid w:val="01CE57B8"/>
    <w:rsid w:val="02FF5E45"/>
    <w:rsid w:val="03A013D6"/>
    <w:rsid w:val="03B92498"/>
    <w:rsid w:val="03DB240E"/>
    <w:rsid w:val="03F139E0"/>
    <w:rsid w:val="04CC1D57"/>
    <w:rsid w:val="04DC4690"/>
    <w:rsid w:val="053A3164"/>
    <w:rsid w:val="05571F68"/>
    <w:rsid w:val="05B13426"/>
    <w:rsid w:val="05C55124"/>
    <w:rsid w:val="061D0ABC"/>
    <w:rsid w:val="064F763A"/>
    <w:rsid w:val="065F7326"/>
    <w:rsid w:val="06B62CBE"/>
    <w:rsid w:val="06BD229F"/>
    <w:rsid w:val="06FA20A9"/>
    <w:rsid w:val="073F44D3"/>
    <w:rsid w:val="079052BE"/>
    <w:rsid w:val="07B45521"/>
    <w:rsid w:val="086725A9"/>
    <w:rsid w:val="091B4279"/>
    <w:rsid w:val="09C3197A"/>
    <w:rsid w:val="0A96708F"/>
    <w:rsid w:val="0AE47DFA"/>
    <w:rsid w:val="0AF67B2D"/>
    <w:rsid w:val="0B2428ED"/>
    <w:rsid w:val="0B834295"/>
    <w:rsid w:val="0B8B471A"/>
    <w:rsid w:val="0BB023D2"/>
    <w:rsid w:val="0BB91287"/>
    <w:rsid w:val="0BD31C1D"/>
    <w:rsid w:val="0C216E2C"/>
    <w:rsid w:val="0C5B40EC"/>
    <w:rsid w:val="0C803B53"/>
    <w:rsid w:val="0D0C53E6"/>
    <w:rsid w:val="0E5754BC"/>
    <w:rsid w:val="0EBB70C4"/>
    <w:rsid w:val="0FE95EB3"/>
    <w:rsid w:val="10A51DDA"/>
    <w:rsid w:val="10C0562E"/>
    <w:rsid w:val="112C24FB"/>
    <w:rsid w:val="11423ACC"/>
    <w:rsid w:val="118916FB"/>
    <w:rsid w:val="11EC3A38"/>
    <w:rsid w:val="122907E8"/>
    <w:rsid w:val="12582E7C"/>
    <w:rsid w:val="12593F63"/>
    <w:rsid w:val="12E50BB3"/>
    <w:rsid w:val="13217712"/>
    <w:rsid w:val="13DA7FEC"/>
    <w:rsid w:val="14AF1479"/>
    <w:rsid w:val="15086DDB"/>
    <w:rsid w:val="164756E1"/>
    <w:rsid w:val="166167A3"/>
    <w:rsid w:val="16734728"/>
    <w:rsid w:val="16924BAE"/>
    <w:rsid w:val="16B5089D"/>
    <w:rsid w:val="17E458DD"/>
    <w:rsid w:val="19324427"/>
    <w:rsid w:val="19CE05F3"/>
    <w:rsid w:val="19DD25E4"/>
    <w:rsid w:val="1A2E2E40"/>
    <w:rsid w:val="1A872550"/>
    <w:rsid w:val="1ACB68E1"/>
    <w:rsid w:val="1AFE6529"/>
    <w:rsid w:val="1B8420C4"/>
    <w:rsid w:val="1C6012AB"/>
    <w:rsid w:val="1D5A219E"/>
    <w:rsid w:val="1D97DEFF"/>
    <w:rsid w:val="1D9C4564"/>
    <w:rsid w:val="1DFF72E5"/>
    <w:rsid w:val="1E110AAE"/>
    <w:rsid w:val="1E805C34"/>
    <w:rsid w:val="1EFC6F07"/>
    <w:rsid w:val="1F136AA8"/>
    <w:rsid w:val="1F49071C"/>
    <w:rsid w:val="1F882FF2"/>
    <w:rsid w:val="20104D96"/>
    <w:rsid w:val="213D605E"/>
    <w:rsid w:val="21621621"/>
    <w:rsid w:val="218D2B42"/>
    <w:rsid w:val="21EB1616"/>
    <w:rsid w:val="22951E0D"/>
    <w:rsid w:val="229C4095"/>
    <w:rsid w:val="22B91715"/>
    <w:rsid w:val="23CD191B"/>
    <w:rsid w:val="23CD5478"/>
    <w:rsid w:val="24082954"/>
    <w:rsid w:val="253357AE"/>
    <w:rsid w:val="257F27A2"/>
    <w:rsid w:val="258E50DA"/>
    <w:rsid w:val="25C36AB3"/>
    <w:rsid w:val="25C44658"/>
    <w:rsid w:val="268A3AF4"/>
    <w:rsid w:val="270D0281"/>
    <w:rsid w:val="272E778C"/>
    <w:rsid w:val="276500BD"/>
    <w:rsid w:val="279F537D"/>
    <w:rsid w:val="28A16ED3"/>
    <w:rsid w:val="2976210D"/>
    <w:rsid w:val="2A1A0CEB"/>
    <w:rsid w:val="2B45623B"/>
    <w:rsid w:val="2C6B6CA8"/>
    <w:rsid w:val="2DBB42C3"/>
    <w:rsid w:val="2E7833FF"/>
    <w:rsid w:val="2EAC037F"/>
    <w:rsid w:val="2F57478F"/>
    <w:rsid w:val="2FDB716E"/>
    <w:rsid w:val="2FDF85B8"/>
    <w:rsid w:val="2FFFEE04"/>
    <w:rsid w:val="30894E1C"/>
    <w:rsid w:val="30D2231F"/>
    <w:rsid w:val="3106646D"/>
    <w:rsid w:val="3175714F"/>
    <w:rsid w:val="31E22A36"/>
    <w:rsid w:val="330662B0"/>
    <w:rsid w:val="331A61FF"/>
    <w:rsid w:val="33A06705"/>
    <w:rsid w:val="34594B05"/>
    <w:rsid w:val="34767465"/>
    <w:rsid w:val="34B47F8E"/>
    <w:rsid w:val="34DF85B0"/>
    <w:rsid w:val="355E0625"/>
    <w:rsid w:val="35B9585C"/>
    <w:rsid w:val="362A49AB"/>
    <w:rsid w:val="3643781B"/>
    <w:rsid w:val="36962041"/>
    <w:rsid w:val="36B14785"/>
    <w:rsid w:val="379245B6"/>
    <w:rsid w:val="379B0B0F"/>
    <w:rsid w:val="38710670"/>
    <w:rsid w:val="38741F0E"/>
    <w:rsid w:val="38B642D4"/>
    <w:rsid w:val="3B135A0E"/>
    <w:rsid w:val="3B6B584A"/>
    <w:rsid w:val="3B8F36BC"/>
    <w:rsid w:val="3BD641DA"/>
    <w:rsid w:val="3BE850ED"/>
    <w:rsid w:val="3BF53366"/>
    <w:rsid w:val="3C0812EB"/>
    <w:rsid w:val="3C74072E"/>
    <w:rsid w:val="3C85293C"/>
    <w:rsid w:val="3CD64F45"/>
    <w:rsid w:val="3D37175C"/>
    <w:rsid w:val="3E483C21"/>
    <w:rsid w:val="3E80785E"/>
    <w:rsid w:val="40582115"/>
    <w:rsid w:val="405C1C05"/>
    <w:rsid w:val="41635215"/>
    <w:rsid w:val="42CB4E20"/>
    <w:rsid w:val="42EE0B0F"/>
    <w:rsid w:val="42F97BDF"/>
    <w:rsid w:val="441B3B85"/>
    <w:rsid w:val="445B21D4"/>
    <w:rsid w:val="447515F6"/>
    <w:rsid w:val="44906321"/>
    <w:rsid w:val="44CB55AC"/>
    <w:rsid w:val="44F85C75"/>
    <w:rsid w:val="44FD328B"/>
    <w:rsid w:val="45034D45"/>
    <w:rsid w:val="45A71B75"/>
    <w:rsid w:val="46D544C0"/>
    <w:rsid w:val="47CD5197"/>
    <w:rsid w:val="47DE1152"/>
    <w:rsid w:val="47EF335F"/>
    <w:rsid w:val="47FAD138"/>
    <w:rsid w:val="484C6A03"/>
    <w:rsid w:val="491FF225"/>
    <w:rsid w:val="49923F39"/>
    <w:rsid w:val="49A5461D"/>
    <w:rsid w:val="49B20AE8"/>
    <w:rsid w:val="4ABF0D5E"/>
    <w:rsid w:val="4BD72A88"/>
    <w:rsid w:val="4BFB6776"/>
    <w:rsid w:val="4C231829"/>
    <w:rsid w:val="4C567886"/>
    <w:rsid w:val="4C9E7102"/>
    <w:rsid w:val="4D4C4DB0"/>
    <w:rsid w:val="4D5F4AE3"/>
    <w:rsid w:val="4D844549"/>
    <w:rsid w:val="4DED0341"/>
    <w:rsid w:val="4DFA2A5E"/>
    <w:rsid w:val="4EE23D8D"/>
    <w:rsid w:val="4F692941"/>
    <w:rsid w:val="4F6B3C13"/>
    <w:rsid w:val="4FEB4D54"/>
    <w:rsid w:val="4FF8AE78"/>
    <w:rsid w:val="4FFD214C"/>
    <w:rsid w:val="50281B04"/>
    <w:rsid w:val="505C7A00"/>
    <w:rsid w:val="51143E36"/>
    <w:rsid w:val="517B3EB5"/>
    <w:rsid w:val="539D6365"/>
    <w:rsid w:val="53BC2C8F"/>
    <w:rsid w:val="53D53D51"/>
    <w:rsid w:val="542E3461"/>
    <w:rsid w:val="54BA4CF5"/>
    <w:rsid w:val="54EB1352"/>
    <w:rsid w:val="54F77CF7"/>
    <w:rsid w:val="558570B1"/>
    <w:rsid w:val="55AF2380"/>
    <w:rsid w:val="55DD0C9B"/>
    <w:rsid w:val="566840B1"/>
    <w:rsid w:val="56FA587C"/>
    <w:rsid w:val="570F757A"/>
    <w:rsid w:val="5777D4F5"/>
    <w:rsid w:val="57AA2DFF"/>
    <w:rsid w:val="5806097D"/>
    <w:rsid w:val="588B0E82"/>
    <w:rsid w:val="58C86EE1"/>
    <w:rsid w:val="58E3481A"/>
    <w:rsid w:val="59213594"/>
    <w:rsid w:val="59DD8326"/>
    <w:rsid w:val="5AD3266C"/>
    <w:rsid w:val="5B0E18F6"/>
    <w:rsid w:val="5BCC5A39"/>
    <w:rsid w:val="5C317F92"/>
    <w:rsid w:val="5C7D6D34"/>
    <w:rsid w:val="5DEF592A"/>
    <w:rsid w:val="5E021BE6"/>
    <w:rsid w:val="5E8A398A"/>
    <w:rsid w:val="5E9F5964"/>
    <w:rsid w:val="5EA7453C"/>
    <w:rsid w:val="5EE412EC"/>
    <w:rsid w:val="5F5F6BC4"/>
    <w:rsid w:val="5FC6BB1E"/>
    <w:rsid w:val="5FF720F1"/>
    <w:rsid w:val="60483AFC"/>
    <w:rsid w:val="608A5EC3"/>
    <w:rsid w:val="60E76E71"/>
    <w:rsid w:val="60EB4BB4"/>
    <w:rsid w:val="620C3034"/>
    <w:rsid w:val="621974FF"/>
    <w:rsid w:val="62DD052C"/>
    <w:rsid w:val="6384309D"/>
    <w:rsid w:val="63DA2CBD"/>
    <w:rsid w:val="63E1229E"/>
    <w:rsid w:val="64607667"/>
    <w:rsid w:val="64E4343A"/>
    <w:rsid w:val="6522491C"/>
    <w:rsid w:val="65674A25"/>
    <w:rsid w:val="65E676F8"/>
    <w:rsid w:val="67002A3B"/>
    <w:rsid w:val="67370352"/>
    <w:rsid w:val="67584625"/>
    <w:rsid w:val="677A27ED"/>
    <w:rsid w:val="679C030A"/>
    <w:rsid w:val="67FF5C0B"/>
    <w:rsid w:val="69124CA8"/>
    <w:rsid w:val="69132EFA"/>
    <w:rsid w:val="69A578CA"/>
    <w:rsid w:val="69E228CC"/>
    <w:rsid w:val="6A2922A9"/>
    <w:rsid w:val="6A4610AD"/>
    <w:rsid w:val="6AFB3C45"/>
    <w:rsid w:val="6B9B0F84"/>
    <w:rsid w:val="6BFE8AFA"/>
    <w:rsid w:val="6CF070AE"/>
    <w:rsid w:val="6D5835D1"/>
    <w:rsid w:val="6D921C73"/>
    <w:rsid w:val="6E274D51"/>
    <w:rsid w:val="6E4E44F3"/>
    <w:rsid w:val="6E84401A"/>
    <w:rsid w:val="6ED36C87"/>
    <w:rsid w:val="6EE80984"/>
    <w:rsid w:val="6EFC0924"/>
    <w:rsid w:val="6FB74722"/>
    <w:rsid w:val="6FEF8B7E"/>
    <w:rsid w:val="701F03D6"/>
    <w:rsid w:val="708B5A6B"/>
    <w:rsid w:val="708E10B8"/>
    <w:rsid w:val="70F73F60"/>
    <w:rsid w:val="713734FD"/>
    <w:rsid w:val="71A6591B"/>
    <w:rsid w:val="72334652"/>
    <w:rsid w:val="729329B5"/>
    <w:rsid w:val="737D59BA"/>
    <w:rsid w:val="74AC5FB0"/>
    <w:rsid w:val="74F6547D"/>
    <w:rsid w:val="750C6A4F"/>
    <w:rsid w:val="7590142E"/>
    <w:rsid w:val="75B50E95"/>
    <w:rsid w:val="76B92C06"/>
    <w:rsid w:val="76DB8BDB"/>
    <w:rsid w:val="773504DF"/>
    <w:rsid w:val="774B7D02"/>
    <w:rsid w:val="77B92EBE"/>
    <w:rsid w:val="77C37683"/>
    <w:rsid w:val="77DA2E34"/>
    <w:rsid w:val="78174088"/>
    <w:rsid w:val="78485FF0"/>
    <w:rsid w:val="78502E96"/>
    <w:rsid w:val="789B6A68"/>
    <w:rsid w:val="792B5C57"/>
    <w:rsid w:val="79FF515B"/>
    <w:rsid w:val="7A0128FA"/>
    <w:rsid w:val="7A081EDB"/>
    <w:rsid w:val="7A462A03"/>
    <w:rsid w:val="7B29035B"/>
    <w:rsid w:val="7B486307"/>
    <w:rsid w:val="7BA6724C"/>
    <w:rsid w:val="7BDF9990"/>
    <w:rsid w:val="7BFDDC13"/>
    <w:rsid w:val="7BFE3C05"/>
    <w:rsid w:val="7C8F243F"/>
    <w:rsid w:val="7CF130FA"/>
    <w:rsid w:val="7D197F5B"/>
    <w:rsid w:val="7DA57A41"/>
    <w:rsid w:val="7DB13CF9"/>
    <w:rsid w:val="7DBB7264"/>
    <w:rsid w:val="7DBD0149"/>
    <w:rsid w:val="7DDA593C"/>
    <w:rsid w:val="7E893FC6"/>
    <w:rsid w:val="7E9E1962"/>
    <w:rsid w:val="7E9F11B4"/>
    <w:rsid w:val="7EC14D4E"/>
    <w:rsid w:val="7EDC2690"/>
    <w:rsid w:val="7F2D5F40"/>
    <w:rsid w:val="7F37EC1E"/>
    <w:rsid w:val="7F4488DC"/>
    <w:rsid w:val="7F71407E"/>
    <w:rsid w:val="7F7DCD9D"/>
    <w:rsid w:val="7F970A6F"/>
    <w:rsid w:val="7F9B8C09"/>
    <w:rsid w:val="7FC1FFF3"/>
    <w:rsid w:val="7FC69637"/>
    <w:rsid w:val="7FDF8620"/>
    <w:rsid w:val="7FFB242F"/>
    <w:rsid w:val="7FFDB408"/>
    <w:rsid w:val="7FFE4EEB"/>
    <w:rsid w:val="951F9D4F"/>
    <w:rsid w:val="95FB2B98"/>
    <w:rsid w:val="9A639BC2"/>
    <w:rsid w:val="9FF7D786"/>
    <w:rsid w:val="ABBFB23D"/>
    <w:rsid w:val="BFCB7926"/>
    <w:rsid w:val="C3B4DA5A"/>
    <w:rsid w:val="CBFF70E0"/>
    <w:rsid w:val="CEFF8F54"/>
    <w:rsid w:val="CFF50B82"/>
    <w:rsid w:val="CFFFAD89"/>
    <w:rsid w:val="D3DF9311"/>
    <w:rsid w:val="DC66636F"/>
    <w:rsid w:val="DFFE359E"/>
    <w:rsid w:val="DFFE4FFD"/>
    <w:rsid w:val="EEABED75"/>
    <w:rsid w:val="EFFF8AC6"/>
    <w:rsid w:val="F56FDF51"/>
    <w:rsid w:val="F6B69F17"/>
    <w:rsid w:val="F6FE647F"/>
    <w:rsid w:val="F6FF700B"/>
    <w:rsid w:val="F77F1D61"/>
    <w:rsid w:val="F7AB297A"/>
    <w:rsid w:val="F7FED3A9"/>
    <w:rsid w:val="F8C9DB26"/>
    <w:rsid w:val="F97E8EAE"/>
    <w:rsid w:val="FAEF5298"/>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7980</Words>
  <Characters>10418</Characters>
  <Lines>63</Lines>
  <Paragraphs>18</Paragraphs>
  <TotalTime>0</TotalTime>
  <ScaleCrop>false</ScaleCrop>
  <LinksUpToDate>false</LinksUpToDate>
  <CharactersWithSpaces>11308</CharactersWithSpaces>
  <Application>WPS Office_11.1.0.11664_F1E327BC-269C-435d-A152-05C5408002CA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2020-07-09T02:32:00Z</dcterms:created>
  <dc:creator>李航 null</dc:creator>
  <cp:lastModifiedBy>fl</cp:lastModifiedBy>
  <cp:lastPrinted>2024-08-09T10:20:00Z</cp:lastPrinted>
  <dcterms:modified xsi:type="dcterms:W3CDTF">2024-09-24T17:32:10Z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2052-11.1.0.11664</vt:lpwstr>
  </property>
  <property fmtid="{D5CDD505-2E9C-101B-9397-08002B2CF9AE}" pid="3" name="ICV">
    <vt:lpwstr>98E7B3D634204736B9304ACC75564D48_12</vt:lpwstr>
  </property>
</Properties>
</file>