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94BCC0">
      <w:pPr>
        <w:pStyle w:val="11"/>
        <w:jc w:val="center"/>
        <w:rPr>
          <w:sz w:val="56"/>
          <w:szCs w:val="56"/>
          <w:highlight w:val="none"/>
        </w:rPr>
      </w:pPr>
    </w:p>
    <w:p w14:paraId="62ED5840">
      <w:pPr>
        <w:pStyle w:val="11"/>
        <w:jc w:val="center"/>
        <w:rPr>
          <w:sz w:val="56"/>
          <w:szCs w:val="56"/>
          <w:highlight w:val="none"/>
        </w:rPr>
      </w:pPr>
    </w:p>
    <w:p w14:paraId="7572F4D2">
      <w:pPr>
        <w:pStyle w:val="11"/>
        <w:jc w:val="center"/>
        <w:rPr>
          <w:sz w:val="84"/>
          <w:szCs w:val="84"/>
          <w:highlight w:val="none"/>
        </w:rPr>
      </w:pPr>
    </w:p>
    <w:p w14:paraId="24BA6EBA">
      <w:pPr>
        <w:pStyle w:val="11"/>
        <w:jc w:val="center"/>
        <w:rPr>
          <w:sz w:val="84"/>
          <w:szCs w:val="84"/>
          <w:highlight w:val="none"/>
        </w:rPr>
      </w:pPr>
    </w:p>
    <w:p w14:paraId="3F8D4C82">
      <w:pPr>
        <w:pStyle w:val="11"/>
        <w:jc w:val="center"/>
        <w:rPr>
          <w:rFonts w:hint="eastAsia" w:ascii="方正小标宋_GBK" w:hAnsi="方正小标宋_GBK" w:eastAsia="方正小标宋_GBK" w:cs="方正小标宋_GBK"/>
          <w:sz w:val="84"/>
          <w:szCs w:val="84"/>
          <w:highlight w:val="none"/>
        </w:rPr>
      </w:pPr>
      <w:r>
        <w:rPr>
          <w:rFonts w:hint="eastAsia" w:ascii="方正小标宋_GBK" w:hAnsi="方正小标宋_GBK" w:eastAsia="方正小标宋_GBK" w:cs="方正小标宋_GBK"/>
          <w:sz w:val="84"/>
          <w:szCs w:val="84"/>
          <w:highlight w:val="none"/>
        </w:rPr>
        <w:t>202</w:t>
      </w:r>
      <w:r>
        <w:rPr>
          <w:rFonts w:hint="eastAsia" w:ascii="方正小标宋_GBK" w:hAnsi="方正小标宋_GBK" w:eastAsia="方正小标宋_GBK" w:cs="方正小标宋_GBK"/>
          <w:sz w:val="84"/>
          <w:szCs w:val="84"/>
          <w:highlight w:val="none"/>
          <w:lang w:val="en-US" w:eastAsia="zh-CN"/>
        </w:rPr>
        <w:t>2</w:t>
      </w:r>
      <w:r>
        <w:rPr>
          <w:rFonts w:hint="eastAsia" w:ascii="方正小标宋_GBK" w:hAnsi="方正小标宋_GBK" w:eastAsia="方正小标宋_GBK" w:cs="方正小标宋_GBK"/>
          <w:sz w:val="84"/>
          <w:szCs w:val="84"/>
          <w:highlight w:val="none"/>
        </w:rPr>
        <w:t>年度</w:t>
      </w:r>
    </w:p>
    <w:p w14:paraId="447B23C6">
      <w:pPr>
        <w:pStyle w:val="11"/>
        <w:jc w:val="center"/>
        <w:rPr>
          <w:rFonts w:hint="eastAsia" w:ascii="方正小标宋_GBK" w:hAnsi="方正小标宋_GBK" w:eastAsia="方正小标宋_GBK" w:cs="方正小标宋_GBK"/>
          <w:sz w:val="84"/>
          <w:szCs w:val="84"/>
          <w:highlight w:val="none"/>
        </w:rPr>
      </w:pPr>
      <w:r>
        <w:rPr>
          <w:rFonts w:hint="eastAsia" w:ascii="方正小标宋_GBK" w:hAnsi="方正小标宋_GBK" w:eastAsia="方正小标宋_GBK" w:cs="方正小标宋_GBK"/>
          <w:sz w:val="84"/>
          <w:szCs w:val="84"/>
          <w:highlight w:val="none"/>
        </w:rPr>
        <w:t>中国共产主义青年团</w:t>
      </w:r>
    </w:p>
    <w:p w14:paraId="6895B1B9">
      <w:pPr>
        <w:pStyle w:val="11"/>
        <w:jc w:val="center"/>
        <w:rPr>
          <w:rFonts w:hint="eastAsia" w:ascii="方正小标宋_GBK" w:hAnsi="方正小标宋_GBK" w:eastAsia="方正小标宋_GBK" w:cs="方正小标宋_GBK"/>
          <w:sz w:val="84"/>
          <w:szCs w:val="84"/>
          <w:highlight w:val="none"/>
        </w:rPr>
      </w:pPr>
      <w:r>
        <w:rPr>
          <w:rFonts w:hint="eastAsia" w:ascii="方正小标宋_GBK" w:hAnsi="方正小标宋_GBK" w:eastAsia="方正小标宋_GBK" w:cs="方正小标宋_GBK"/>
          <w:sz w:val="84"/>
          <w:szCs w:val="84"/>
          <w:highlight w:val="none"/>
        </w:rPr>
        <w:t>怀化市委员会部门决算</w:t>
      </w:r>
    </w:p>
    <w:p w14:paraId="117596E4">
      <w:pPr>
        <w:pStyle w:val="11"/>
        <w:jc w:val="center"/>
        <w:rPr>
          <w:rFonts w:hint="eastAsia" w:ascii="方正小标宋_GBK" w:hAnsi="方正小标宋_GBK" w:eastAsia="方正小标宋_GBK" w:cs="方正小标宋_GBK"/>
          <w:sz w:val="56"/>
          <w:szCs w:val="56"/>
          <w:highlight w:val="none"/>
        </w:rPr>
      </w:pPr>
    </w:p>
    <w:p w14:paraId="6E1999E6">
      <w:pPr>
        <w:pStyle w:val="11"/>
        <w:jc w:val="center"/>
        <w:rPr>
          <w:sz w:val="56"/>
          <w:szCs w:val="56"/>
          <w:highlight w:val="none"/>
        </w:rPr>
      </w:pPr>
    </w:p>
    <w:p w14:paraId="17F99D83">
      <w:pPr>
        <w:pStyle w:val="11"/>
        <w:jc w:val="center"/>
        <w:rPr>
          <w:sz w:val="56"/>
          <w:szCs w:val="56"/>
          <w:highlight w:val="none"/>
        </w:rPr>
      </w:pPr>
    </w:p>
    <w:p w14:paraId="062150B6">
      <w:pPr>
        <w:pStyle w:val="11"/>
        <w:jc w:val="center"/>
        <w:rPr>
          <w:sz w:val="56"/>
          <w:szCs w:val="56"/>
          <w:highlight w:val="none"/>
        </w:rPr>
      </w:pPr>
    </w:p>
    <w:p w14:paraId="24B2EE67">
      <w:pPr>
        <w:pStyle w:val="11"/>
        <w:jc w:val="center"/>
        <w:rPr>
          <w:sz w:val="32"/>
          <w:szCs w:val="32"/>
          <w:highlight w:val="none"/>
        </w:rPr>
      </w:pPr>
    </w:p>
    <w:p w14:paraId="50337364">
      <w:pPr>
        <w:pStyle w:val="11"/>
        <w:jc w:val="center"/>
        <w:rPr>
          <w:sz w:val="32"/>
          <w:szCs w:val="32"/>
          <w:highlight w:val="none"/>
        </w:rPr>
      </w:pPr>
    </w:p>
    <w:p w14:paraId="42C23424">
      <w:pPr>
        <w:pStyle w:val="11"/>
        <w:jc w:val="center"/>
        <w:rPr>
          <w:sz w:val="32"/>
          <w:szCs w:val="32"/>
          <w:highlight w:val="none"/>
        </w:rPr>
      </w:pPr>
    </w:p>
    <w:p w14:paraId="45BD9A98">
      <w:pPr>
        <w:pStyle w:val="11"/>
        <w:spacing w:line="500" w:lineRule="exact"/>
        <w:jc w:val="both"/>
        <w:rPr>
          <w:b/>
          <w:sz w:val="36"/>
          <w:szCs w:val="28"/>
          <w:highlight w:val="none"/>
        </w:rPr>
      </w:pPr>
    </w:p>
    <w:p w14:paraId="140244B6">
      <w:pPr>
        <w:pStyle w:val="11"/>
        <w:spacing w:line="500" w:lineRule="exact"/>
        <w:jc w:val="center"/>
        <w:rPr>
          <w:b/>
          <w:sz w:val="36"/>
          <w:szCs w:val="28"/>
          <w:highlight w:val="none"/>
        </w:rPr>
      </w:pPr>
      <w:r>
        <w:rPr>
          <w:rFonts w:hint="eastAsia"/>
          <w:b/>
          <w:sz w:val="36"/>
          <w:szCs w:val="28"/>
          <w:highlight w:val="none"/>
        </w:rPr>
        <w:t>目</w:t>
      </w:r>
      <w:r>
        <w:rPr>
          <w:rFonts w:hint="eastAsia"/>
          <w:b/>
          <w:sz w:val="36"/>
          <w:szCs w:val="28"/>
          <w:highlight w:val="none"/>
          <w:lang w:val="en-US" w:eastAsia="zh-CN"/>
        </w:rPr>
        <w:t xml:space="preserve"> </w:t>
      </w:r>
      <w:r>
        <w:rPr>
          <w:rFonts w:hint="eastAsia"/>
          <w:b/>
          <w:sz w:val="36"/>
          <w:szCs w:val="28"/>
          <w:highlight w:val="none"/>
        </w:rPr>
        <w:t>录</w:t>
      </w:r>
    </w:p>
    <w:p w14:paraId="44DF2056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70" w:lineRule="exact"/>
        <w:textAlignment w:val="auto"/>
        <w:rPr>
          <w:rFonts w:hint="eastAsia" w:ascii="黑体" w:hAnsi="黑体" w:eastAsia="黑体" w:cs="黑体"/>
          <w:b w:val="0"/>
          <w:bCs/>
          <w:sz w:val="28"/>
          <w:szCs w:val="28"/>
          <w:highlight w:val="none"/>
        </w:rPr>
      </w:pPr>
      <w:r>
        <w:rPr>
          <w:rFonts w:hint="eastAsia" w:ascii="黑体" w:hAnsi="黑体" w:eastAsia="黑体" w:cs="黑体"/>
          <w:b w:val="0"/>
          <w:bCs/>
          <w:sz w:val="28"/>
          <w:szCs w:val="28"/>
          <w:highlight w:val="none"/>
        </w:rPr>
        <w:t>第一部分</w:t>
      </w:r>
      <w:r>
        <w:rPr>
          <w:rFonts w:hint="eastAsia" w:ascii="黑体" w:hAnsi="黑体" w:eastAsia="黑体" w:cs="黑体"/>
          <w:b w:val="0"/>
          <w:bCs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黑体" w:hAnsi="黑体" w:eastAsia="黑体" w:cs="黑体"/>
          <w:b w:val="0"/>
          <w:bCs/>
          <w:sz w:val="28"/>
          <w:szCs w:val="28"/>
          <w:highlight w:val="none"/>
        </w:rPr>
        <w:t>中国共产主义青年团怀化市委员会单位概况</w:t>
      </w:r>
    </w:p>
    <w:p w14:paraId="4F35F4A0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70" w:lineRule="exact"/>
        <w:ind w:firstLine="700" w:firstLineChars="250"/>
        <w:textAlignment w:val="auto"/>
        <w:rPr>
          <w:rFonts w:hint="eastAsia" w:ascii="仿宋_GB2312" w:hAnsi="仿宋_GB2312" w:eastAsia="仿宋_GB2312" w:cs="仿宋_GB2312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一、部门职责</w:t>
      </w:r>
    </w:p>
    <w:p w14:paraId="3F8A1494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70" w:lineRule="exact"/>
        <w:ind w:firstLine="700" w:firstLineChars="250"/>
        <w:textAlignment w:val="auto"/>
        <w:rPr>
          <w:rFonts w:hint="eastAsia" w:ascii="仿宋_GB2312" w:hAnsi="仿宋_GB2312" w:eastAsia="仿宋_GB2312" w:cs="仿宋_GB2312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二、机构设置</w:t>
      </w:r>
    </w:p>
    <w:p w14:paraId="07E205BB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70" w:lineRule="exact"/>
        <w:textAlignment w:val="auto"/>
        <w:rPr>
          <w:rFonts w:hint="eastAsia" w:ascii="黑体" w:hAnsi="黑体" w:eastAsia="黑体" w:cs="黑体"/>
          <w:b w:val="0"/>
          <w:bCs/>
          <w:sz w:val="28"/>
          <w:szCs w:val="28"/>
          <w:highlight w:val="none"/>
        </w:rPr>
      </w:pPr>
      <w:r>
        <w:rPr>
          <w:rFonts w:hint="eastAsia" w:ascii="黑体" w:hAnsi="黑体" w:eastAsia="黑体" w:cs="黑体"/>
          <w:b w:val="0"/>
          <w:bCs/>
          <w:sz w:val="28"/>
          <w:szCs w:val="28"/>
          <w:highlight w:val="none"/>
        </w:rPr>
        <w:t>第二部分</w:t>
      </w:r>
      <w:r>
        <w:rPr>
          <w:rFonts w:hint="eastAsia" w:ascii="黑体" w:hAnsi="黑体" w:eastAsia="黑体" w:cs="黑体"/>
          <w:b w:val="0"/>
          <w:bCs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黑体" w:hAnsi="黑体" w:eastAsia="黑体" w:cs="黑体"/>
          <w:b w:val="0"/>
          <w:bCs/>
          <w:sz w:val="28"/>
          <w:szCs w:val="28"/>
          <w:highlight w:val="none"/>
        </w:rPr>
        <w:t>部门决算表</w:t>
      </w:r>
    </w:p>
    <w:p w14:paraId="4909799D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70" w:lineRule="exact"/>
        <w:ind w:firstLine="700" w:firstLineChars="250"/>
        <w:textAlignment w:val="auto"/>
        <w:rPr>
          <w:rFonts w:hint="eastAsia" w:ascii="仿宋_GB2312" w:hAnsi="仿宋_GB2312" w:eastAsia="仿宋_GB2312" w:cs="仿宋_GB2312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一、收入支出决算总表</w:t>
      </w:r>
    </w:p>
    <w:p w14:paraId="0EC9C719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70" w:lineRule="exact"/>
        <w:ind w:firstLine="700" w:firstLineChars="250"/>
        <w:textAlignment w:val="auto"/>
        <w:rPr>
          <w:rFonts w:hint="eastAsia" w:ascii="仿宋_GB2312" w:hAnsi="仿宋_GB2312" w:eastAsia="仿宋_GB2312" w:cs="仿宋_GB2312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二、收入决算表</w:t>
      </w:r>
    </w:p>
    <w:p w14:paraId="04DB7251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70" w:lineRule="exact"/>
        <w:ind w:firstLine="700" w:firstLineChars="250"/>
        <w:textAlignment w:val="auto"/>
        <w:rPr>
          <w:rFonts w:hint="eastAsia" w:ascii="仿宋_GB2312" w:hAnsi="仿宋_GB2312" w:eastAsia="仿宋_GB2312" w:cs="仿宋_GB2312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三、支出决算表</w:t>
      </w:r>
    </w:p>
    <w:p w14:paraId="258E6499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70" w:lineRule="exact"/>
        <w:ind w:firstLine="700" w:firstLineChars="250"/>
        <w:textAlignment w:val="auto"/>
        <w:rPr>
          <w:rFonts w:hint="eastAsia" w:ascii="仿宋_GB2312" w:hAnsi="仿宋_GB2312" w:eastAsia="仿宋_GB2312" w:cs="仿宋_GB2312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四、财政拨款收入支出决算总表</w:t>
      </w:r>
    </w:p>
    <w:p w14:paraId="31CC051B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70" w:lineRule="exact"/>
        <w:ind w:firstLine="700" w:firstLineChars="250"/>
        <w:textAlignment w:val="auto"/>
        <w:rPr>
          <w:rFonts w:hint="eastAsia" w:ascii="仿宋_GB2312" w:hAnsi="仿宋_GB2312" w:eastAsia="仿宋_GB2312" w:cs="仿宋_GB2312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五、一般公共预算财政拨款支出决算表</w:t>
      </w:r>
    </w:p>
    <w:p w14:paraId="5C962799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70" w:lineRule="exact"/>
        <w:ind w:firstLine="700" w:firstLineChars="250"/>
        <w:textAlignment w:val="auto"/>
        <w:rPr>
          <w:rFonts w:hint="eastAsia" w:ascii="仿宋_GB2312" w:hAnsi="仿宋_GB2312" w:eastAsia="仿宋_GB2312" w:cs="仿宋_GB2312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六、一般公共预算财政拨款基本支出决算明细表</w:t>
      </w:r>
    </w:p>
    <w:p w14:paraId="34556039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70" w:lineRule="exact"/>
        <w:ind w:firstLine="700" w:firstLineChars="250"/>
        <w:textAlignment w:val="auto"/>
        <w:rPr>
          <w:rFonts w:hint="eastAsia" w:ascii="仿宋_GB2312" w:hAnsi="仿宋_GB2312" w:eastAsia="仿宋_GB2312" w:cs="仿宋_GB2312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七、政府性基金预算财政拨款收入支出决算表</w:t>
      </w:r>
    </w:p>
    <w:p w14:paraId="3C653A71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70" w:lineRule="exact"/>
        <w:ind w:firstLine="700" w:firstLineChars="250"/>
        <w:textAlignment w:val="auto"/>
        <w:rPr>
          <w:rFonts w:hint="eastAsia" w:ascii="仿宋_GB2312" w:hAnsi="仿宋_GB2312" w:eastAsia="仿宋_GB2312" w:cs="仿宋_GB2312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八、国有资本经营预算财政拨款支出决算表</w:t>
      </w:r>
    </w:p>
    <w:p w14:paraId="7C8E4C29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70" w:lineRule="exact"/>
        <w:ind w:firstLine="700" w:firstLineChars="250"/>
        <w:textAlignment w:val="auto"/>
        <w:rPr>
          <w:rFonts w:hint="eastAsia" w:ascii="仿宋_GB2312" w:hAnsi="仿宋_GB2312" w:eastAsia="仿宋_GB2312" w:cs="仿宋_GB2312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九、财政拨款“三公”经费支出决算表</w:t>
      </w:r>
    </w:p>
    <w:p w14:paraId="6F43E8C4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70" w:lineRule="exact"/>
        <w:textAlignment w:val="auto"/>
        <w:rPr>
          <w:rFonts w:hint="eastAsia" w:ascii="黑体" w:hAnsi="黑体" w:eastAsia="黑体" w:cs="黑体"/>
          <w:b w:val="0"/>
          <w:bCs/>
          <w:sz w:val="28"/>
          <w:szCs w:val="28"/>
          <w:highlight w:val="none"/>
        </w:rPr>
      </w:pPr>
      <w:r>
        <w:rPr>
          <w:rFonts w:hint="eastAsia" w:ascii="黑体" w:hAnsi="黑体" w:eastAsia="黑体" w:cs="黑体"/>
          <w:b w:val="0"/>
          <w:bCs/>
          <w:sz w:val="28"/>
          <w:szCs w:val="28"/>
          <w:highlight w:val="none"/>
        </w:rPr>
        <w:t>第三部分</w:t>
      </w:r>
      <w:r>
        <w:rPr>
          <w:rFonts w:hint="eastAsia" w:ascii="黑体" w:hAnsi="黑体" w:eastAsia="黑体" w:cs="黑体"/>
          <w:b w:val="0"/>
          <w:bCs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黑体" w:hAnsi="黑体" w:eastAsia="黑体" w:cs="黑体"/>
          <w:b w:val="0"/>
          <w:bCs/>
          <w:sz w:val="28"/>
          <w:szCs w:val="28"/>
          <w:highlight w:val="none"/>
        </w:rPr>
        <w:t>部门决算情况说明</w:t>
      </w:r>
    </w:p>
    <w:p w14:paraId="692F7CD8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70" w:lineRule="exact"/>
        <w:ind w:firstLine="700" w:firstLineChars="250"/>
        <w:textAlignment w:val="auto"/>
        <w:rPr>
          <w:rFonts w:hint="eastAsia" w:ascii="仿宋_GB2312" w:hAnsi="仿宋_GB2312" w:eastAsia="仿宋_GB2312" w:cs="仿宋_GB2312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一、收入支出决算总体情况说明</w:t>
      </w:r>
    </w:p>
    <w:p w14:paraId="53611482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70" w:lineRule="exact"/>
        <w:ind w:firstLine="700" w:firstLineChars="25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二、收入决算情况说明</w:t>
      </w:r>
    </w:p>
    <w:p w14:paraId="622F1F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70" w:lineRule="exact"/>
        <w:ind w:firstLine="700" w:firstLineChars="25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三、支出决算情况说明</w:t>
      </w:r>
    </w:p>
    <w:p w14:paraId="2B3862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70" w:lineRule="exact"/>
        <w:ind w:firstLine="700" w:firstLineChars="25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四、财政拨款收入支出决算总体情况说明</w:t>
      </w:r>
    </w:p>
    <w:p w14:paraId="6F4BDF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70" w:lineRule="exact"/>
        <w:ind w:firstLine="700" w:firstLineChars="25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五、一般公共预算财政拨款支出决算情况说明</w:t>
      </w:r>
    </w:p>
    <w:p w14:paraId="78E0A7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70" w:lineRule="exact"/>
        <w:ind w:firstLine="700" w:firstLineChars="25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六、一般公共预算财政拨款基本支出决算情况说明</w:t>
      </w:r>
    </w:p>
    <w:p w14:paraId="636542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70" w:lineRule="exact"/>
        <w:ind w:firstLine="700" w:firstLineChars="25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七、一般公共预算财政拨款三公经费支出决算情况说明</w:t>
      </w:r>
    </w:p>
    <w:p w14:paraId="2AAD7D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70" w:lineRule="exact"/>
        <w:ind w:firstLine="700" w:firstLineChars="25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八、政府性基金预算收入支出决算情况说明</w:t>
      </w:r>
    </w:p>
    <w:p w14:paraId="3B7679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70" w:lineRule="exact"/>
        <w:ind w:firstLine="700" w:firstLineChars="25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_GB2312"/>
          <w:color w:val="000000"/>
          <w:kern w:val="0"/>
          <w:sz w:val="28"/>
          <w:szCs w:val="28"/>
          <w:highlight w:val="none"/>
        </w:rPr>
        <w:t>九、国有资本经营预算</w:t>
      </w:r>
      <w:r>
        <w:rPr>
          <w:rFonts w:hint="eastAsia" w:ascii="仿宋" w:hAnsi="仿宋" w:eastAsia="仿宋" w:cs="仿宋_GB2312"/>
          <w:sz w:val="28"/>
          <w:szCs w:val="28"/>
          <w:highlight w:val="none"/>
        </w:rPr>
        <w:t>财政拨款支出</w:t>
      </w:r>
      <w:r>
        <w:rPr>
          <w:rFonts w:hint="eastAsia" w:ascii="仿宋" w:hAnsi="仿宋" w:eastAsia="仿宋" w:cs="仿宋_GB2312"/>
          <w:color w:val="000000"/>
          <w:kern w:val="0"/>
          <w:sz w:val="28"/>
          <w:szCs w:val="28"/>
          <w:highlight w:val="none"/>
        </w:rPr>
        <w:t>决算情况</w:t>
      </w:r>
    </w:p>
    <w:p w14:paraId="570F23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70" w:lineRule="exact"/>
        <w:ind w:firstLine="700" w:firstLineChars="25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十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、关于机关运行经费支出说明</w:t>
      </w:r>
    </w:p>
    <w:p w14:paraId="1644CA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70" w:lineRule="exact"/>
        <w:ind w:firstLine="700" w:firstLineChars="25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十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一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、一般性支出情况说明</w:t>
      </w:r>
    </w:p>
    <w:p w14:paraId="74DAA3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70" w:lineRule="exact"/>
        <w:ind w:firstLine="700" w:firstLineChars="25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十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二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、关于政府采购支出说明</w:t>
      </w:r>
    </w:p>
    <w:p w14:paraId="1C01BCE0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70" w:lineRule="exact"/>
        <w:ind w:firstLine="700" w:firstLineChars="250"/>
        <w:textAlignment w:val="auto"/>
        <w:rPr>
          <w:rFonts w:hint="eastAsia" w:ascii="仿宋_GB2312" w:hAnsi="仿宋_GB2312" w:eastAsia="仿宋_GB2312" w:cs="仿宋_GB2312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十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三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、关于国有资产占用情况说明</w:t>
      </w:r>
    </w:p>
    <w:p w14:paraId="0057EE33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70" w:lineRule="exact"/>
        <w:ind w:firstLine="700" w:firstLineChars="250"/>
        <w:textAlignment w:val="auto"/>
        <w:rPr>
          <w:rFonts w:hint="eastAsia" w:ascii="仿宋_GB2312" w:hAnsi="仿宋_GB2312" w:eastAsia="仿宋_GB2312" w:cs="仿宋_GB2312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十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四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、关于预算绩效情况的说明</w:t>
      </w:r>
    </w:p>
    <w:p w14:paraId="2CAEB458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70" w:lineRule="exact"/>
        <w:textAlignment w:val="auto"/>
        <w:rPr>
          <w:rFonts w:hint="eastAsia" w:ascii="黑体" w:hAnsi="黑体" w:eastAsia="黑体" w:cs="黑体"/>
          <w:b w:val="0"/>
          <w:bCs/>
          <w:sz w:val="28"/>
          <w:szCs w:val="28"/>
          <w:highlight w:val="none"/>
        </w:rPr>
      </w:pPr>
      <w:r>
        <w:rPr>
          <w:rFonts w:hint="eastAsia" w:ascii="黑体" w:hAnsi="黑体" w:eastAsia="黑体" w:cs="黑体"/>
          <w:b w:val="0"/>
          <w:bCs/>
          <w:sz w:val="28"/>
          <w:szCs w:val="28"/>
          <w:highlight w:val="none"/>
        </w:rPr>
        <w:t>第四部分</w:t>
      </w:r>
      <w:r>
        <w:rPr>
          <w:rFonts w:hint="eastAsia" w:ascii="黑体" w:hAnsi="黑体" w:eastAsia="黑体" w:cs="黑体"/>
          <w:b w:val="0"/>
          <w:bCs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黑体" w:hAnsi="黑体" w:eastAsia="黑体" w:cs="黑体"/>
          <w:b w:val="0"/>
          <w:bCs/>
          <w:sz w:val="28"/>
          <w:szCs w:val="28"/>
          <w:highlight w:val="none"/>
        </w:rPr>
        <w:t>名词解释</w:t>
      </w:r>
    </w:p>
    <w:p w14:paraId="71526D5A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70" w:lineRule="exact"/>
        <w:textAlignment w:val="auto"/>
        <w:rPr>
          <w:rFonts w:hint="default" w:ascii="黑体" w:hAnsi="黑体" w:eastAsia="黑体" w:cs="黑体"/>
          <w:b w:val="0"/>
          <w:bCs/>
          <w:sz w:val="28"/>
          <w:szCs w:val="28"/>
          <w:highlight w:val="none"/>
          <w:lang w:val="en-US" w:eastAsia="zh-CN"/>
        </w:rPr>
      </w:pPr>
      <w:r>
        <w:rPr>
          <w:rFonts w:hint="eastAsia" w:hAnsi="黑体" w:cs="黑体"/>
          <w:b w:val="0"/>
          <w:bCs/>
          <w:sz w:val="28"/>
          <w:szCs w:val="28"/>
          <w:highlight w:val="none"/>
          <w:lang w:val="en-US" w:eastAsia="zh-CN"/>
        </w:rPr>
        <w:t>第五部分 附件</w:t>
      </w:r>
    </w:p>
    <w:p w14:paraId="4BE1FB41">
      <w:pPr>
        <w:pStyle w:val="11"/>
        <w:spacing w:line="500" w:lineRule="exact"/>
        <w:rPr>
          <w:rFonts w:hint="eastAsia" w:ascii="黑体" w:hAnsi="黑体" w:eastAsia="黑体" w:cs="黑体"/>
          <w:b w:val="0"/>
          <w:bCs/>
          <w:sz w:val="28"/>
          <w:szCs w:val="28"/>
          <w:highlight w:val="none"/>
        </w:rPr>
      </w:pPr>
    </w:p>
    <w:p w14:paraId="6CC9976A">
      <w:pPr>
        <w:rPr>
          <w:rFonts w:hint="eastAsia" w:ascii="方正小标宋_GBK" w:hAnsi="方正小标宋_GBK" w:eastAsia="方正小标宋_GBK" w:cs="方正小标宋_GBK"/>
          <w:sz w:val="72"/>
          <w:szCs w:val="72"/>
          <w:highlight w:val="none"/>
        </w:rPr>
      </w:pPr>
    </w:p>
    <w:p w14:paraId="4B98DFF9">
      <w:pPr>
        <w:pStyle w:val="2"/>
        <w:rPr>
          <w:rFonts w:hint="eastAsia" w:ascii="方正小标宋_GBK" w:hAnsi="方正小标宋_GBK" w:eastAsia="方正小标宋_GBK" w:cs="方正小标宋_GBK"/>
          <w:sz w:val="72"/>
          <w:szCs w:val="72"/>
          <w:highlight w:val="none"/>
        </w:rPr>
      </w:pPr>
    </w:p>
    <w:p w14:paraId="1AFF7451">
      <w:pPr>
        <w:pStyle w:val="2"/>
        <w:rPr>
          <w:rFonts w:hint="eastAsia" w:ascii="方正小标宋_GBK" w:hAnsi="方正小标宋_GBK" w:eastAsia="方正小标宋_GBK" w:cs="方正小标宋_GBK"/>
          <w:sz w:val="72"/>
          <w:szCs w:val="72"/>
          <w:highlight w:val="none"/>
        </w:rPr>
      </w:pPr>
    </w:p>
    <w:p w14:paraId="75ECBF67">
      <w:pPr>
        <w:pStyle w:val="11"/>
        <w:jc w:val="center"/>
        <w:rPr>
          <w:rFonts w:hint="eastAsia" w:ascii="方正小标宋_GBK" w:hAnsi="方正小标宋_GBK" w:eastAsia="方正小标宋_GBK" w:cs="方正小标宋_GBK"/>
          <w:sz w:val="84"/>
          <w:szCs w:val="84"/>
          <w:highlight w:val="none"/>
        </w:rPr>
      </w:pPr>
      <w:r>
        <w:rPr>
          <w:rFonts w:hint="eastAsia" w:ascii="方正小标宋_GBK" w:hAnsi="方正小标宋_GBK" w:eastAsia="方正小标宋_GBK" w:cs="方正小标宋_GBK"/>
          <w:sz w:val="84"/>
          <w:szCs w:val="84"/>
          <w:highlight w:val="none"/>
        </w:rPr>
        <w:t xml:space="preserve">第一部分 </w:t>
      </w:r>
    </w:p>
    <w:p w14:paraId="237670A9">
      <w:pPr>
        <w:pStyle w:val="11"/>
        <w:jc w:val="center"/>
        <w:rPr>
          <w:rFonts w:hint="eastAsia" w:ascii="方正小标宋_GBK" w:hAnsi="方正小标宋_GBK" w:eastAsia="方正小标宋_GBK" w:cs="方正小标宋_GBK"/>
          <w:sz w:val="84"/>
          <w:szCs w:val="84"/>
          <w:highlight w:val="none"/>
        </w:rPr>
      </w:pPr>
      <w:r>
        <w:rPr>
          <w:rFonts w:hint="eastAsia" w:ascii="方正小标宋_GBK" w:hAnsi="方正小标宋_GBK" w:eastAsia="方正小标宋_GBK" w:cs="方正小标宋_GBK"/>
          <w:sz w:val="84"/>
          <w:szCs w:val="84"/>
          <w:highlight w:val="none"/>
        </w:rPr>
        <w:t>中国共产主义青年团怀化市委员会单位概况</w:t>
      </w:r>
    </w:p>
    <w:p w14:paraId="5792D71B">
      <w:pPr>
        <w:jc w:val="center"/>
        <w:rPr>
          <w:rFonts w:hint="eastAsia" w:ascii="方正小标宋_GBK" w:hAnsi="方正小标宋_GBK" w:eastAsia="方正小标宋_GBK" w:cs="方正小标宋_GBK"/>
          <w:sz w:val="72"/>
          <w:szCs w:val="72"/>
          <w:highlight w:val="none"/>
        </w:rPr>
      </w:pPr>
    </w:p>
    <w:p w14:paraId="4506FCFE">
      <w:pPr>
        <w:jc w:val="center"/>
        <w:rPr>
          <w:rFonts w:hint="eastAsia" w:ascii="方正小标宋_GBK" w:hAnsi="方正小标宋_GBK" w:eastAsia="方正小标宋_GBK" w:cs="方正小标宋_GBK"/>
          <w:sz w:val="72"/>
          <w:szCs w:val="72"/>
          <w:highlight w:val="none"/>
        </w:rPr>
      </w:pPr>
    </w:p>
    <w:p w14:paraId="17A95C34">
      <w:pPr>
        <w:jc w:val="center"/>
        <w:rPr>
          <w:sz w:val="72"/>
          <w:szCs w:val="72"/>
          <w:highlight w:val="none"/>
        </w:rPr>
      </w:pPr>
    </w:p>
    <w:p w14:paraId="4580E00D">
      <w:pPr>
        <w:jc w:val="center"/>
        <w:rPr>
          <w:sz w:val="72"/>
          <w:szCs w:val="72"/>
          <w:highlight w:val="none"/>
        </w:rPr>
      </w:pPr>
    </w:p>
    <w:p w14:paraId="6DE6ED71">
      <w:pPr>
        <w:jc w:val="center"/>
        <w:rPr>
          <w:sz w:val="72"/>
          <w:szCs w:val="72"/>
          <w:highlight w:val="none"/>
        </w:rPr>
      </w:pPr>
    </w:p>
    <w:p w14:paraId="70C5C07C">
      <w:pPr>
        <w:jc w:val="center"/>
        <w:rPr>
          <w:sz w:val="72"/>
          <w:szCs w:val="72"/>
          <w:highlight w:val="none"/>
        </w:rPr>
      </w:pPr>
    </w:p>
    <w:p w14:paraId="66C8ADDC">
      <w:pPr>
        <w:pStyle w:val="12"/>
        <w:numPr>
          <w:ilvl w:val="0"/>
          <w:numId w:val="0"/>
        </w:numPr>
        <w:ind w:left="0" w:leftChars="0" w:firstLine="640" w:firstLineChars="200"/>
        <w:jc w:val="left"/>
        <w:rPr>
          <w:rFonts w:hint="default" w:ascii="黑体" w:hAnsi="黑体" w:eastAsia="黑体" w:cs="黑体"/>
          <w:b w:val="0"/>
          <w:bCs w:val="0"/>
          <w:kern w:val="2"/>
          <w:sz w:val="32"/>
          <w:szCs w:val="32"/>
          <w:highlight w:val="none"/>
          <w:lang w:val="en-US" w:eastAsia="zh-CN" w:bidi="ar-SA"/>
        </w:rPr>
      </w:pPr>
    </w:p>
    <w:p w14:paraId="6667A9DD">
      <w:pPr>
        <w:pStyle w:val="12"/>
        <w:numPr>
          <w:ilvl w:val="0"/>
          <w:numId w:val="0"/>
        </w:numPr>
        <w:ind w:left="0" w:leftChars="0" w:firstLine="640" w:firstLineChars="200"/>
        <w:jc w:val="left"/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</w:rPr>
      </w:pPr>
      <w:r>
        <w:rPr>
          <w:rFonts w:hint="default" w:ascii="黑体" w:hAnsi="黑体" w:eastAsia="黑体" w:cs="黑体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>一、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</w:rPr>
        <w:t>部门职责</w:t>
      </w:r>
    </w:p>
    <w:p w14:paraId="2A880C60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37" w:lineRule="atLeast"/>
        <w:ind w:left="0" w:right="0" w:firstLine="627"/>
        <w:jc w:val="both"/>
        <w:rPr>
          <w:rFonts w:hint="default" w:ascii="Times New Roman" w:hAnsi="Times New Roman" w:eastAsia="仿宋_GB2312" w:cs="黑体"/>
          <w:color w:val="00000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黑体"/>
          <w:color w:val="000000"/>
          <w:kern w:val="0"/>
          <w:sz w:val="32"/>
          <w:szCs w:val="32"/>
          <w:highlight w:val="none"/>
          <w:lang w:val="en-US" w:eastAsia="zh-CN" w:bidi="ar-SA"/>
        </w:rPr>
        <w:t>中国共产主义青年团是中国共产党领导的先进青年的群众组织，是广大青年在实践中学习共产主义的学校，是党的助手和后备军，是党联系青年的桥梁和纽带，是国家政权的重要社会支柱。团市委由中共怀化市委领导。其机关的主要工作任务是：</w:t>
      </w:r>
    </w:p>
    <w:p w14:paraId="53B0BF48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37" w:lineRule="atLeast"/>
        <w:ind w:left="0" w:right="0" w:firstLine="627"/>
        <w:jc w:val="both"/>
        <w:rPr>
          <w:rFonts w:hint="default" w:ascii="Times New Roman" w:hAnsi="Times New Roman" w:eastAsia="仿宋_GB2312" w:cs="黑体"/>
          <w:color w:val="00000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黑体"/>
          <w:color w:val="000000"/>
          <w:kern w:val="0"/>
          <w:sz w:val="32"/>
          <w:szCs w:val="32"/>
          <w:highlight w:val="none"/>
          <w:lang w:val="en-US" w:eastAsia="zh-CN" w:bidi="ar-SA"/>
        </w:rPr>
        <w:t>（一）</w:t>
      </w:r>
      <w:r>
        <w:rPr>
          <w:rFonts w:hint="default" w:ascii="Times New Roman" w:hAnsi="Times New Roman" w:eastAsia="仿宋_GB2312" w:cs="黑体"/>
          <w:color w:val="000000"/>
          <w:kern w:val="0"/>
          <w:sz w:val="32"/>
          <w:szCs w:val="32"/>
          <w:highlight w:val="none"/>
          <w:lang w:val="en-US" w:eastAsia="zh-CN" w:bidi="ar-SA"/>
        </w:rPr>
        <w:t>行使中共怀化市委赋予的领导全市共青团、青联、学联和少先队工作的职权，对全市性青少年社团组织进行指导和管理。</w:t>
      </w:r>
    </w:p>
    <w:p w14:paraId="36644281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37" w:lineRule="atLeast"/>
        <w:ind w:left="0" w:right="0" w:firstLine="627"/>
        <w:jc w:val="both"/>
        <w:rPr>
          <w:rFonts w:hint="default" w:ascii="Times New Roman" w:hAnsi="Times New Roman" w:eastAsia="仿宋_GB2312" w:cs="黑体"/>
          <w:color w:val="00000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黑体"/>
          <w:color w:val="000000"/>
          <w:kern w:val="0"/>
          <w:sz w:val="32"/>
          <w:szCs w:val="32"/>
          <w:highlight w:val="none"/>
          <w:lang w:val="en-US" w:eastAsia="zh-CN" w:bidi="ar-SA"/>
        </w:rPr>
        <w:t>（二）</w:t>
      </w:r>
      <w:r>
        <w:rPr>
          <w:rFonts w:hint="default" w:ascii="Times New Roman" w:hAnsi="Times New Roman" w:eastAsia="仿宋_GB2312" w:cs="黑体"/>
          <w:color w:val="000000"/>
          <w:kern w:val="0"/>
          <w:sz w:val="32"/>
          <w:szCs w:val="32"/>
          <w:highlight w:val="none"/>
          <w:lang w:val="en-US" w:eastAsia="zh-CN" w:bidi="ar-SA"/>
        </w:rPr>
        <w:t>参与制定青少年事业发展规划，对青年工作学校、青少年活动阵地、青少年报刊、青少年服务机构的建设等事务进行规划和管理。</w:t>
      </w:r>
    </w:p>
    <w:p w14:paraId="01DAA481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37" w:lineRule="atLeast"/>
        <w:ind w:left="0" w:right="0" w:firstLine="627"/>
        <w:jc w:val="both"/>
        <w:rPr>
          <w:rFonts w:hint="default" w:ascii="Times New Roman" w:hAnsi="Times New Roman" w:eastAsia="仿宋_GB2312" w:cs="黑体"/>
          <w:color w:val="00000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黑体"/>
          <w:color w:val="000000"/>
          <w:kern w:val="0"/>
          <w:sz w:val="32"/>
          <w:szCs w:val="32"/>
          <w:highlight w:val="none"/>
          <w:lang w:val="en-US" w:eastAsia="zh-CN" w:bidi="ar-SA"/>
        </w:rPr>
        <w:t>（三）</w:t>
      </w:r>
      <w:r>
        <w:rPr>
          <w:rFonts w:hint="default" w:ascii="Times New Roman" w:hAnsi="Times New Roman" w:eastAsia="仿宋_GB2312" w:cs="黑体"/>
          <w:color w:val="000000"/>
          <w:kern w:val="0"/>
          <w:sz w:val="32"/>
          <w:szCs w:val="32"/>
          <w:highlight w:val="none"/>
          <w:lang w:val="en-US" w:eastAsia="zh-CN" w:bidi="ar-SA"/>
        </w:rPr>
        <w:t>参与有关青少年事务的政策文件的制定和实施，协助市委、市政府处理、协调与青少年利益相关的事务。</w:t>
      </w:r>
    </w:p>
    <w:p w14:paraId="3262444B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37" w:lineRule="atLeast"/>
        <w:ind w:left="0" w:right="0" w:firstLine="627"/>
        <w:jc w:val="both"/>
        <w:rPr>
          <w:rFonts w:hint="default" w:ascii="Times New Roman" w:hAnsi="Times New Roman" w:eastAsia="仿宋_GB2312" w:cs="黑体"/>
          <w:color w:val="00000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黑体"/>
          <w:color w:val="000000"/>
          <w:kern w:val="0"/>
          <w:sz w:val="32"/>
          <w:szCs w:val="32"/>
          <w:highlight w:val="none"/>
          <w:lang w:val="en-US" w:eastAsia="zh-CN" w:bidi="ar-SA"/>
        </w:rPr>
        <w:t>（四）</w:t>
      </w:r>
      <w:r>
        <w:rPr>
          <w:rFonts w:hint="default" w:ascii="Times New Roman" w:hAnsi="Times New Roman" w:eastAsia="仿宋_GB2312" w:cs="黑体"/>
          <w:color w:val="000000"/>
          <w:kern w:val="0"/>
          <w:sz w:val="32"/>
          <w:szCs w:val="32"/>
          <w:highlight w:val="none"/>
          <w:lang w:val="en-US" w:eastAsia="zh-CN" w:bidi="ar-SA"/>
        </w:rPr>
        <w:t>调查青少年思想动态和青少年工作状况，研究青少年运动、青少年工作理论和思想教育问题，提出相应对策，开展各种有益活动。研究青少年违法犯罪问题，协同有关部门开展青少年法制教育工作，预防和减少青少年违法犯罪。</w:t>
      </w:r>
    </w:p>
    <w:p w14:paraId="1E989AF1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37" w:lineRule="atLeast"/>
        <w:ind w:left="0" w:right="0" w:firstLine="627"/>
        <w:jc w:val="both"/>
        <w:rPr>
          <w:rFonts w:hint="default" w:ascii="Times New Roman" w:hAnsi="Times New Roman" w:eastAsia="仿宋_GB2312" w:cs="黑体"/>
          <w:color w:val="00000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黑体"/>
          <w:color w:val="000000"/>
          <w:kern w:val="0"/>
          <w:sz w:val="32"/>
          <w:szCs w:val="32"/>
          <w:highlight w:val="none"/>
          <w:lang w:val="en-US" w:eastAsia="zh-CN" w:bidi="ar-SA"/>
        </w:rPr>
        <w:t>（五）</w:t>
      </w:r>
      <w:r>
        <w:rPr>
          <w:rFonts w:hint="default" w:ascii="Times New Roman" w:hAnsi="Times New Roman" w:eastAsia="仿宋_GB2312" w:cs="黑体"/>
          <w:color w:val="000000"/>
          <w:kern w:val="0"/>
          <w:sz w:val="32"/>
          <w:szCs w:val="32"/>
          <w:highlight w:val="none"/>
          <w:lang w:val="en-US" w:eastAsia="zh-CN" w:bidi="ar-SA"/>
        </w:rPr>
        <w:t>协助政府教育部门做好大、中、小学学生的教育管理工作，维护学校稳定和社会安定团结。</w:t>
      </w:r>
    </w:p>
    <w:p w14:paraId="2A0FF95A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37" w:lineRule="atLeast"/>
        <w:ind w:left="0" w:right="0" w:firstLine="627"/>
        <w:jc w:val="both"/>
        <w:rPr>
          <w:rFonts w:hint="default" w:ascii="Times New Roman" w:hAnsi="Times New Roman" w:eastAsia="仿宋_GB2312" w:cs="黑体"/>
          <w:color w:val="00000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黑体"/>
          <w:color w:val="000000"/>
          <w:kern w:val="0"/>
          <w:sz w:val="32"/>
          <w:szCs w:val="32"/>
          <w:highlight w:val="none"/>
          <w:lang w:val="en-US" w:eastAsia="zh-CN" w:bidi="ar-SA"/>
        </w:rPr>
        <w:t>（六）</w:t>
      </w:r>
      <w:r>
        <w:rPr>
          <w:rFonts w:hint="default" w:ascii="Times New Roman" w:hAnsi="Times New Roman" w:eastAsia="仿宋_GB2312" w:cs="黑体"/>
          <w:color w:val="000000"/>
          <w:kern w:val="0"/>
          <w:sz w:val="32"/>
          <w:szCs w:val="32"/>
          <w:highlight w:val="none"/>
          <w:lang w:val="en-US" w:eastAsia="zh-CN" w:bidi="ar-SA"/>
        </w:rPr>
        <w:t>在全市经济建设中，组织和带领青年发挥生力军和突击队作用。</w:t>
      </w:r>
    </w:p>
    <w:p w14:paraId="4AEBE0C7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37" w:lineRule="atLeast"/>
        <w:ind w:left="0" w:right="0" w:firstLine="627"/>
        <w:jc w:val="both"/>
        <w:rPr>
          <w:rFonts w:hint="default" w:ascii="Times New Roman" w:hAnsi="Times New Roman" w:eastAsia="仿宋_GB2312" w:cs="黑体"/>
          <w:color w:val="00000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黑体"/>
          <w:color w:val="000000"/>
          <w:kern w:val="0"/>
          <w:sz w:val="32"/>
          <w:szCs w:val="32"/>
          <w:highlight w:val="none"/>
          <w:lang w:val="en-US" w:eastAsia="zh-CN" w:bidi="ar-SA"/>
        </w:rPr>
        <w:t>（七）</w:t>
      </w:r>
      <w:r>
        <w:rPr>
          <w:rFonts w:hint="default" w:ascii="Times New Roman" w:hAnsi="Times New Roman" w:eastAsia="仿宋_GB2312" w:cs="黑体"/>
          <w:color w:val="000000"/>
          <w:kern w:val="0"/>
          <w:sz w:val="32"/>
          <w:szCs w:val="32"/>
          <w:highlight w:val="none"/>
          <w:lang w:val="en-US" w:eastAsia="zh-CN" w:bidi="ar-SA"/>
        </w:rPr>
        <w:t>会同有关部门负责青少年外事工作和市内外青少年组织、团体的交流工作。做好青年统战对象的团结教育工作。</w:t>
      </w:r>
    </w:p>
    <w:p w14:paraId="40499D4D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37" w:lineRule="atLeast"/>
        <w:ind w:left="0" w:right="0" w:firstLine="627"/>
        <w:jc w:val="both"/>
        <w:rPr>
          <w:rFonts w:hint="default" w:ascii="Times New Roman" w:hAnsi="Times New Roman" w:eastAsia="仿宋_GB2312" w:cs="黑体"/>
          <w:color w:val="00000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黑体"/>
          <w:color w:val="000000"/>
          <w:kern w:val="0"/>
          <w:sz w:val="32"/>
          <w:szCs w:val="32"/>
          <w:highlight w:val="none"/>
          <w:lang w:val="en-US" w:eastAsia="zh-CN" w:bidi="ar-SA"/>
        </w:rPr>
        <w:t>（八）</w:t>
      </w:r>
      <w:r>
        <w:rPr>
          <w:rFonts w:hint="default" w:ascii="Times New Roman" w:hAnsi="Times New Roman" w:eastAsia="仿宋_GB2312" w:cs="黑体"/>
          <w:color w:val="000000"/>
          <w:kern w:val="0"/>
          <w:sz w:val="32"/>
          <w:szCs w:val="32"/>
          <w:highlight w:val="none"/>
          <w:lang w:val="en-US" w:eastAsia="zh-CN" w:bidi="ar-SA"/>
        </w:rPr>
        <w:t>承办市委、市人民政府交办的其他事项。</w:t>
      </w:r>
    </w:p>
    <w:p w14:paraId="2731E5EC">
      <w:pPr>
        <w:widowControl/>
        <w:spacing w:line="600" w:lineRule="exact"/>
        <w:ind w:firstLine="640" w:firstLineChars="200"/>
        <w:rPr>
          <w:rFonts w:hint="eastAsia" w:ascii="黑体" w:hAnsi="黑体" w:eastAsia="黑体" w:cs="黑体"/>
          <w:b w:val="0"/>
          <w:bCs/>
          <w:kern w:val="0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 w:val="0"/>
          <w:bCs/>
          <w:kern w:val="0"/>
          <w:sz w:val="32"/>
          <w:szCs w:val="32"/>
          <w:highlight w:val="none"/>
        </w:rPr>
        <w:t>二、机构设置及决算单位构成</w:t>
      </w:r>
    </w:p>
    <w:p w14:paraId="4FD3B462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37" w:lineRule="atLeast"/>
        <w:ind w:left="0" w:right="0" w:firstLine="627"/>
        <w:jc w:val="both"/>
        <w:rPr>
          <w:rFonts w:hint="eastAsia" w:ascii="Times New Roman" w:hAnsi="Times New Roman" w:eastAsia="仿宋_GB2312" w:cs="黑体"/>
          <w:color w:val="00000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黑体"/>
          <w:color w:val="000000"/>
          <w:kern w:val="0"/>
          <w:sz w:val="32"/>
          <w:szCs w:val="32"/>
          <w:highlight w:val="none"/>
          <w:lang w:val="en-US" w:eastAsia="zh-CN" w:bidi="ar-SA"/>
        </w:rPr>
        <w:t>（一）内设机构设置。</w:t>
      </w:r>
      <w:r>
        <w:rPr>
          <w:rFonts w:hint="default" w:ascii="Times New Roman" w:hAnsi="Times New Roman" w:eastAsia="仿宋_GB2312" w:cs="黑体"/>
          <w:color w:val="000000"/>
          <w:kern w:val="0"/>
          <w:sz w:val="32"/>
          <w:szCs w:val="32"/>
          <w:highlight w:val="none"/>
          <w:lang w:val="en-US" w:eastAsia="zh-CN" w:bidi="ar-SA"/>
        </w:rPr>
        <w:t>中国共产主义青年团</w:t>
      </w:r>
      <w:r>
        <w:rPr>
          <w:rFonts w:hint="eastAsia" w:ascii="Times New Roman" w:hAnsi="Times New Roman" w:eastAsia="仿宋_GB2312" w:cs="黑体"/>
          <w:color w:val="000000"/>
          <w:kern w:val="0"/>
          <w:sz w:val="32"/>
          <w:szCs w:val="32"/>
          <w:highlight w:val="none"/>
          <w:lang w:val="en-US" w:eastAsia="zh-CN" w:bidi="ar-SA"/>
        </w:rPr>
        <w:t>怀化市委员会单位内设机构包括：</w:t>
      </w:r>
      <w:r>
        <w:rPr>
          <w:rFonts w:hint="default" w:ascii="Times New Roman" w:hAnsi="Times New Roman" w:eastAsia="仿宋_GB2312" w:cs="黑体"/>
          <w:color w:val="000000"/>
          <w:kern w:val="0"/>
          <w:sz w:val="32"/>
          <w:szCs w:val="32"/>
          <w:highlight w:val="none"/>
          <w:lang w:val="en-US" w:eastAsia="zh-CN" w:bidi="ar-SA"/>
        </w:rPr>
        <w:t>办公室、组织宣传部、青年发展部、学校少年部</w:t>
      </w:r>
      <w:r>
        <w:rPr>
          <w:rFonts w:hint="eastAsia" w:ascii="Times New Roman" w:hAnsi="Times New Roman" w:eastAsia="仿宋_GB2312" w:cs="黑体"/>
          <w:color w:val="000000"/>
          <w:kern w:val="0"/>
          <w:sz w:val="32"/>
          <w:szCs w:val="32"/>
          <w:highlight w:val="none"/>
          <w:lang w:val="en-US" w:eastAsia="zh-CN" w:bidi="ar-SA"/>
        </w:rPr>
        <w:t>。</w:t>
      </w:r>
    </w:p>
    <w:p w14:paraId="38F18EC8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37" w:lineRule="atLeast"/>
        <w:ind w:left="0" w:right="0" w:firstLine="627"/>
        <w:jc w:val="both"/>
        <w:rPr>
          <w:rFonts w:hint="eastAsia" w:ascii="Times New Roman" w:hAnsi="Times New Roman" w:eastAsia="仿宋_GB2312" w:cs="黑体"/>
          <w:color w:val="00000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黑体"/>
          <w:color w:val="000000"/>
          <w:kern w:val="0"/>
          <w:sz w:val="32"/>
          <w:szCs w:val="32"/>
          <w:highlight w:val="none"/>
          <w:lang w:val="en-US" w:eastAsia="zh-CN" w:bidi="ar-SA"/>
        </w:rPr>
        <w:t>（二）决算单位构成。</w:t>
      </w:r>
      <w:r>
        <w:rPr>
          <w:rFonts w:hint="default" w:ascii="Times New Roman" w:hAnsi="Times New Roman" w:eastAsia="仿宋_GB2312" w:cs="黑体"/>
          <w:color w:val="000000"/>
          <w:kern w:val="0"/>
          <w:sz w:val="32"/>
          <w:szCs w:val="32"/>
          <w:highlight w:val="none"/>
          <w:lang w:val="en-US" w:eastAsia="zh-CN" w:bidi="ar-SA"/>
        </w:rPr>
        <w:t>中国共产主义青年团</w:t>
      </w:r>
      <w:r>
        <w:rPr>
          <w:rFonts w:hint="eastAsia" w:ascii="Times New Roman" w:hAnsi="Times New Roman" w:eastAsia="仿宋_GB2312" w:cs="黑体"/>
          <w:color w:val="000000"/>
          <w:kern w:val="0"/>
          <w:sz w:val="32"/>
          <w:szCs w:val="32"/>
          <w:highlight w:val="none"/>
          <w:lang w:val="en-US" w:eastAsia="zh-CN" w:bidi="ar-SA"/>
        </w:rPr>
        <w:t>怀化市委员会单位2022年部门决算汇总公开单位构成包括：</w:t>
      </w:r>
      <w:r>
        <w:rPr>
          <w:rFonts w:hint="default" w:ascii="Times New Roman" w:hAnsi="Times New Roman" w:eastAsia="仿宋_GB2312" w:cs="黑体"/>
          <w:color w:val="000000"/>
          <w:kern w:val="0"/>
          <w:sz w:val="32"/>
          <w:szCs w:val="32"/>
          <w:highlight w:val="none"/>
          <w:lang w:val="en-US" w:eastAsia="zh-CN" w:bidi="ar-SA"/>
        </w:rPr>
        <w:t>中国共产主义青年团</w:t>
      </w:r>
      <w:r>
        <w:rPr>
          <w:rFonts w:hint="eastAsia" w:ascii="Times New Roman" w:hAnsi="Times New Roman" w:eastAsia="仿宋_GB2312" w:cs="黑体"/>
          <w:color w:val="000000"/>
          <w:kern w:val="0"/>
          <w:sz w:val="32"/>
          <w:szCs w:val="32"/>
          <w:highlight w:val="none"/>
          <w:lang w:val="en-US" w:eastAsia="zh-CN" w:bidi="ar-SA"/>
        </w:rPr>
        <w:t>怀化市委员会单位本级。</w:t>
      </w:r>
    </w:p>
    <w:p w14:paraId="65BF9866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37" w:lineRule="atLeast"/>
        <w:ind w:left="0" w:right="0" w:firstLine="627"/>
        <w:jc w:val="both"/>
        <w:rPr>
          <w:rFonts w:hint="default" w:ascii="Times New Roman" w:hAnsi="Times New Roman" w:eastAsia="仿宋_GB2312" w:cs="黑体"/>
          <w:color w:val="000000"/>
          <w:kern w:val="0"/>
          <w:sz w:val="32"/>
          <w:szCs w:val="32"/>
          <w:highlight w:val="none"/>
          <w:lang w:val="en-US" w:eastAsia="zh-CN" w:bidi="ar-SA"/>
        </w:rPr>
      </w:pPr>
    </w:p>
    <w:p w14:paraId="3F2E6CFB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37" w:lineRule="atLeast"/>
        <w:ind w:left="0" w:right="0" w:firstLine="627"/>
        <w:jc w:val="both"/>
        <w:rPr>
          <w:rFonts w:hint="default" w:ascii="Times New Roman" w:hAnsi="Times New Roman" w:eastAsia="仿宋_GB2312" w:cs="黑体"/>
          <w:color w:val="000000"/>
          <w:kern w:val="0"/>
          <w:sz w:val="32"/>
          <w:szCs w:val="32"/>
          <w:highlight w:val="none"/>
          <w:lang w:val="en-US" w:eastAsia="zh-CN" w:bidi="ar-SA"/>
        </w:rPr>
      </w:pPr>
    </w:p>
    <w:p w14:paraId="31D6499A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37" w:lineRule="atLeast"/>
        <w:ind w:left="0" w:right="0" w:firstLine="627"/>
        <w:jc w:val="both"/>
        <w:rPr>
          <w:rFonts w:hint="default" w:ascii="Times New Roman" w:hAnsi="Times New Roman" w:eastAsia="仿宋_GB2312" w:cs="黑体"/>
          <w:color w:val="000000"/>
          <w:kern w:val="0"/>
          <w:sz w:val="32"/>
          <w:szCs w:val="32"/>
          <w:highlight w:val="none"/>
          <w:lang w:val="en-US" w:eastAsia="zh-CN" w:bidi="ar-SA"/>
        </w:rPr>
      </w:pPr>
    </w:p>
    <w:p w14:paraId="4B21F60F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37" w:lineRule="atLeast"/>
        <w:ind w:left="0" w:right="0" w:firstLine="627"/>
        <w:jc w:val="both"/>
        <w:rPr>
          <w:rFonts w:hint="default" w:ascii="Times New Roman" w:hAnsi="Times New Roman" w:eastAsia="仿宋_GB2312" w:cs="黑体"/>
          <w:color w:val="000000"/>
          <w:kern w:val="0"/>
          <w:sz w:val="32"/>
          <w:szCs w:val="32"/>
          <w:highlight w:val="none"/>
          <w:lang w:val="en-US" w:eastAsia="zh-CN" w:bidi="ar-SA"/>
        </w:rPr>
      </w:pPr>
    </w:p>
    <w:p w14:paraId="7C88CEFB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37" w:lineRule="atLeast"/>
        <w:ind w:left="0" w:right="0" w:firstLine="627"/>
        <w:jc w:val="both"/>
        <w:rPr>
          <w:rFonts w:hint="default" w:ascii="Times New Roman" w:hAnsi="Times New Roman" w:eastAsia="仿宋_GB2312" w:cs="黑体"/>
          <w:color w:val="000000"/>
          <w:kern w:val="0"/>
          <w:sz w:val="32"/>
          <w:szCs w:val="32"/>
          <w:highlight w:val="none"/>
          <w:lang w:val="en-US" w:eastAsia="zh-CN" w:bidi="ar-SA"/>
        </w:rPr>
      </w:pPr>
    </w:p>
    <w:p w14:paraId="179D3292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37" w:lineRule="atLeast"/>
        <w:ind w:left="0" w:right="0" w:firstLine="627"/>
        <w:jc w:val="both"/>
        <w:rPr>
          <w:rFonts w:hint="default" w:ascii="Times New Roman" w:hAnsi="Times New Roman" w:eastAsia="仿宋_GB2312" w:cs="黑体"/>
          <w:color w:val="000000"/>
          <w:kern w:val="0"/>
          <w:sz w:val="32"/>
          <w:szCs w:val="32"/>
          <w:highlight w:val="none"/>
          <w:lang w:val="en-US" w:eastAsia="zh-CN" w:bidi="ar-SA"/>
        </w:rPr>
      </w:pPr>
    </w:p>
    <w:p w14:paraId="01898E43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37" w:lineRule="atLeast"/>
        <w:ind w:left="0" w:right="0" w:firstLine="627"/>
        <w:jc w:val="both"/>
        <w:rPr>
          <w:rFonts w:hint="default" w:ascii="Times New Roman" w:hAnsi="Times New Roman" w:eastAsia="仿宋_GB2312" w:cs="黑体"/>
          <w:color w:val="000000"/>
          <w:kern w:val="0"/>
          <w:sz w:val="32"/>
          <w:szCs w:val="32"/>
          <w:highlight w:val="none"/>
          <w:lang w:val="en-US" w:eastAsia="zh-CN" w:bidi="ar-SA"/>
        </w:rPr>
      </w:pPr>
    </w:p>
    <w:p w14:paraId="3900A2D4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37" w:lineRule="atLeast"/>
        <w:ind w:left="0" w:right="0" w:firstLine="627"/>
        <w:jc w:val="both"/>
        <w:rPr>
          <w:rFonts w:hint="default" w:ascii="Times New Roman" w:hAnsi="Times New Roman" w:eastAsia="仿宋_GB2312" w:cs="黑体"/>
          <w:color w:val="000000"/>
          <w:kern w:val="0"/>
          <w:sz w:val="32"/>
          <w:szCs w:val="32"/>
          <w:highlight w:val="none"/>
          <w:lang w:val="en-US" w:eastAsia="zh-CN" w:bidi="ar-SA"/>
        </w:rPr>
      </w:pPr>
    </w:p>
    <w:p w14:paraId="7223598B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37" w:lineRule="atLeast"/>
        <w:ind w:left="0" w:right="0" w:firstLine="627"/>
        <w:jc w:val="both"/>
        <w:rPr>
          <w:rFonts w:hint="default" w:ascii="Times New Roman" w:hAnsi="Times New Roman" w:eastAsia="仿宋_GB2312" w:cs="黑体"/>
          <w:color w:val="000000"/>
          <w:kern w:val="0"/>
          <w:sz w:val="32"/>
          <w:szCs w:val="32"/>
          <w:highlight w:val="none"/>
          <w:lang w:val="en-US" w:eastAsia="zh-CN" w:bidi="ar-SA"/>
        </w:rPr>
      </w:pPr>
    </w:p>
    <w:p w14:paraId="48337DBD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37" w:lineRule="atLeast"/>
        <w:ind w:left="0" w:right="0" w:firstLine="627"/>
        <w:jc w:val="both"/>
        <w:rPr>
          <w:rFonts w:hint="default" w:ascii="Times New Roman" w:hAnsi="Times New Roman" w:eastAsia="仿宋_GB2312" w:cs="黑体"/>
          <w:color w:val="000000"/>
          <w:kern w:val="0"/>
          <w:sz w:val="32"/>
          <w:szCs w:val="32"/>
          <w:highlight w:val="none"/>
          <w:lang w:val="en-US" w:eastAsia="zh-CN" w:bidi="ar-SA"/>
        </w:rPr>
      </w:pPr>
    </w:p>
    <w:p w14:paraId="6B73A234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37" w:lineRule="atLeast"/>
        <w:ind w:left="0" w:right="0" w:firstLine="627"/>
        <w:jc w:val="both"/>
        <w:rPr>
          <w:rFonts w:hint="default" w:ascii="Times New Roman" w:hAnsi="Times New Roman" w:eastAsia="仿宋_GB2312" w:cs="黑体"/>
          <w:color w:val="000000"/>
          <w:kern w:val="0"/>
          <w:sz w:val="32"/>
          <w:szCs w:val="32"/>
          <w:highlight w:val="none"/>
          <w:lang w:val="en-US" w:eastAsia="zh-CN" w:bidi="ar-SA"/>
        </w:rPr>
      </w:pPr>
    </w:p>
    <w:p w14:paraId="42C26B3B">
      <w:pPr>
        <w:jc w:val="center"/>
        <w:rPr>
          <w:rFonts w:ascii="黑体" w:hAnsi="黑体" w:eastAsia="黑体"/>
          <w:sz w:val="28"/>
          <w:szCs w:val="28"/>
          <w:highlight w:val="none"/>
        </w:rPr>
      </w:pPr>
    </w:p>
    <w:p w14:paraId="40D0D049">
      <w:pPr>
        <w:jc w:val="center"/>
        <w:rPr>
          <w:rFonts w:ascii="黑体" w:hAnsi="黑体" w:eastAsia="黑体"/>
          <w:sz w:val="28"/>
          <w:szCs w:val="28"/>
          <w:highlight w:val="none"/>
        </w:rPr>
      </w:pPr>
    </w:p>
    <w:p w14:paraId="1137C705">
      <w:pPr>
        <w:jc w:val="center"/>
        <w:rPr>
          <w:sz w:val="72"/>
          <w:szCs w:val="72"/>
          <w:highlight w:val="none"/>
        </w:rPr>
      </w:pPr>
    </w:p>
    <w:p w14:paraId="598C9FC2">
      <w:pPr>
        <w:jc w:val="center"/>
        <w:rPr>
          <w:sz w:val="72"/>
          <w:szCs w:val="72"/>
          <w:highlight w:val="none"/>
        </w:rPr>
      </w:pPr>
    </w:p>
    <w:p w14:paraId="482EAC71">
      <w:pPr>
        <w:jc w:val="center"/>
        <w:rPr>
          <w:sz w:val="72"/>
          <w:szCs w:val="72"/>
          <w:highlight w:val="none"/>
        </w:rPr>
      </w:pPr>
    </w:p>
    <w:p w14:paraId="7B471B04">
      <w:pPr>
        <w:jc w:val="center"/>
        <w:rPr>
          <w:sz w:val="72"/>
          <w:szCs w:val="72"/>
          <w:highlight w:val="none"/>
        </w:rPr>
      </w:pPr>
    </w:p>
    <w:p w14:paraId="3F4F4443">
      <w:pPr>
        <w:pStyle w:val="11"/>
        <w:jc w:val="center"/>
        <w:rPr>
          <w:rFonts w:hint="eastAsia" w:ascii="方正小标宋_GBK" w:hAnsi="方正小标宋_GBK" w:eastAsia="方正小标宋_GBK" w:cs="方正小标宋_GBK"/>
          <w:sz w:val="84"/>
          <w:szCs w:val="84"/>
          <w:highlight w:val="none"/>
        </w:rPr>
      </w:pPr>
    </w:p>
    <w:p w14:paraId="62FFCB24">
      <w:pPr>
        <w:pStyle w:val="11"/>
        <w:jc w:val="center"/>
        <w:rPr>
          <w:rFonts w:hint="eastAsia" w:ascii="方正小标宋_GBK" w:hAnsi="方正小标宋_GBK" w:eastAsia="方正小标宋_GBK" w:cs="方正小标宋_GBK"/>
          <w:sz w:val="84"/>
          <w:szCs w:val="84"/>
          <w:highlight w:val="none"/>
        </w:rPr>
      </w:pPr>
    </w:p>
    <w:p w14:paraId="17A75974">
      <w:pPr>
        <w:pStyle w:val="11"/>
        <w:jc w:val="both"/>
        <w:rPr>
          <w:rFonts w:hint="eastAsia" w:ascii="方正小标宋_GBK" w:hAnsi="方正小标宋_GBK" w:eastAsia="方正小标宋_GBK" w:cs="方正小标宋_GBK"/>
          <w:sz w:val="84"/>
          <w:szCs w:val="84"/>
          <w:highlight w:val="none"/>
        </w:rPr>
      </w:pPr>
    </w:p>
    <w:p w14:paraId="59FA5227">
      <w:pPr>
        <w:pStyle w:val="11"/>
        <w:jc w:val="both"/>
        <w:rPr>
          <w:rFonts w:hint="eastAsia" w:ascii="方正小标宋_GBK" w:hAnsi="方正小标宋_GBK" w:eastAsia="方正小标宋_GBK" w:cs="方正小标宋_GBK"/>
          <w:sz w:val="84"/>
          <w:szCs w:val="84"/>
          <w:highlight w:val="none"/>
        </w:rPr>
      </w:pPr>
    </w:p>
    <w:p w14:paraId="629F60A5">
      <w:pPr>
        <w:pStyle w:val="11"/>
        <w:jc w:val="center"/>
        <w:rPr>
          <w:rFonts w:hint="eastAsia" w:ascii="方正小标宋_GBK" w:hAnsi="方正小标宋_GBK" w:eastAsia="方正小标宋_GBK" w:cs="方正小标宋_GBK"/>
          <w:sz w:val="84"/>
          <w:szCs w:val="84"/>
          <w:highlight w:val="none"/>
        </w:rPr>
      </w:pPr>
      <w:r>
        <w:rPr>
          <w:rFonts w:hint="eastAsia" w:ascii="方正小标宋_GBK" w:hAnsi="方正小标宋_GBK" w:eastAsia="方正小标宋_GBK" w:cs="方正小标宋_GBK"/>
          <w:sz w:val="84"/>
          <w:szCs w:val="84"/>
          <w:highlight w:val="none"/>
        </w:rPr>
        <w:t>第二部分</w:t>
      </w:r>
    </w:p>
    <w:p w14:paraId="0E4BE30C">
      <w:pPr>
        <w:pStyle w:val="11"/>
        <w:jc w:val="center"/>
        <w:rPr>
          <w:rFonts w:hint="eastAsia" w:ascii="方正小标宋_GBK" w:hAnsi="方正小标宋_GBK" w:eastAsia="方正小标宋_GBK" w:cs="方正小标宋_GBK"/>
          <w:sz w:val="84"/>
          <w:szCs w:val="84"/>
          <w:highlight w:val="none"/>
        </w:rPr>
      </w:pPr>
    </w:p>
    <w:p w14:paraId="03639551">
      <w:pPr>
        <w:pStyle w:val="11"/>
        <w:jc w:val="center"/>
        <w:rPr>
          <w:rFonts w:hint="eastAsia" w:ascii="方正小标宋_GBK" w:hAnsi="方正小标宋_GBK" w:eastAsia="方正小标宋_GBK" w:cs="方正小标宋_GBK"/>
          <w:sz w:val="84"/>
          <w:szCs w:val="84"/>
          <w:highlight w:val="none"/>
        </w:rPr>
      </w:pPr>
      <w:r>
        <w:rPr>
          <w:rFonts w:hint="eastAsia" w:ascii="方正小标宋_GBK" w:hAnsi="方正小标宋_GBK" w:eastAsia="方正小标宋_GBK" w:cs="方正小标宋_GBK"/>
          <w:sz w:val="84"/>
          <w:szCs w:val="84"/>
          <w:highlight w:val="none"/>
        </w:rPr>
        <w:t>部门决算表</w:t>
      </w:r>
    </w:p>
    <w:p w14:paraId="628C5F16">
      <w:pPr>
        <w:jc w:val="both"/>
        <w:rPr>
          <w:sz w:val="72"/>
          <w:szCs w:val="72"/>
          <w:highlight w:val="none"/>
        </w:rPr>
      </w:pPr>
    </w:p>
    <w:p w14:paraId="20B67A83">
      <w:pPr>
        <w:jc w:val="center"/>
        <w:rPr>
          <w:rFonts w:hint="default" w:ascii="Times New Roman" w:hAnsi="Times New Roman" w:eastAsia="仿宋_GB2312" w:cs="黑体"/>
          <w:b/>
          <w:bCs/>
          <w:color w:val="000000"/>
          <w:kern w:val="0"/>
          <w:sz w:val="48"/>
          <w:szCs w:val="48"/>
          <w:highlight w:val="none"/>
          <w:lang w:val="en-US" w:eastAsia="zh-CN" w:bidi="ar-SA"/>
        </w:rPr>
        <w:sectPr>
          <w:pgSz w:w="11906" w:h="16838"/>
          <w:pgMar w:top="720" w:right="720" w:bottom="720" w:left="720" w:header="851" w:footer="992" w:gutter="0"/>
          <w:cols w:space="425" w:num="1"/>
          <w:docGrid w:type="lines" w:linePitch="312" w:charSpace="0"/>
        </w:sectPr>
      </w:pPr>
      <w:bookmarkStart w:id="3" w:name="_GoBack"/>
      <w:r>
        <w:rPr>
          <w:rFonts w:hint="eastAsia" w:ascii="仿宋_GB2312" w:hAnsi="仿宋_GB2312" w:eastAsia="仿宋_GB2312" w:cs="黑体"/>
          <w:b/>
          <w:bCs/>
          <w:color w:val="000000"/>
          <w:kern w:val="0"/>
          <w:sz w:val="48"/>
          <w:szCs w:val="48"/>
          <w:highlight w:val="none"/>
          <w:lang w:val="en-US" w:eastAsia="zh-CN" w:bidi="ar-SA"/>
        </w:rPr>
        <w:t>（见附表）</w:t>
      </w:r>
    </w:p>
    <w:bookmarkEnd w:id="3"/>
    <w:p w14:paraId="638C99D1">
      <w:pPr>
        <w:pStyle w:val="11"/>
        <w:jc w:val="center"/>
        <w:rPr>
          <w:sz w:val="72"/>
          <w:szCs w:val="72"/>
          <w:highlight w:val="none"/>
        </w:rPr>
      </w:pPr>
    </w:p>
    <w:p w14:paraId="4B9D21E8">
      <w:pPr>
        <w:pStyle w:val="11"/>
        <w:jc w:val="center"/>
        <w:rPr>
          <w:sz w:val="72"/>
          <w:szCs w:val="72"/>
          <w:highlight w:val="none"/>
        </w:rPr>
      </w:pPr>
    </w:p>
    <w:p w14:paraId="59719E8F">
      <w:pPr>
        <w:pStyle w:val="11"/>
        <w:jc w:val="center"/>
        <w:rPr>
          <w:rFonts w:hint="eastAsia" w:ascii="方正小标宋_GBK" w:hAnsi="方正小标宋_GBK" w:eastAsia="方正小标宋_GBK" w:cs="方正小标宋_GBK"/>
          <w:sz w:val="72"/>
          <w:szCs w:val="72"/>
          <w:highlight w:val="none"/>
        </w:rPr>
      </w:pPr>
    </w:p>
    <w:p w14:paraId="498F0DB2">
      <w:pPr>
        <w:pStyle w:val="11"/>
        <w:jc w:val="center"/>
        <w:rPr>
          <w:rFonts w:hint="eastAsia" w:ascii="方正小标宋_GBK" w:hAnsi="方正小标宋_GBK" w:eastAsia="方正小标宋_GBK" w:cs="方正小标宋_GBK"/>
          <w:sz w:val="72"/>
          <w:szCs w:val="72"/>
          <w:highlight w:val="none"/>
        </w:rPr>
      </w:pPr>
      <w:r>
        <w:rPr>
          <w:rFonts w:hint="eastAsia" w:ascii="方正小标宋_GBK" w:hAnsi="方正小标宋_GBK" w:eastAsia="方正小标宋_GBK" w:cs="方正小标宋_GBK"/>
          <w:sz w:val="72"/>
          <w:szCs w:val="72"/>
          <w:highlight w:val="none"/>
        </w:rPr>
        <w:t>第三部分</w:t>
      </w:r>
    </w:p>
    <w:p w14:paraId="31D6D5B5">
      <w:pPr>
        <w:pStyle w:val="11"/>
        <w:jc w:val="center"/>
        <w:rPr>
          <w:rFonts w:hint="eastAsia" w:ascii="方正小标宋_GBK" w:hAnsi="方正小标宋_GBK" w:eastAsia="方正小标宋_GBK" w:cs="方正小标宋_GBK"/>
          <w:sz w:val="70"/>
          <w:szCs w:val="70"/>
          <w:highlight w:val="none"/>
        </w:rPr>
      </w:pPr>
    </w:p>
    <w:p w14:paraId="7B8B2F32">
      <w:pPr>
        <w:pStyle w:val="11"/>
        <w:jc w:val="center"/>
        <w:rPr>
          <w:rFonts w:hint="eastAsia" w:ascii="方正小标宋_GBK" w:hAnsi="方正小标宋_GBK" w:eastAsia="方正小标宋_GBK" w:cs="方正小标宋_GBK"/>
          <w:sz w:val="70"/>
          <w:szCs w:val="70"/>
          <w:highlight w:val="none"/>
        </w:rPr>
      </w:pPr>
      <w:r>
        <w:rPr>
          <w:rFonts w:hint="eastAsia" w:ascii="方正小标宋_GBK" w:hAnsi="方正小标宋_GBK" w:eastAsia="方正小标宋_GBK" w:cs="方正小标宋_GBK"/>
          <w:sz w:val="70"/>
          <w:szCs w:val="70"/>
          <w:highlight w:val="none"/>
        </w:rPr>
        <w:t>202</w:t>
      </w:r>
      <w:r>
        <w:rPr>
          <w:rFonts w:hint="eastAsia" w:ascii="方正小标宋_GBK" w:hAnsi="方正小标宋_GBK" w:eastAsia="方正小标宋_GBK" w:cs="方正小标宋_GBK"/>
          <w:sz w:val="70"/>
          <w:szCs w:val="70"/>
          <w:highlight w:val="none"/>
          <w:lang w:val="en-US" w:eastAsia="zh-CN"/>
        </w:rPr>
        <w:t>2</w:t>
      </w:r>
      <w:r>
        <w:rPr>
          <w:rFonts w:hint="eastAsia" w:ascii="方正小标宋_GBK" w:hAnsi="方正小标宋_GBK" w:eastAsia="方正小标宋_GBK" w:cs="方正小标宋_GBK"/>
          <w:sz w:val="70"/>
          <w:szCs w:val="70"/>
          <w:highlight w:val="none"/>
        </w:rPr>
        <w:t>年度部门决算情况说明</w:t>
      </w:r>
    </w:p>
    <w:p w14:paraId="2C6B5D30">
      <w:pPr>
        <w:widowControl/>
        <w:jc w:val="left"/>
        <w:rPr>
          <w:rFonts w:asciiTheme="minorEastAsia" w:hAnsiTheme="minorEastAsia" w:eastAsiaTheme="minorEastAsia"/>
          <w:sz w:val="32"/>
          <w:szCs w:val="32"/>
          <w:highlight w:val="none"/>
        </w:rPr>
      </w:pPr>
      <w:r>
        <w:rPr>
          <w:rFonts w:hint="eastAsia" w:ascii="方正小标宋_GBK" w:hAnsi="方正小标宋_GBK" w:eastAsia="方正小标宋_GBK" w:cs="方正小标宋_GBK"/>
          <w:sz w:val="70"/>
          <w:szCs w:val="70"/>
          <w:highlight w:val="none"/>
        </w:rPr>
        <w:br w:type="page"/>
      </w:r>
    </w:p>
    <w:p w14:paraId="15EFDB00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highlight w:val="none"/>
        </w:rPr>
        <w:t>一、收入支出决算总体情况说明</w:t>
      </w:r>
    </w:p>
    <w:p w14:paraId="550F3635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/>
          <w:sz w:val="32"/>
          <w:szCs w:val="32"/>
          <w:highlight w:val="none"/>
        </w:rPr>
      </w:pPr>
      <w:r>
        <w:rPr>
          <w:rFonts w:hint="eastAsia" w:ascii="Times New Roman" w:hAnsi="Times New Roman" w:eastAsia="仿宋_GB2312"/>
          <w:sz w:val="32"/>
          <w:szCs w:val="32"/>
          <w:highlight w:val="none"/>
        </w:rPr>
        <w:t>202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年度收、支总计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均为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489.67万元。与上年相比，增加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54.05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万元，增长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12.41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%，主要是因为增加了少先队红色研学夏令营活动经费12万元，另外引进人才2人，经费相应增加。</w:t>
      </w:r>
    </w:p>
    <w:p w14:paraId="58A0D428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highlight w:val="none"/>
        </w:rPr>
        <w:t>二、收入决算情况说明</w:t>
      </w:r>
    </w:p>
    <w:p w14:paraId="08C89280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ascii="Times New Roman" w:hAnsi="Times New Roman" w:eastAsia="仿宋_GB2312"/>
          <w:sz w:val="32"/>
          <w:szCs w:val="32"/>
          <w:highlight w:val="none"/>
        </w:rPr>
      </w:pPr>
      <w:r>
        <w:rPr>
          <w:rFonts w:hint="eastAsia" w:ascii="Times New Roman" w:hAnsi="Times New Roman" w:eastAsia="仿宋_GB2312"/>
          <w:sz w:val="32"/>
          <w:szCs w:val="32"/>
          <w:highlight w:val="none"/>
        </w:rPr>
        <w:t>202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年度收入合计489.67万元，其中：财政拨款收入408.67万元，占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83.46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%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  <w:t>；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其他收入81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.00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万元，占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16.54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%。</w:t>
      </w:r>
    </w:p>
    <w:p w14:paraId="6BD87641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highlight w:val="none"/>
        </w:rPr>
        <w:t>三、支出决算情况说明</w:t>
      </w:r>
    </w:p>
    <w:p w14:paraId="527C3DD7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/>
          <w:sz w:val="32"/>
          <w:szCs w:val="32"/>
          <w:highlight w:val="none"/>
        </w:rPr>
        <w:t>202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年度支出合计489.67万元，其中：基本支出314.55万元，占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64.24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%；项目支出175.12万元，占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35.76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%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  <w:t>。</w:t>
      </w:r>
    </w:p>
    <w:p w14:paraId="43BE33CC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highlight w:val="none"/>
        </w:rPr>
        <w:t>四、财政拨款收入支出决算总体情况说明</w:t>
      </w:r>
    </w:p>
    <w:p w14:paraId="47360F03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/>
          <w:sz w:val="32"/>
          <w:szCs w:val="32"/>
          <w:highlight w:val="none"/>
        </w:rPr>
        <w:t>202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年度财政拨款收、支总计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均为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408.67万元，与上年相比，减少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24.77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万元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减少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5.71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%，主要是因为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压减经费开支。</w:t>
      </w:r>
    </w:p>
    <w:p w14:paraId="4E18F0FE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highlight w:val="none"/>
        </w:rPr>
        <w:t>五、一般公共预算财政拨款支出决算情况说明</w:t>
      </w:r>
    </w:p>
    <w:p w14:paraId="5DE641CB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 w:val="0"/>
          <w:bCs/>
          <w:sz w:val="32"/>
          <w:szCs w:val="32"/>
          <w:highlight w:val="none"/>
        </w:rPr>
        <w:t>（一）财政拨款支出决算总体情况</w:t>
      </w:r>
    </w:p>
    <w:p w14:paraId="3A229A7B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/>
          <w:sz w:val="32"/>
          <w:szCs w:val="32"/>
          <w:highlight w:val="none"/>
        </w:rPr>
        <w:t>202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年度财政拨款支出408.67万元，占本年支出合计的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83.46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%，与上年相比，财政拨款支出减少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24.77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万元，减少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5.71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%，主要是因为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压减经费开支。</w:t>
      </w:r>
    </w:p>
    <w:p w14:paraId="58BEF55A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480" w:firstLineChars="150"/>
        <w:textAlignment w:val="auto"/>
        <w:rPr>
          <w:rFonts w:hint="eastAsia" w:ascii="楷体" w:hAnsi="楷体" w:eastAsia="楷体" w:cs="楷体"/>
          <w:b w:val="0"/>
          <w:bCs/>
          <w:sz w:val="32"/>
          <w:szCs w:val="32"/>
          <w:highlight w:val="none"/>
        </w:rPr>
      </w:pPr>
      <w:r>
        <w:rPr>
          <w:rFonts w:hint="eastAsia" w:ascii="楷体" w:hAnsi="楷体" w:eastAsia="楷体" w:cs="楷体"/>
          <w:b w:val="0"/>
          <w:bCs/>
          <w:sz w:val="32"/>
          <w:szCs w:val="32"/>
          <w:highlight w:val="none"/>
        </w:rPr>
        <w:t>（二）财政拨款支出决算结构情况</w:t>
      </w:r>
    </w:p>
    <w:p w14:paraId="450919CA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/>
          <w:sz w:val="32"/>
          <w:szCs w:val="32"/>
          <w:highlight w:val="none"/>
        </w:rPr>
      </w:pPr>
      <w:r>
        <w:rPr>
          <w:rFonts w:hint="eastAsia" w:ascii="Times New Roman" w:hAnsi="Times New Roman" w:eastAsia="仿宋_GB2312"/>
          <w:sz w:val="32"/>
          <w:szCs w:val="32"/>
          <w:highlight w:val="none"/>
        </w:rPr>
        <w:t>202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年度财政拨款支出408.67万元，主要用于以下方面：一般公共服务（类）支出377.82万元，占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92.45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%；社会保障和就业（类）支出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16.80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万元，占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4.11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%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  <w:t>；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卫生健康（类）支出9.05万元，占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2.22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%；交通运输（类）支出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5.00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万元，占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1.22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%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  <w:t>。</w:t>
      </w:r>
    </w:p>
    <w:p w14:paraId="3738C914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楷体" w:hAnsi="楷体" w:eastAsia="楷体" w:cs="楷体"/>
          <w:b w:val="0"/>
          <w:bCs/>
          <w:sz w:val="32"/>
          <w:szCs w:val="32"/>
          <w:highlight w:val="none"/>
        </w:rPr>
      </w:pPr>
      <w:r>
        <w:rPr>
          <w:rFonts w:hint="eastAsia" w:ascii="楷体" w:hAnsi="楷体" w:eastAsia="楷体" w:cs="楷体"/>
          <w:b w:val="0"/>
          <w:bCs/>
          <w:sz w:val="32"/>
          <w:szCs w:val="32"/>
          <w:highlight w:val="none"/>
        </w:rPr>
        <w:t>（三）财政拨款支出决算具体情况</w:t>
      </w:r>
    </w:p>
    <w:p w14:paraId="061D46C2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ascii="Times New Roman" w:hAnsi="Times New Roman" w:eastAsia="仿宋_GB2312"/>
          <w:sz w:val="32"/>
          <w:szCs w:val="32"/>
          <w:highlight w:val="none"/>
        </w:rPr>
      </w:pPr>
      <w:r>
        <w:rPr>
          <w:rFonts w:hint="eastAsia" w:ascii="Times New Roman" w:hAnsi="Times New Roman" w:eastAsia="仿宋_GB2312"/>
          <w:sz w:val="32"/>
          <w:szCs w:val="32"/>
          <w:highlight w:val="none"/>
        </w:rPr>
        <w:t>202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年度财政拨款支出年初预算数为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316.80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万元，支出决算数为408.67万元，完成年初预算的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129.00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%，其中：</w:t>
      </w:r>
    </w:p>
    <w:p w14:paraId="394FD941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800" w:firstLineChars="250"/>
        <w:textAlignment w:val="auto"/>
        <w:rPr>
          <w:rFonts w:ascii="Times New Roman" w:hAnsi="Times New Roman" w:eastAsia="仿宋_GB2312"/>
          <w:sz w:val="32"/>
          <w:szCs w:val="32"/>
          <w:highlight w:val="none"/>
        </w:rPr>
      </w:pPr>
      <w:r>
        <w:rPr>
          <w:rFonts w:hint="eastAsia" w:ascii="Times New Roman" w:hAnsi="Times New Roman" w:eastAsia="仿宋_GB2312"/>
          <w:sz w:val="32"/>
          <w:szCs w:val="32"/>
          <w:highlight w:val="none"/>
        </w:rPr>
        <w:t>1、一般公共服务（类）群众团体事务（款）行政运行（项）。</w:t>
      </w:r>
    </w:p>
    <w:p w14:paraId="4CF43BAE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800" w:firstLineChars="250"/>
        <w:jc w:val="both"/>
        <w:textAlignment w:val="auto"/>
        <w:rPr>
          <w:rFonts w:hint="default" w:ascii="Times New Roman" w:hAnsi="Times New Roman" w:eastAsia="仿宋_GB2312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/>
          <w:sz w:val="32"/>
          <w:szCs w:val="32"/>
          <w:highlight w:val="none"/>
        </w:rPr>
        <w:t>年初预算为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223.80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万元，支出决算为220.32万元，完成年初预算的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98.45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%，决算数小于年初预算数的主要原因是：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社保等年初预算纳入此科目，实际下达至其他科目。</w:t>
      </w:r>
    </w:p>
    <w:p w14:paraId="2FBB5070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800" w:firstLineChars="250"/>
        <w:textAlignment w:val="auto"/>
        <w:rPr>
          <w:rFonts w:ascii="Times New Roman" w:hAnsi="Times New Roman" w:eastAsia="仿宋_GB2312"/>
          <w:sz w:val="32"/>
          <w:szCs w:val="32"/>
          <w:highlight w:val="none"/>
        </w:rPr>
      </w:pPr>
      <w:r>
        <w:rPr>
          <w:rFonts w:hint="eastAsia" w:ascii="Times New Roman" w:hAnsi="Times New Roman" w:eastAsia="仿宋_GB2312"/>
          <w:sz w:val="32"/>
          <w:szCs w:val="32"/>
          <w:highlight w:val="none"/>
        </w:rPr>
        <w:t>2、一般公共服务（类）群众团体事务（款）一般行政管理事务（项）。</w:t>
      </w:r>
    </w:p>
    <w:p w14:paraId="165E5052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800" w:firstLineChars="250"/>
        <w:jc w:val="both"/>
        <w:textAlignment w:val="auto"/>
        <w:rPr>
          <w:rFonts w:hint="default" w:ascii="Times New Roman" w:hAnsi="Times New Roman" w:eastAsia="仿宋_GB2312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/>
          <w:sz w:val="32"/>
          <w:szCs w:val="32"/>
          <w:highlight w:val="none"/>
        </w:rPr>
        <w:t>年初预算为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81.00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万元，支出决算为84.87万元，完成年初预算的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104.78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%，决算数大于年初预算数的主要原因是：湖南共青团百企联百村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项目未纳入年初预算。</w:t>
      </w:r>
    </w:p>
    <w:p w14:paraId="4E081166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800" w:firstLineChars="250"/>
        <w:textAlignment w:val="auto"/>
        <w:rPr>
          <w:rFonts w:hint="eastAsia" w:ascii="Times New Roman" w:hAnsi="Times New Roman" w:eastAsia="仿宋_GB2312"/>
          <w:sz w:val="32"/>
          <w:szCs w:val="32"/>
          <w:highlight w:val="none"/>
        </w:rPr>
      </w:pP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、一般公共服务（类）群众团体事务（款）其他群众团体事务（项）。</w:t>
      </w:r>
    </w:p>
    <w:p w14:paraId="10C76872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800" w:firstLineChars="250"/>
        <w:jc w:val="both"/>
        <w:textAlignment w:val="auto"/>
        <w:rPr>
          <w:rFonts w:hint="default" w:ascii="Times New Roman" w:hAnsi="Times New Roman" w:eastAsia="仿宋_GB2312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/>
          <w:sz w:val="32"/>
          <w:szCs w:val="32"/>
          <w:highlight w:val="none"/>
        </w:rPr>
        <w:t>年初预算为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12.00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万元，支出决算为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20.00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万元，完成年初预算的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166.67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%，决算数大于年初预算数的主要原因是：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年初预算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少先队研学活动经费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未使用，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“怀化市青年之家”项目经费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20万元未纳入预算。</w:t>
      </w:r>
    </w:p>
    <w:p w14:paraId="7D1F8713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800" w:firstLineChars="250"/>
        <w:textAlignment w:val="auto"/>
        <w:rPr>
          <w:rFonts w:hint="eastAsia" w:ascii="Times New Roman" w:hAnsi="Times New Roman" w:eastAsia="仿宋_GB2312"/>
          <w:sz w:val="32"/>
          <w:szCs w:val="32"/>
          <w:highlight w:val="none"/>
        </w:rPr>
      </w:pP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4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、一般公共服务（类）组织事务（款）其他组织事务（项）。</w:t>
      </w:r>
    </w:p>
    <w:p w14:paraId="7C8CAE53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800" w:firstLineChars="250"/>
        <w:jc w:val="both"/>
        <w:textAlignment w:val="auto"/>
        <w:rPr>
          <w:rFonts w:hint="default" w:ascii="Times New Roman" w:hAnsi="Times New Roman" w:eastAsia="仿宋_GB2312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/>
          <w:sz w:val="32"/>
          <w:szCs w:val="32"/>
          <w:highlight w:val="none"/>
        </w:rPr>
        <w:t>年初预算为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万元，支出决算为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11.20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万元，决算数大于年初预算数的主要原因是：人才资源开发专项资金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未纳入年初预算。</w:t>
      </w:r>
    </w:p>
    <w:p w14:paraId="4BEECC32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800" w:firstLineChars="250"/>
        <w:textAlignment w:val="auto"/>
        <w:rPr>
          <w:rFonts w:hint="eastAsia" w:ascii="Times New Roman" w:hAnsi="Times New Roman" w:eastAsia="仿宋_GB2312"/>
          <w:sz w:val="32"/>
          <w:szCs w:val="32"/>
          <w:highlight w:val="none"/>
        </w:rPr>
      </w:pP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、一般公共服务（类）其他一般公共服务（款）其他一般公共服务（项）。</w:t>
      </w:r>
    </w:p>
    <w:p w14:paraId="64C4156F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800" w:firstLineChars="250"/>
        <w:textAlignment w:val="auto"/>
        <w:rPr>
          <w:rFonts w:hint="default" w:ascii="Times New Roman" w:hAnsi="Times New Roman" w:eastAsia="仿宋_GB2312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/>
          <w:sz w:val="32"/>
          <w:szCs w:val="32"/>
          <w:highlight w:val="none"/>
        </w:rPr>
        <w:t>年初预算为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万元，支出决算为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41.43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万元，决算数大于年初预算数的主要原因是：2021年绩效奖金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  <w:t>、市县基层建设及网络运行经费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未纳入年初预算。</w:t>
      </w:r>
    </w:p>
    <w:p w14:paraId="363D3068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800" w:firstLineChars="250"/>
        <w:textAlignment w:val="auto"/>
        <w:rPr>
          <w:rFonts w:hint="eastAsia" w:ascii="Times New Roman" w:hAnsi="Times New Roman" w:eastAsia="仿宋_GB2312"/>
          <w:sz w:val="32"/>
          <w:szCs w:val="32"/>
          <w:highlight w:val="none"/>
        </w:rPr>
      </w:pP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6、社会保障和就业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（类）行政事业单位养老（款）机关事业单位基本养老保险缴费（项）。</w:t>
      </w:r>
    </w:p>
    <w:p w14:paraId="5F9BAFFC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800" w:firstLineChars="250"/>
        <w:textAlignment w:val="auto"/>
        <w:rPr>
          <w:rFonts w:hint="default" w:ascii="Times New Roman" w:hAnsi="Times New Roman" w:eastAsia="仿宋_GB2312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/>
          <w:sz w:val="32"/>
          <w:szCs w:val="32"/>
          <w:highlight w:val="none"/>
        </w:rPr>
        <w:t>年初预算为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万元，支出决算为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15.30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万元，决算数大于年初预算数的主要原因是：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年初预算纳入行政运行科目，实际下达至此科目。</w:t>
      </w:r>
    </w:p>
    <w:p w14:paraId="2FFB0D7C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800" w:firstLineChars="250"/>
        <w:textAlignment w:val="auto"/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7、社会保障和就业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（类）行政事业单位养老（款）其他行政事业单位养老（项）。</w:t>
      </w:r>
    </w:p>
    <w:p w14:paraId="7AFB4C23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800" w:firstLineChars="250"/>
        <w:jc w:val="both"/>
        <w:textAlignment w:val="auto"/>
        <w:rPr>
          <w:rFonts w:hint="default" w:ascii="Times New Roman" w:hAnsi="Times New Roman" w:eastAsia="仿宋_GB2312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/>
          <w:sz w:val="32"/>
          <w:szCs w:val="32"/>
          <w:highlight w:val="none"/>
        </w:rPr>
        <w:t>年初预算为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万元，支出决算为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1.50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万元，决算数大于年初预算数的主要原因是：离退休人员春节一次性生活补助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未纳入年初预算。</w:t>
      </w:r>
    </w:p>
    <w:p w14:paraId="164790AE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800" w:firstLineChars="250"/>
        <w:textAlignment w:val="auto"/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8、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卫生健康（类）公共卫生（款）突发公共卫生事件应急处理（项）。</w:t>
      </w:r>
    </w:p>
    <w:p w14:paraId="46F9F274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800" w:firstLineChars="250"/>
        <w:jc w:val="both"/>
        <w:textAlignment w:val="auto"/>
        <w:rPr>
          <w:rFonts w:hint="default" w:ascii="Times New Roman" w:hAnsi="Times New Roman" w:eastAsia="仿宋_GB2312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/>
          <w:sz w:val="32"/>
          <w:szCs w:val="32"/>
          <w:highlight w:val="none"/>
        </w:rPr>
        <w:t>年初预算为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万元，支出决算为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1.40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万元，决算数大于年初预算数的主要原因是：抗疫补助资金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未纳入年初预算。</w:t>
      </w:r>
    </w:p>
    <w:p w14:paraId="22F2FC99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800" w:firstLineChars="250"/>
        <w:textAlignment w:val="auto"/>
        <w:rPr>
          <w:rFonts w:hint="eastAsia" w:ascii="Times New Roman" w:hAnsi="Times New Roman" w:eastAsia="仿宋_GB2312"/>
          <w:sz w:val="32"/>
          <w:szCs w:val="32"/>
          <w:highlight w:val="none"/>
        </w:rPr>
      </w:pP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9、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卫生健康（类）行政事业单位医疗（款）行政单位医疗（项）。</w:t>
      </w:r>
    </w:p>
    <w:p w14:paraId="79CAC054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800" w:firstLineChars="250"/>
        <w:jc w:val="both"/>
        <w:textAlignment w:val="auto"/>
        <w:rPr>
          <w:rFonts w:hint="default" w:ascii="Times New Roman" w:hAnsi="Times New Roman" w:eastAsia="仿宋_GB2312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/>
          <w:sz w:val="32"/>
          <w:szCs w:val="32"/>
          <w:highlight w:val="none"/>
        </w:rPr>
        <w:t>年初预算为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万元，支出决算为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7.65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万元，决算数大于年初预算数的主要原因是：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年初预算纳入行政运行科目，实际下达至此科目。</w:t>
      </w:r>
    </w:p>
    <w:p w14:paraId="43FA0936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800" w:firstLineChars="250"/>
        <w:textAlignment w:val="auto"/>
        <w:rPr>
          <w:rFonts w:hint="eastAsia" w:ascii="Times New Roman" w:hAnsi="Times New Roman" w:eastAsia="仿宋_GB2312"/>
          <w:sz w:val="32"/>
          <w:szCs w:val="32"/>
          <w:highlight w:val="none"/>
        </w:rPr>
      </w:pP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10、交通运输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（类）其他交通运输（款）其他交通运输（项）。</w:t>
      </w:r>
    </w:p>
    <w:p w14:paraId="103669A6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800" w:firstLineChars="250"/>
        <w:jc w:val="both"/>
        <w:textAlignment w:val="auto"/>
        <w:rPr>
          <w:rFonts w:hint="default" w:ascii="Times New Roman" w:hAnsi="Times New Roman" w:eastAsia="仿宋_GB2312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/>
          <w:sz w:val="32"/>
          <w:szCs w:val="32"/>
          <w:highlight w:val="none"/>
        </w:rPr>
        <w:t>年初预算为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万元，支出决算为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5.00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万元，决算数大于年初预算数的主要原因是：青年志愿者服务暖冬行动春运项目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未纳入年初预算。</w:t>
      </w:r>
    </w:p>
    <w:p w14:paraId="5D33E226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highlight w:val="none"/>
        </w:rPr>
        <w:t>六、一般公共预算财政拨款基本支出决算情况说明</w:t>
      </w:r>
    </w:p>
    <w:p w14:paraId="6479566C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/>
          <w:sz w:val="32"/>
          <w:szCs w:val="32"/>
          <w:highlight w:val="none"/>
        </w:rPr>
      </w:pPr>
      <w:r>
        <w:rPr>
          <w:rFonts w:hint="eastAsia" w:ascii="Times New Roman" w:hAnsi="Times New Roman" w:eastAsia="仿宋_GB2312"/>
          <w:sz w:val="32"/>
          <w:szCs w:val="32"/>
          <w:highlight w:val="none"/>
        </w:rPr>
        <w:t>202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年度财政拨款基本支出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234.55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万元，其中：</w:t>
      </w:r>
    </w:p>
    <w:p w14:paraId="30AF50F9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/>
          <w:b/>
          <w:bCs/>
          <w:sz w:val="32"/>
          <w:szCs w:val="32"/>
          <w:highlight w:val="none"/>
        </w:rPr>
        <w:t>人员经费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203.55万元，占基本支出的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86.78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%,主要包括基本工资、津贴补贴、奖金、机关事业单位基本养老保险缴费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  <w:t>、职工基本医疗保险缴费、其他社会保障缴费、住房公积金、其他工资福利支出、生活补助、其他对个人和家庭的补助。</w:t>
      </w:r>
    </w:p>
    <w:p w14:paraId="05B4275B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/>
          <w:b/>
          <w:sz w:val="32"/>
          <w:szCs w:val="32"/>
          <w:highlight w:val="none"/>
        </w:rPr>
      </w:pPr>
      <w:r>
        <w:rPr>
          <w:rFonts w:hint="eastAsia" w:ascii="Times New Roman" w:hAnsi="Times New Roman" w:eastAsia="仿宋_GB2312"/>
          <w:b/>
          <w:bCs/>
          <w:sz w:val="32"/>
          <w:szCs w:val="32"/>
          <w:highlight w:val="none"/>
        </w:rPr>
        <w:t>公用经费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31.00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万元，占基本支出的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13.22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%，主要包括办公费、电费、邮电费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  <w:t>、差旅费、维修（护）费、公务接待费、劳务费、委托业务费、工会经费、福利费、公务用车运行维护费、其他交通费用、其他商品和服务支出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。</w:t>
      </w:r>
    </w:p>
    <w:p w14:paraId="3BBF6BB5">
      <w:pPr>
        <w:pStyle w:val="11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highlight w:val="none"/>
        </w:rPr>
        <w:t>财政拨款三公经费支出决算情况说明</w:t>
      </w:r>
    </w:p>
    <w:p w14:paraId="03095BE1">
      <w:pPr>
        <w:pStyle w:val="11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楷体" w:hAnsi="楷体" w:eastAsia="楷体" w:cs="楷体"/>
          <w:b/>
          <w:bCs w:val="0"/>
          <w:sz w:val="32"/>
          <w:szCs w:val="32"/>
          <w:highlight w:val="none"/>
        </w:rPr>
      </w:pPr>
      <w:r>
        <w:rPr>
          <w:rFonts w:hint="eastAsia" w:ascii="楷体" w:hAnsi="楷体" w:eastAsia="楷体" w:cs="楷体"/>
          <w:b/>
          <w:bCs w:val="0"/>
          <w:sz w:val="32"/>
          <w:szCs w:val="32"/>
          <w:highlight w:val="none"/>
        </w:rPr>
        <w:t>（一）“三公”经费财政拨款支出决算总体情况说明</w:t>
      </w:r>
    </w:p>
    <w:p w14:paraId="3F20F0CF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800" w:firstLineChars="250"/>
        <w:jc w:val="both"/>
        <w:textAlignment w:val="auto"/>
        <w:rPr>
          <w:rFonts w:ascii="Times New Roman" w:hAnsi="Times New Roman" w:eastAsia="仿宋_GB2312"/>
          <w:sz w:val="32"/>
          <w:szCs w:val="32"/>
          <w:highlight w:val="none"/>
        </w:rPr>
      </w:pPr>
      <w:r>
        <w:rPr>
          <w:rFonts w:hint="eastAsia" w:ascii="Times New Roman" w:hAnsi="Times New Roman" w:eastAsia="仿宋_GB2312"/>
          <w:sz w:val="32"/>
          <w:szCs w:val="32"/>
          <w:highlight w:val="none"/>
        </w:rPr>
        <w:t>“三公”经费财政拨款支出预算为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16.00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万元，支出决算为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2.38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万元，完成预算的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14.88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%，决算数小于预算数的主要原因是</w:t>
      </w:r>
      <w:r>
        <w:rPr>
          <w:rFonts w:hint="eastAsia" w:ascii="仿宋" w:hAnsi="仿宋" w:eastAsia="仿宋"/>
          <w:sz w:val="32"/>
          <w:szCs w:val="32"/>
          <w:highlight w:val="none"/>
        </w:rPr>
        <w:t>落实过“紧日子”要求，严格执行开支标准</w:t>
      </w:r>
      <w:r>
        <w:rPr>
          <w:rFonts w:hint="eastAsia" w:ascii="仿宋" w:hAnsi="仿宋" w:eastAsia="仿宋"/>
          <w:sz w:val="32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厉行节约；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与上年相比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增加0.43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万元，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增长22.05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%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增加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的主要原因是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对接业务工作，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其中：</w:t>
      </w:r>
    </w:p>
    <w:p w14:paraId="746F8BFB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800" w:firstLineChars="250"/>
        <w:jc w:val="both"/>
        <w:textAlignment w:val="auto"/>
        <w:rPr>
          <w:rFonts w:ascii="Times New Roman" w:hAnsi="Times New Roman" w:eastAsia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因公出国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境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费支出预算为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万元，支出决算为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万元，预算决算金额均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为0万元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，无法计算完成百分比，主要原因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是单位未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因公出国（境），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与上年相比持平均为0万元，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无法计算完成百分比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主要原因是单位未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因公出国（境）。</w:t>
      </w:r>
    </w:p>
    <w:p w14:paraId="2A83BB6F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800" w:firstLineChars="250"/>
        <w:jc w:val="both"/>
        <w:textAlignment w:val="auto"/>
        <w:rPr>
          <w:rFonts w:ascii="Times New Roman" w:hAnsi="Times New Roman" w:eastAsia="仿宋_GB2312"/>
          <w:sz w:val="32"/>
          <w:szCs w:val="32"/>
          <w:highlight w:val="none"/>
        </w:rPr>
      </w:pPr>
      <w:r>
        <w:rPr>
          <w:rFonts w:hint="eastAsia" w:ascii="Times New Roman" w:hAnsi="Times New Roman" w:eastAsia="仿宋_GB2312"/>
          <w:sz w:val="32"/>
          <w:szCs w:val="32"/>
          <w:highlight w:val="none"/>
        </w:rPr>
        <w:t>公务接待费支出预算为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6.85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万元，支出决算为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0.47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万元，完成预算的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6.86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%，决算数小于预算数的主要原因是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压减经费开支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，与上年相比增加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0.18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万元，增长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62.07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%,增长的主要原因是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对接业务工作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。</w:t>
      </w:r>
    </w:p>
    <w:p w14:paraId="25795303">
      <w:pPr>
        <w:pStyle w:val="11"/>
        <w:spacing w:line="600" w:lineRule="exact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公务用车购置费支出预算为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万元，支出决算为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万元，预算决算金额均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为0万元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，无法计算完成百分比，主要原因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是未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购置公务用车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与上年相比持平均为0万元，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无法计算完成百分比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主要原因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是未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购置公务用车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。</w:t>
      </w:r>
    </w:p>
    <w:p w14:paraId="076D7EFA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/>
          <w:sz w:val="32"/>
          <w:szCs w:val="32"/>
          <w:highlight w:val="none"/>
        </w:rPr>
      </w:pPr>
      <w:r>
        <w:rPr>
          <w:rFonts w:hint="eastAsia" w:ascii="Times New Roman" w:hAnsi="Times New Roman" w:eastAsia="仿宋_GB2312"/>
          <w:sz w:val="32"/>
          <w:szCs w:val="32"/>
          <w:highlight w:val="none"/>
        </w:rPr>
        <w:t>公务用车运行维护费支出预算为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9.15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万元，支出决算为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1.91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万元，完成预算的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20.87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%，决算数小于预算数的主要原因是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压减经费开支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，与上年相比增加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0.25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万元，增长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15.06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%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增长的主要原因是车辆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使用年限变长，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保险费、车辆维护维修费支出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增加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。</w:t>
      </w:r>
    </w:p>
    <w:p w14:paraId="797187EE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楷体" w:hAnsi="楷体" w:eastAsia="楷体" w:cs="楷体"/>
          <w:b/>
          <w:bCs w:val="0"/>
          <w:sz w:val="32"/>
          <w:szCs w:val="32"/>
          <w:highlight w:val="none"/>
        </w:rPr>
      </w:pPr>
      <w:r>
        <w:rPr>
          <w:rFonts w:hint="eastAsia" w:ascii="楷体" w:hAnsi="楷体" w:eastAsia="楷体" w:cs="楷体"/>
          <w:b/>
          <w:bCs w:val="0"/>
          <w:sz w:val="32"/>
          <w:szCs w:val="32"/>
          <w:highlight w:val="none"/>
        </w:rPr>
        <w:t>（二）“三公”经费财政拨款支出决算具体情况说明</w:t>
      </w:r>
    </w:p>
    <w:p w14:paraId="46186707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ascii="Times New Roman" w:hAnsi="Times New Roman" w:eastAsia="仿宋_GB2312"/>
          <w:sz w:val="32"/>
          <w:szCs w:val="32"/>
          <w:highlight w:val="none"/>
        </w:rPr>
      </w:pPr>
      <w:r>
        <w:rPr>
          <w:rFonts w:hint="eastAsia" w:ascii="Times New Roman" w:hAnsi="Times New Roman" w:eastAsia="仿宋_GB2312"/>
          <w:sz w:val="32"/>
          <w:szCs w:val="32"/>
          <w:highlight w:val="none"/>
        </w:rPr>
        <w:t>202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年度“三公”经费财政拨款支出决算中，公务接待费支出决算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0.47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万元，占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19.75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%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因公出国（境）费支出决算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万元，公务用车购置费及运行维护费支出决算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1.91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万元，占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80.25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%。其中：</w:t>
      </w:r>
    </w:p>
    <w:p w14:paraId="04839361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/>
          <w:sz w:val="32"/>
          <w:szCs w:val="32"/>
          <w:highlight w:val="none"/>
        </w:rPr>
      </w:pP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1、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因公出国（境）费支出决算为0万元，全年安排因公出国（境）团组0个，累计</w:t>
      </w:r>
      <w:bookmarkStart w:id="0" w:name="THERR_YGCGJFY_TZRS"/>
      <w:r>
        <w:rPr>
          <w:rFonts w:hint="eastAsia" w:ascii="Times New Roman" w:hAnsi="Times New Roman" w:eastAsia="仿宋_GB2312"/>
          <w:sz w:val="32"/>
          <w:szCs w:val="32"/>
          <w:highlight w:val="none"/>
        </w:rPr>
        <w:t>0</w:t>
      </w:r>
      <w:bookmarkEnd w:id="0"/>
      <w:r>
        <w:rPr>
          <w:rFonts w:hint="eastAsia" w:ascii="Times New Roman" w:hAnsi="Times New Roman" w:eastAsia="仿宋_GB2312"/>
          <w:sz w:val="32"/>
          <w:szCs w:val="32"/>
          <w:highlight w:val="none"/>
        </w:rPr>
        <w:t>人次，主要是</w:t>
      </w:r>
      <w:bookmarkStart w:id="1" w:name="THERR_YGCGJFY_ZYYY"/>
      <w:r>
        <w:rPr>
          <w:rFonts w:hint="eastAsia" w:ascii="Times New Roman" w:hAnsi="Times New Roman" w:eastAsia="仿宋_GB2312"/>
          <w:sz w:val="32"/>
          <w:szCs w:val="32"/>
          <w:highlight w:val="none"/>
        </w:rPr>
        <w:t>2022年我单位没有因公出国（境）费支出</w:t>
      </w:r>
      <w:bookmarkEnd w:id="1"/>
      <w:bookmarkStart w:id="2" w:name="END_THERR_YGCGJFY_AMT"/>
      <w:bookmarkEnd w:id="2"/>
      <w:r>
        <w:rPr>
          <w:rFonts w:hint="eastAsia" w:ascii="Times New Roman" w:hAnsi="Times New Roman" w:eastAsia="仿宋_GB2312"/>
          <w:sz w:val="32"/>
          <w:szCs w:val="32"/>
          <w:highlight w:val="none"/>
        </w:rPr>
        <w:t>。</w:t>
      </w:r>
    </w:p>
    <w:p w14:paraId="6B420929">
      <w:pPr>
        <w:pStyle w:val="11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ascii="Times New Roman" w:hAnsi="Times New Roman" w:eastAsia="仿宋_GB2312"/>
          <w:sz w:val="32"/>
          <w:szCs w:val="32"/>
          <w:highlight w:val="none"/>
        </w:rPr>
      </w:pP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2、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公务接待费支出决算为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0.47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万元，全年共接待来访团组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个、来宾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45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人次，主要是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调研活动、对接工作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发生的接待支出。</w:t>
      </w:r>
    </w:p>
    <w:p w14:paraId="5D82CB39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楷体" w:hAnsi="楷体" w:eastAsia="楷体" w:cs="楷体"/>
          <w:b/>
          <w:bCs/>
          <w:i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/>
          <w:sz w:val="32"/>
          <w:szCs w:val="32"/>
          <w:highlight w:val="none"/>
        </w:rPr>
        <w:t>3、公务用车购置费及运行维护费支出决算为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1.91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万元，其中：公务用车购置费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万元，中国共产主义青年团怀化市委员会单位本级更新公务用车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辆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公务用车运行维护费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1.91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万元，</w:t>
      </w:r>
      <w:r>
        <w:rPr>
          <w:rFonts w:hint="eastAsia" w:ascii="Times New Roman" w:hAnsi="Times New Roman" w:eastAsia="仿宋_GB2312" w:cs="黑体"/>
          <w:color w:val="000000"/>
          <w:kern w:val="0"/>
          <w:sz w:val="32"/>
          <w:szCs w:val="32"/>
          <w:highlight w:val="none"/>
          <w:lang w:val="en-US" w:eastAsia="zh-CN" w:bidi="ar-SA"/>
        </w:rPr>
        <w:t>主要是车辆保险费、车辆维护维修费支出支出，截止2022年12月31日，我单位开支财政拨款的公务用车保有量为1辆。</w:t>
      </w:r>
    </w:p>
    <w:p w14:paraId="2E9A3450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highlight w:val="none"/>
        </w:rPr>
        <w:t>八、政府性基金预算收入支出决算情况</w:t>
      </w:r>
    </w:p>
    <w:p w14:paraId="01EC719E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textAlignment w:val="auto"/>
        <w:rPr>
          <w:rFonts w:hint="eastAsia" w:ascii="楷体" w:hAnsi="楷体" w:eastAsia="仿宋_GB2312" w:cs="楷体"/>
          <w:b/>
          <w:bCs/>
          <w:i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/>
          <w:sz w:val="32"/>
          <w:szCs w:val="32"/>
          <w:highlight w:val="none"/>
        </w:rPr>
        <w:t xml:space="preserve">    </w:t>
      </w:r>
      <w:r>
        <w:rPr>
          <w:rFonts w:hint="eastAsia" w:ascii="仿宋" w:hAnsi="仿宋" w:eastAsia="仿宋"/>
          <w:sz w:val="32"/>
          <w:szCs w:val="32"/>
          <w:highlight w:val="none"/>
        </w:rPr>
        <w:t>2022年度本单位无政府性基金收支。</w:t>
      </w:r>
    </w:p>
    <w:p w14:paraId="28399F1B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/>
          <w:b/>
          <w:bCs/>
          <w:sz w:val="32"/>
          <w:szCs w:val="32"/>
          <w:highlight w:val="none"/>
        </w:rPr>
        <w:t>九、国有资本经营预算</w:t>
      </w:r>
      <w:r>
        <w:rPr>
          <w:rFonts w:hint="eastAsia" w:ascii="仿宋" w:hAnsi="仿宋" w:eastAsia="仿宋" w:cs="仿宋_GB2312"/>
          <w:b/>
          <w:bCs/>
          <w:sz w:val="32"/>
          <w:szCs w:val="32"/>
          <w:highlight w:val="none"/>
        </w:rPr>
        <w:t>财政拨款支出</w:t>
      </w:r>
      <w:r>
        <w:rPr>
          <w:rFonts w:hint="eastAsia" w:ascii="仿宋" w:hAnsi="仿宋" w:eastAsia="仿宋"/>
          <w:b/>
          <w:bCs/>
          <w:sz w:val="32"/>
          <w:szCs w:val="32"/>
          <w:highlight w:val="none"/>
        </w:rPr>
        <w:t>决算情况</w:t>
      </w:r>
    </w:p>
    <w:p w14:paraId="08AAB50C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/>
          <w:sz w:val="32"/>
          <w:szCs w:val="32"/>
          <w:highlight w:val="none"/>
        </w:rPr>
      </w:pPr>
      <w:r>
        <w:rPr>
          <w:rFonts w:hint="eastAsia" w:ascii="Times New Roman" w:hAnsi="Times New Roman" w:eastAsia="仿宋_GB2312"/>
          <w:sz w:val="32"/>
          <w:szCs w:val="32"/>
          <w:highlight w:val="none"/>
        </w:rPr>
        <w:t>202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年度本单位无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国有资本经营预算财政拨款支出。</w:t>
      </w:r>
    </w:p>
    <w:p w14:paraId="25E1513B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ascii="Times New Roman" w:hAnsi="Times New Roman" w:eastAsia="仿宋_GB2312"/>
          <w:b/>
          <w:sz w:val="32"/>
          <w:szCs w:val="32"/>
          <w:highlight w:val="none"/>
        </w:rPr>
      </w:pPr>
      <w:r>
        <w:rPr>
          <w:rFonts w:hint="eastAsia" w:ascii="Times New Roman" w:hAnsi="Times New Roman" w:eastAsia="仿宋_GB2312"/>
          <w:b/>
          <w:sz w:val="32"/>
          <w:szCs w:val="32"/>
          <w:highlight w:val="none"/>
          <w:lang w:val="en-US" w:eastAsia="zh-CN"/>
        </w:rPr>
        <w:t>十</w:t>
      </w:r>
      <w:r>
        <w:rPr>
          <w:rFonts w:hint="eastAsia" w:ascii="Times New Roman" w:hAnsi="Times New Roman" w:eastAsia="仿宋_GB2312"/>
          <w:b/>
          <w:sz w:val="32"/>
          <w:szCs w:val="32"/>
          <w:highlight w:val="none"/>
        </w:rPr>
        <w:t>、关于机关运行经费支出说明</w:t>
      </w:r>
    </w:p>
    <w:p w14:paraId="7DD4B9A6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ascii="Times New Roman" w:hAnsi="Times New Roman" w:eastAsia="仿宋_GB2312"/>
          <w:sz w:val="32"/>
          <w:szCs w:val="32"/>
          <w:highlight w:val="none"/>
        </w:rPr>
      </w:pPr>
      <w:r>
        <w:rPr>
          <w:rFonts w:hint="eastAsia" w:ascii="Times New Roman" w:hAnsi="Times New Roman" w:eastAsia="仿宋_GB2312"/>
          <w:sz w:val="32"/>
          <w:szCs w:val="32"/>
          <w:highlight w:val="none"/>
        </w:rPr>
        <w:t>本部门202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年度机关运行经费支出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31.00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万元，比上年决算数减少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37.75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万元，降低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54.91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%。主要原因是：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本年度专项业务经费纳入项目支出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。</w:t>
      </w:r>
    </w:p>
    <w:p w14:paraId="5E836FE2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highlight w:val="none"/>
        </w:rPr>
        <w:t>十</w:t>
      </w:r>
      <w:r>
        <w:rPr>
          <w:rFonts w:hint="eastAsia" w:hAnsi="黑体" w:cs="黑体"/>
          <w:b w:val="0"/>
          <w:bCs/>
          <w:sz w:val="32"/>
          <w:szCs w:val="32"/>
          <w:highlight w:val="none"/>
          <w:lang w:val="en-US" w:eastAsia="zh-CN"/>
        </w:rPr>
        <w:t>一</w:t>
      </w:r>
      <w:r>
        <w:rPr>
          <w:rFonts w:hint="eastAsia" w:ascii="黑体" w:hAnsi="黑体" w:eastAsia="黑体" w:cs="黑体"/>
          <w:b w:val="0"/>
          <w:bCs/>
          <w:sz w:val="32"/>
          <w:szCs w:val="32"/>
          <w:highlight w:val="none"/>
        </w:rPr>
        <w:t>、一般性支出情况说明</w:t>
      </w:r>
    </w:p>
    <w:p w14:paraId="658AD9B2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/>
          <w:sz w:val="32"/>
          <w:szCs w:val="32"/>
          <w:highlight w:val="none"/>
        </w:rPr>
      </w:pPr>
      <w:r>
        <w:rPr>
          <w:rFonts w:hint="eastAsia" w:ascii="Times New Roman" w:hAnsi="Times New Roman" w:eastAsia="仿宋_GB2312"/>
          <w:sz w:val="32"/>
          <w:szCs w:val="32"/>
          <w:highlight w:val="none"/>
        </w:rPr>
        <w:t>202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年本部门开支会议费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0.88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万元，用于召开共青团怀化市委五届六次全会和代理会议，人数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139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人，内容为共青团怀化市委五届六次全会和代理会议；开支会议费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0.16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万元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用于召开集中观看中央庆祝建团100周年大会会议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人数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39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人，内容为集中观看中央庆祝建团100周年大会；开支会议费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0.21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万元，用于召开青联常委会会议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人数38人，内容为召开青联常委会；开支会议费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0.30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万元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用于参加湖南省第十六次团代会会议费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人数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16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人，内容为参加湖南省第十六次团代会；开支会议费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0.34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万元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用于参加中长期发展规划会议费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人数71人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内容为参加中长期发展规划会议；开支会议费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0.50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万元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用于召开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  <w:t>共青团五届五次全委扩大会议，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人数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64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人，内容为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  <w:t>共青团五届五次全委扩大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会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；开支会议费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0.10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万元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用于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召开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共青团与人大代表见面会议费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人数38人，内容为共青团与人大代表见面；开支会议费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0.17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万元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用于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召开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四届九次全委扩大会议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人数38人，内容为四届九次全委扩大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会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；开支会议费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0.56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万元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用于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召开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五四运动100周年座谈会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人数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25人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内容为五四运动100周年座谈会；开支会议费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0.08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万元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用于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召开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共青团学校战线工作推进会议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人数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30人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内容为共青团学校战线工作推进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会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；开支会议费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0.11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万元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用于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召开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2021年怀化市“山果行动”计划座谈会议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人数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27人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内容为2021年怀化市“山果行动”计划座谈会；开支会议费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0.11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万元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用于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召开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民主生活会议费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人数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12人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内容为民主生活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会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；开支会议费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0.11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万元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用于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召开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2020年山果座谈会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人数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20人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内容为2020年山果座谈会；开支会议费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0.11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万元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用于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召开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2019年山果行动会议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人数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24人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内容为2019年山果行动会议；开支会议费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0.17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万元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用于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召开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市少工委三届一次会议费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人数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58人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内容为市少工委三届一次会议；开支会议费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0.20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万元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用于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召开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青年发展规划和落实少先队工作会议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人数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54人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内容为青年发展规划和落实少先队工作会；开支会议费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0.30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万元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用于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召开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青联常委会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人数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34人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内容为青联常委会；开支会议费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0.31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万元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用于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召开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省团代表在怀集中会议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人数20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人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内容为省团代表在怀集中会议；开支会议费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0.31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万元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用于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召开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宣传工作推进会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人数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40人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内容为宣传工作推进会；开支会议费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0.64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万元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用于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召开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五届二次全委扩大会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人数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41人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内容为五届二次全委扩大会；开支会议费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0.40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万元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用于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召开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全市共青团重点工作推进会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人数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40人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内容为全市共青团重点工作推进会；开支会议费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0.40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万元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用于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参加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省少代会人员会议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人数21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人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内容为省少代会人员会议；开支会议费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3.03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万元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用于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参加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少儿才艺大赛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人数1800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人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内容为少儿才艺大赛；开支会议费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1.05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万元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用于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召开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五届四次全委扩大会议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人数200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人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内容为五届四次全委扩大会；开支会议费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0.71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万元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用于召开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会议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人数120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人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内容为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召开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会议；开支会议费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0.12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万元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用于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召开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年中述职评议会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人数30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人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内容为年中述职评议会；开支会议费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0.16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万元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用于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召开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怀青农村座谈会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人数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9人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内容为怀青农村座谈会；开支会议费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0.17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万元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用于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召开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社区青春行动中期推进会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人数23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人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内容为社区青春行动中期推进会；开支会议费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0.23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万元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用于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召开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21年年中述职会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人数30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人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内容为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召开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21年年中述职会；开支会议费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0.24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万元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用于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召开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年度述职评议会会议费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人数35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人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内容为年度述职评议会；开支会议费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0.32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万元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用于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召开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村居公益人座谈会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人数20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人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内容为村居公益人座谈会；开支会议费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0.36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万元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用于召开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新媒体培训和读书班培训会议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人数27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人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内容为新媒体培训和读书班培训会议；开支培训费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0.21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万元，用于开展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事业单位人员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培训，人数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7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人，内容为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事业单位人员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培训；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未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举办节庆、晚会、论坛、赛事活动。</w:t>
      </w:r>
    </w:p>
    <w:p w14:paraId="09991B8F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highlight w:val="none"/>
        </w:rPr>
        <w:t>十</w:t>
      </w:r>
      <w:r>
        <w:rPr>
          <w:rFonts w:hint="eastAsia" w:hAnsi="黑体" w:cs="黑体"/>
          <w:b w:val="0"/>
          <w:bCs/>
          <w:sz w:val="32"/>
          <w:szCs w:val="32"/>
          <w:highlight w:val="none"/>
          <w:lang w:val="en-US" w:eastAsia="zh-CN"/>
        </w:rPr>
        <w:t>二</w:t>
      </w:r>
      <w:r>
        <w:rPr>
          <w:rFonts w:hint="eastAsia" w:ascii="黑体" w:hAnsi="黑体" w:eastAsia="黑体" w:cs="黑体"/>
          <w:b w:val="0"/>
          <w:bCs/>
          <w:sz w:val="32"/>
          <w:szCs w:val="32"/>
          <w:highlight w:val="none"/>
        </w:rPr>
        <w:t>、关于政府采购支出说明</w:t>
      </w:r>
    </w:p>
    <w:p w14:paraId="28067BE5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auto"/>
        <w:ind w:firstLine="640" w:firstLineChars="200"/>
        <w:textAlignment w:val="auto"/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/>
          <w:sz w:val="32"/>
          <w:szCs w:val="32"/>
          <w:highlight w:val="none"/>
        </w:rPr>
        <w:t>本部门202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年度政府采购支出总额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93.79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万元，其中：政府采购货物支出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27.56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万元、政府采购工程支出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7.84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万元、政府采购服务支出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58.38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万元。授予中小企业合同金额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93.79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万元，占政府采购支出总额的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100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%，其中：授予小微企业合同金额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万元，</w:t>
      </w:r>
      <w:r>
        <w:rPr>
          <w:rFonts w:hint="eastAsia" w:ascii="仿宋_GB2312" w:hAnsi="仿宋_GB2312" w:eastAsia="仿宋_GB2312"/>
          <w:sz w:val="32"/>
          <w:szCs w:val="32"/>
          <w:highlight w:val="none"/>
          <w:lang w:val="en-US" w:eastAsia="zh-CN"/>
        </w:rPr>
        <w:t>无法计算授予</w:t>
      </w:r>
      <w:r>
        <w:rPr>
          <w:rFonts w:hint="eastAsia" w:ascii="仿宋_GB2312" w:hAnsi="仿宋_GB2312" w:eastAsia="仿宋_GB2312"/>
          <w:sz w:val="32"/>
          <w:szCs w:val="32"/>
          <w:highlight w:val="none"/>
        </w:rPr>
        <w:t>小微企业</w:t>
      </w:r>
      <w:r>
        <w:rPr>
          <w:rFonts w:hint="eastAsia" w:ascii="仿宋_GB2312" w:hAnsi="仿宋_GB2312" w:eastAsia="仿宋_GB2312"/>
          <w:sz w:val="32"/>
          <w:szCs w:val="32"/>
          <w:highlight w:val="none"/>
          <w:lang w:val="en-US" w:eastAsia="zh-CN"/>
        </w:rPr>
        <w:t>合同金额占政府采购支出总额的百分比</w:t>
      </w:r>
      <w:r>
        <w:rPr>
          <w:rFonts w:hint="eastAsia" w:ascii="仿宋_GB2312" w:hAnsi="仿宋_GB2312" w:eastAsia="仿宋_GB2312"/>
          <w:sz w:val="32"/>
          <w:szCs w:val="32"/>
          <w:highlight w:val="none"/>
        </w:rPr>
        <w:t>。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货物采购授予中小企业合同金额占货物支出金额的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100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%，工程采购授予中小企业合同金额占工程支出金额的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100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%，服务采购授予中小企业合同金额占服务支出金额的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100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%。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 xml:space="preserve">      </w:t>
      </w:r>
    </w:p>
    <w:p w14:paraId="049CA60F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auto"/>
        <w:ind w:firstLine="0" w:firstLineChars="0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  <w:highlight w:val="none"/>
        </w:rPr>
      </w:pP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 xml:space="preserve">   </w:t>
      </w:r>
      <w:r>
        <w:rPr>
          <w:rFonts w:hint="eastAsia" w:ascii="黑体" w:hAnsi="黑体" w:eastAsia="黑体" w:cs="黑体"/>
          <w:b w:val="0"/>
          <w:bCs/>
          <w:sz w:val="32"/>
          <w:szCs w:val="32"/>
          <w:highlight w:val="none"/>
        </w:rPr>
        <w:t>十</w:t>
      </w:r>
      <w:r>
        <w:rPr>
          <w:rFonts w:hint="eastAsia" w:hAnsi="黑体" w:cs="黑体"/>
          <w:b w:val="0"/>
          <w:bCs/>
          <w:sz w:val="32"/>
          <w:szCs w:val="32"/>
          <w:highlight w:val="none"/>
          <w:lang w:val="en-US" w:eastAsia="zh-CN"/>
        </w:rPr>
        <w:t>三</w:t>
      </w:r>
      <w:r>
        <w:rPr>
          <w:rFonts w:hint="eastAsia" w:ascii="黑体" w:hAnsi="黑体" w:eastAsia="黑体" w:cs="黑体"/>
          <w:b w:val="0"/>
          <w:bCs/>
          <w:sz w:val="32"/>
          <w:szCs w:val="32"/>
          <w:highlight w:val="none"/>
        </w:rPr>
        <w:t>、关于国有资产占用情况说明</w:t>
      </w:r>
    </w:p>
    <w:p w14:paraId="0726C356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ascii="Times New Roman" w:hAnsi="Times New Roman" w:eastAsia="仿宋_GB2312"/>
          <w:sz w:val="32"/>
          <w:szCs w:val="32"/>
          <w:highlight w:val="none"/>
        </w:rPr>
      </w:pPr>
      <w:r>
        <w:rPr>
          <w:rFonts w:hint="eastAsia" w:ascii="Times New Roman" w:hAnsi="Times New Roman" w:eastAsia="仿宋_GB2312"/>
          <w:sz w:val="32"/>
          <w:szCs w:val="32"/>
          <w:highlight w:val="none"/>
        </w:rPr>
        <w:t>截至202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年12月31日，本单位共有车辆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辆，其中，主要领导干部用车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辆，机要通信用车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辆、应急保障用车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辆、执法执勤用车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辆、特种专业技术用车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辆、其他用车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辆，其他用车主要是用于公务用车；单位价值50万元以上通用设备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台（套）；单位价值100万元以上专用设备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台（套）。</w:t>
      </w:r>
    </w:p>
    <w:p w14:paraId="315F034C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highlight w:val="none"/>
        </w:rPr>
        <w:t>十</w:t>
      </w:r>
      <w:r>
        <w:rPr>
          <w:rFonts w:hint="eastAsia" w:hAnsi="黑体" w:cs="黑体"/>
          <w:b w:val="0"/>
          <w:bCs/>
          <w:sz w:val="32"/>
          <w:szCs w:val="32"/>
          <w:highlight w:val="none"/>
          <w:lang w:val="en-US" w:eastAsia="zh-CN"/>
        </w:rPr>
        <w:t>四</w:t>
      </w:r>
      <w:r>
        <w:rPr>
          <w:rFonts w:hint="eastAsia" w:ascii="黑体" w:hAnsi="黑体" w:eastAsia="黑体" w:cs="黑体"/>
          <w:b w:val="0"/>
          <w:bCs/>
          <w:sz w:val="32"/>
          <w:szCs w:val="32"/>
          <w:highlight w:val="none"/>
        </w:rPr>
        <w:t>、关于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202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黑体" w:hAnsi="黑体" w:eastAsia="黑体" w:cs="黑体"/>
          <w:b w:val="0"/>
          <w:bCs/>
          <w:sz w:val="32"/>
          <w:szCs w:val="32"/>
          <w:highlight w:val="none"/>
        </w:rPr>
        <w:t>年度预算绩效情况的说明</w:t>
      </w:r>
    </w:p>
    <w:p w14:paraId="729F42BE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jc w:val="left"/>
        <w:textAlignment w:val="auto"/>
        <w:rPr>
          <w:rFonts w:hint="eastAsia" w:ascii="楷体" w:hAnsi="楷体" w:eastAsia="楷体" w:cs="楷体"/>
          <w:b/>
          <w:bCs/>
          <w:sz w:val="32"/>
          <w:szCs w:val="32"/>
          <w:highlight w:val="none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highlight w:val="none"/>
          <w:lang w:eastAsia="zh-CN"/>
        </w:rPr>
        <w:t>（一）</w:t>
      </w:r>
      <w:r>
        <w:rPr>
          <w:rFonts w:hint="eastAsia" w:ascii="楷体" w:hAnsi="楷体" w:eastAsia="楷体" w:cs="楷体"/>
          <w:b/>
          <w:bCs/>
          <w:sz w:val="32"/>
          <w:szCs w:val="32"/>
          <w:highlight w:val="none"/>
        </w:rPr>
        <w:t>部门整体支出绩效情况</w:t>
      </w:r>
    </w:p>
    <w:p w14:paraId="7A0248B1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 w:firstLine="640"/>
        <w:jc w:val="left"/>
        <w:rPr>
          <w:rFonts w:hint="default" w:ascii="Times New Roman" w:hAnsi="Times New Roman" w:eastAsia="仿宋_GB2312" w:cs="黑体"/>
          <w:color w:val="00000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黑体"/>
          <w:color w:val="000000"/>
          <w:kern w:val="0"/>
          <w:sz w:val="32"/>
          <w:szCs w:val="32"/>
          <w:highlight w:val="none"/>
          <w:lang w:val="en-US" w:eastAsia="zh-CN" w:bidi="ar-SA"/>
        </w:rPr>
        <w:t>（1）绩效管理评价工作开展情况。</w:t>
      </w:r>
    </w:p>
    <w:p w14:paraId="75D5DC2D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 w:firstLine="800"/>
        <w:rPr>
          <w:rFonts w:hint="eastAsia" w:ascii="Times New Roman" w:hAnsi="Times New Roman" w:eastAsia="仿宋_GB2312" w:cs="黑体"/>
          <w:color w:val="00000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黑体"/>
          <w:color w:val="000000"/>
          <w:kern w:val="0"/>
          <w:sz w:val="32"/>
          <w:szCs w:val="32"/>
          <w:highlight w:val="none"/>
          <w:lang w:val="en-US" w:eastAsia="zh-CN" w:bidi="ar-SA"/>
        </w:rPr>
        <w:t>根据预算绩效管理要求，我部门组织对2022年度一般公共预算项目支出全面开展绩效自评，共涉及资金81万元。2022年度无政府性基金预算项目支出，无国有资本经营预算项目支出。</w:t>
      </w:r>
    </w:p>
    <w:p w14:paraId="747EAF60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 w:firstLine="800"/>
        <w:rPr>
          <w:rFonts w:hint="eastAsia" w:ascii="Times New Roman" w:hAnsi="Times New Roman" w:eastAsia="仿宋_GB2312" w:cs="黑体"/>
          <w:color w:val="00000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黑体"/>
          <w:color w:val="000000"/>
          <w:kern w:val="0"/>
          <w:sz w:val="32"/>
          <w:szCs w:val="32"/>
          <w:highlight w:val="none"/>
          <w:lang w:val="en-US" w:eastAsia="zh-CN" w:bidi="ar-SA"/>
        </w:rPr>
        <w:t>组织对共青团怀化市委员会（本级）单位开展整体支出绩效评价，涉及财政支出489.67万元，政府性基金预算支出0万元。从评价情况来看，评价形成了客观、准确、全面、完整的绩效自评报告。</w:t>
      </w:r>
    </w:p>
    <w:p w14:paraId="3FC7BDA1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 w:firstLine="800"/>
        <w:rPr>
          <w:rFonts w:hint="eastAsia" w:ascii="Times New Roman" w:hAnsi="Times New Roman" w:eastAsia="仿宋_GB2312" w:cs="黑体"/>
          <w:color w:val="00000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黑体"/>
          <w:color w:val="000000"/>
          <w:kern w:val="0"/>
          <w:sz w:val="32"/>
          <w:szCs w:val="32"/>
          <w:highlight w:val="none"/>
          <w:lang w:val="en-US" w:eastAsia="zh-CN" w:bidi="ar-SA"/>
        </w:rPr>
        <w:t>（2）部门决算中项目绩效自评结果。</w:t>
      </w:r>
    </w:p>
    <w:p w14:paraId="59CE29BF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 w:firstLine="800"/>
        <w:rPr>
          <w:rFonts w:hint="eastAsia" w:ascii="Times New Roman" w:hAnsi="Times New Roman" w:eastAsia="仿宋_GB2312" w:cs="黑体"/>
          <w:color w:val="00000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黑体"/>
          <w:color w:val="000000"/>
          <w:kern w:val="0"/>
          <w:sz w:val="32"/>
          <w:szCs w:val="32"/>
          <w:highlight w:val="none"/>
          <w:lang w:val="en-US" w:eastAsia="zh-CN" w:bidi="ar-SA"/>
        </w:rPr>
        <w:t>根据年初设定的绩效目标，项目绩效自评得分为96分。项目全年预算数为81万元，执行数为80.87万元，完成预算的99.84%。项目绩效目标完成情况：</w:t>
      </w:r>
      <w:r>
        <w:rPr>
          <w:rFonts w:hint="default" w:ascii="Times New Roman" w:hAnsi="Times New Roman" w:eastAsia="仿宋_GB2312" w:cs="黑体"/>
          <w:color w:val="000000"/>
          <w:kern w:val="0"/>
          <w:sz w:val="32"/>
          <w:szCs w:val="32"/>
          <w:highlight w:val="none"/>
          <w:lang w:val="en-US" w:eastAsia="zh-CN" w:bidi="ar-SA"/>
        </w:rPr>
        <w:t>铸造“怀青农场”品牌建功乡村振兴</w:t>
      </w:r>
      <w:r>
        <w:rPr>
          <w:rFonts w:hint="eastAsia" w:ascii="Times New Roman" w:hAnsi="Times New Roman" w:eastAsia="仿宋_GB2312" w:cs="黑体"/>
          <w:color w:val="000000"/>
          <w:kern w:val="0"/>
          <w:sz w:val="32"/>
          <w:szCs w:val="32"/>
          <w:highlight w:val="none"/>
          <w:lang w:val="en-US" w:eastAsia="zh-CN" w:bidi="ar-SA"/>
        </w:rPr>
        <w:t>；建设“青年创业园”助力“三高四新”；深化“志愿服务”行动参与社会治理。为规范、合理、安全、有效使用专项资金，我单位制定了《财务管理制度》、《专项资金管理办法》等相关制度，专项资金的管理和使用，遵循公开、公平、公正和统筹兼顾、突出重点、讲求效益的原则，确保专项资金使用的规范、安全和高效。为规范项目建设管理，我单位切实对项目实行跟踪式服务，从项目资金的下拨、项目跟进、资金投入等环节设置专门科室负责监督和管理，确保项目的实施和建设。下一步改进措施：预算编制进一步准确、完整。</w:t>
      </w:r>
    </w:p>
    <w:p w14:paraId="3D75D502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 w:firstLine="800"/>
        <w:rPr>
          <w:rFonts w:hint="eastAsia" w:ascii="Times New Roman" w:hAnsi="Times New Roman" w:eastAsia="仿宋_GB2312" w:cs="黑体"/>
          <w:color w:val="00000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黑体"/>
          <w:color w:val="000000"/>
          <w:kern w:val="0"/>
          <w:sz w:val="32"/>
          <w:szCs w:val="32"/>
          <w:highlight w:val="none"/>
          <w:lang w:val="en-US" w:eastAsia="zh-CN" w:bidi="ar-SA"/>
        </w:rPr>
        <w:t>（3）部门评价项目绩效评价结果。</w:t>
      </w:r>
    </w:p>
    <w:p w14:paraId="260F2FD1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 w:firstLine="1120"/>
        <w:rPr>
          <w:rFonts w:hint="eastAsia" w:ascii="Times New Roman" w:hAnsi="Times New Roman" w:eastAsia="仿宋_GB2312" w:cs="黑体"/>
          <w:color w:val="00000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黑体"/>
          <w:color w:val="000000"/>
          <w:kern w:val="0"/>
          <w:sz w:val="32"/>
          <w:szCs w:val="32"/>
          <w:highlight w:val="none"/>
          <w:lang w:val="en-US" w:eastAsia="zh-CN" w:bidi="ar-SA"/>
        </w:rPr>
        <w:t>部门评价报告已在财政网上公开。</w:t>
      </w:r>
    </w:p>
    <w:p w14:paraId="6B44C242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jc w:val="left"/>
        <w:textAlignment w:val="auto"/>
        <w:rPr>
          <w:rFonts w:hint="eastAsia" w:ascii="楷体" w:hAnsi="楷体" w:eastAsia="楷体" w:cs="楷体"/>
          <w:b/>
          <w:bCs/>
          <w:sz w:val="32"/>
          <w:szCs w:val="32"/>
          <w:highlight w:val="none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highlight w:val="none"/>
          <w:lang w:eastAsia="zh-CN"/>
        </w:rPr>
        <w:t>（二）</w:t>
      </w:r>
      <w:r>
        <w:rPr>
          <w:rFonts w:hint="eastAsia" w:ascii="楷体" w:hAnsi="楷体" w:eastAsia="楷体" w:cs="楷体"/>
          <w:b/>
          <w:bCs/>
          <w:sz w:val="32"/>
          <w:szCs w:val="32"/>
          <w:highlight w:val="none"/>
        </w:rPr>
        <w:t>存在的问题及原因分析</w:t>
      </w:r>
    </w:p>
    <w:p w14:paraId="636E1D2F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jc w:val="left"/>
        <w:textAlignment w:val="auto"/>
        <w:rPr>
          <w:sz w:val="72"/>
          <w:szCs w:val="72"/>
          <w:highlight w:val="none"/>
        </w:rPr>
      </w:pPr>
      <w:r>
        <w:rPr>
          <w:rFonts w:hint="eastAsia" w:ascii="Times New Roman" w:hAnsi="Times New Roman" w:eastAsia="仿宋_GB2312"/>
          <w:sz w:val="32"/>
          <w:szCs w:val="32"/>
          <w:highlight w:val="none"/>
        </w:rPr>
        <w:t>可以从预算和预算绩效管理，部门履职效能，资金分配、使用和管理，资产和财务管理、政府采购等方面归纳存在的问题；反映各种预算支出执行偏离绩效目标的情况，并分析其原因。</w:t>
      </w:r>
    </w:p>
    <w:p w14:paraId="55A4F2C5">
      <w:pPr>
        <w:pStyle w:val="11"/>
        <w:jc w:val="center"/>
        <w:rPr>
          <w:sz w:val="72"/>
          <w:szCs w:val="72"/>
          <w:highlight w:val="none"/>
        </w:rPr>
      </w:pPr>
    </w:p>
    <w:p w14:paraId="090A0479">
      <w:pPr>
        <w:pStyle w:val="11"/>
        <w:jc w:val="center"/>
        <w:rPr>
          <w:rFonts w:hint="eastAsia" w:ascii="方正小标宋_GBK" w:hAnsi="方正小标宋_GBK" w:eastAsia="方正小标宋_GBK" w:cs="方正小标宋_GBK"/>
          <w:sz w:val="72"/>
          <w:szCs w:val="72"/>
          <w:highlight w:val="none"/>
        </w:rPr>
      </w:pPr>
    </w:p>
    <w:p w14:paraId="35C243B5">
      <w:pPr>
        <w:pStyle w:val="11"/>
        <w:jc w:val="center"/>
        <w:rPr>
          <w:rFonts w:hint="eastAsia" w:ascii="方正小标宋_GBK" w:hAnsi="方正小标宋_GBK" w:eastAsia="方正小标宋_GBK" w:cs="方正小标宋_GBK"/>
          <w:sz w:val="72"/>
          <w:szCs w:val="72"/>
          <w:highlight w:val="none"/>
        </w:rPr>
      </w:pPr>
    </w:p>
    <w:p w14:paraId="41D9E92C">
      <w:pPr>
        <w:pStyle w:val="11"/>
        <w:jc w:val="center"/>
        <w:rPr>
          <w:rFonts w:hint="eastAsia" w:ascii="方正小标宋_GBK" w:hAnsi="方正小标宋_GBK" w:eastAsia="方正小标宋_GBK" w:cs="方正小标宋_GBK"/>
          <w:sz w:val="72"/>
          <w:szCs w:val="72"/>
          <w:highlight w:val="none"/>
        </w:rPr>
      </w:pPr>
    </w:p>
    <w:p w14:paraId="36BBC133">
      <w:pPr>
        <w:pStyle w:val="11"/>
        <w:jc w:val="center"/>
        <w:rPr>
          <w:rFonts w:hint="eastAsia" w:ascii="方正小标宋_GBK" w:hAnsi="方正小标宋_GBK" w:eastAsia="方正小标宋_GBK" w:cs="方正小标宋_GBK"/>
          <w:sz w:val="72"/>
          <w:szCs w:val="72"/>
          <w:highlight w:val="none"/>
        </w:rPr>
      </w:pPr>
    </w:p>
    <w:p w14:paraId="1647E2FF">
      <w:pPr>
        <w:pStyle w:val="11"/>
        <w:jc w:val="center"/>
        <w:rPr>
          <w:rFonts w:hint="eastAsia" w:ascii="方正小标宋_GBK" w:hAnsi="方正小标宋_GBK" w:eastAsia="方正小标宋_GBK" w:cs="方正小标宋_GBK"/>
          <w:sz w:val="72"/>
          <w:szCs w:val="72"/>
          <w:highlight w:val="none"/>
        </w:rPr>
      </w:pPr>
    </w:p>
    <w:p w14:paraId="5BCA2A0C">
      <w:pPr>
        <w:pStyle w:val="11"/>
        <w:jc w:val="center"/>
        <w:rPr>
          <w:rFonts w:hint="eastAsia" w:ascii="方正小标宋_GBK" w:hAnsi="方正小标宋_GBK" w:eastAsia="方正小标宋_GBK" w:cs="方正小标宋_GBK"/>
          <w:sz w:val="72"/>
          <w:szCs w:val="72"/>
          <w:highlight w:val="none"/>
        </w:rPr>
      </w:pPr>
      <w:r>
        <w:rPr>
          <w:rFonts w:hint="eastAsia" w:ascii="方正小标宋_GBK" w:hAnsi="方正小标宋_GBK" w:eastAsia="方正小标宋_GBK" w:cs="方正小标宋_GBK"/>
          <w:sz w:val="72"/>
          <w:szCs w:val="72"/>
          <w:highlight w:val="none"/>
        </w:rPr>
        <w:t>第四部分</w:t>
      </w:r>
    </w:p>
    <w:p w14:paraId="67305880">
      <w:pPr>
        <w:jc w:val="center"/>
        <w:rPr>
          <w:rFonts w:hint="eastAsia" w:ascii="方正小标宋_GBK" w:hAnsi="方正小标宋_GBK" w:eastAsia="方正小标宋_GBK" w:cs="方正小标宋_GBK"/>
          <w:color w:val="000000"/>
          <w:kern w:val="0"/>
          <w:sz w:val="70"/>
          <w:szCs w:val="70"/>
          <w:highlight w:val="none"/>
        </w:rPr>
      </w:pPr>
    </w:p>
    <w:p w14:paraId="0AAE2E42">
      <w:pPr>
        <w:jc w:val="center"/>
        <w:rPr>
          <w:rFonts w:hint="eastAsia" w:ascii="方正小标宋_GBK" w:hAnsi="方正小标宋_GBK" w:eastAsia="方正小标宋_GBK" w:cs="方正小标宋_GBK"/>
          <w:color w:val="000000"/>
          <w:kern w:val="0"/>
          <w:sz w:val="70"/>
          <w:szCs w:val="70"/>
          <w:highlight w:val="none"/>
        </w:rPr>
      </w:pPr>
      <w:r>
        <w:rPr>
          <w:rFonts w:hint="eastAsia" w:ascii="方正小标宋_GBK" w:hAnsi="方正小标宋_GBK" w:eastAsia="方正小标宋_GBK" w:cs="方正小标宋_GBK"/>
          <w:color w:val="000000"/>
          <w:kern w:val="0"/>
          <w:sz w:val="70"/>
          <w:szCs w:val="70"/>
          <w:highlight w:val="none"/>
        </w:rPr>
        <w:t>名词解释</w:t>
      </w:r>
    </w:p>
    <w:p w14:paraId="7FB7513D">
      <w:pPr>
        <w:widowControl/>
        <w:jc w:val="left"/>
        <w:rPr>
          <w:rFonts w:cs="黑体" w:asciiTheme="minorEastAsia" w:hAnsiTheme="minorEastAsia"/>
          <w:color w:val="000000"/>
          <w:kern w:val="0"/>
          <w:sz w:val="32"/>
          <w:szCs w:val="32"/>
          <w:highlight w:val="none"/>
        </w:rPr>
      </w:pPr>
      <w:r>
        <w:rPr>
          <w:rFonts w:hint="eastAsia" w:ascii="方正小标宋_GBK" w:hAnsi="方正小标宋_GBK" w:eastAsia="方正小标宋_GBK" w:cs="方正小标宋_GBK"/>
          <w:color w:val="000000"/>
          <w:kern w:val="0"/>
          <w:sz w:val="70"/>
          <w:szCs w:val="70"/>
          <w:highlight w:val="none"/>
        </w:rPr>
        <w:br w:type="page"/>
      </w:r>
    </w:p>
    <w:p w14:paraId="76502F66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/>
          <w:sz w:val="32"/>
          <w:szCs w:val="32"/>
          <w:highlight w:val="none"/>
        </w:rPr>
      </w:pPr>
      <w:r>
        <w:rPr>
          <w:rFonts w:hint="eastAsia" w:ascii="Times New Roman" w:hAnsi="Times New Roman" w:eastAsia="仿宋_GB2312"/>
          <w:b/>
          <w:bCs/>
          <w:sz w:val="32"/>
          <w:szCs w:val="32"/>
          <w:highlight w:val="none"/>
        </w:rPr>
        <w:t>一、机关运行经费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：为保障行政单位（包括参照公务员法管理的事业单位）运行，用一般公共预算拨款安排用于购买货物和服务的各项资金，包括办公及印刷费、邮电费、差旅费、会议费、福利费、日常维修费、办公用房水电费、办公用房取暖费、办公用房物业管理费、公务用车运行维护费以及其他费用。</w:t>
      </w:r>
    </w:p>
    <w:p w14:paraId="4518B2AD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/>
          <w:sz w:val="32"/>
          <w:szCs w:val="32"/>
          <w:highlight w:val="none"/>
        </w:rPr>
      </w:pPr>
      <w:r>
        <w:rPr>
          <w:rFonts w:hint="eastAsia" w:ascii="Times New Roman" w:hAnsi="Times New Roman" w:eastAsia="仿宋_GB2312"/>
          <w:b/>
          <w:bCs/>
          <w:sz w:val="32"/>
          <w:szCs w:val="32"/>
          <w:highlight w:val="none"/>
        </w:rPr>
        <w:t>二、“三公”经费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：纳入财政预算管理的“三公“经费，是指用一般公共预算拨款安排的公务接待费、公务用车购置及运行维护费和因公出国（境）费。其中，公务接待费反映单位按规定开支的各类公务接待支出；公务用车购置及运行费反映单位公务用车车辆购置支出（含车辆购置税），以及燃料费、维修费、保险费等支出；因公出国（境）费反映单位公务出国（境）的国际旅费、国外城市间交通费、食宿费等支出。</w:t>
      </w:r>
    </w:p>
    <w:p w14:paraId="4E7963B9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/>
        <w:jc w:val="center"/>
        <w:rPr>
          <w:rFonts w:hint="eastAsia" w:ascii="黑体" w:hAnsi="宋体" w:eastAsia="黑体" w:cs="黑体"/>
          <w:color w:val="000000"/>
          <w:sz w:val="24"/>
          <w:szCs w:val="24"/>
          <w:highlight w:val="none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72"/>
          <w:szCs w:val="72"/>
          <w:highlight w:val="none"/>
          <w:shd w:val="clear" w:color="auto" w:fill="FFFFFF"/>
        </w:rPr>
        <w:t> </w:t>
      </w:r>
    </w:p>
    <w:p w14:paraId="4F9AC960">
      <w:pPr>
        <w:pStyle w:val="11"/>
        <w:jc w:val="center"/>
        <w:rPr>
          <w:sz w:val="72"/>
          <w:szCs w:val="72"/>
          <w:highlight w:val="none"/>
        </w:rPr>
      </w:pPr>
    </w:p>
    <w:p w14:paraId="64612188">
      <w:pPr>
        <w:pStyle w:val="11"/>
        <w:jc w:val="center"/>
        <w:rPr>
          <w:sz w:val="72"/>
          <w:szCs w:val="72"/>
          <w:highlight w:val="none"/>
        </w:rPr>
      </w:pPr>
    </w:p>
    <w:p w14:paraId="1439BB44">
      <w:pPr>
        <w:pStyle w:val="11"/>
        <w:jc w:val="center"/>
        <w:rPr>
          <w:sz w:val="72"/>
          <w:szCs w:val="72"/>
          <w:highlight w:val="none"/>
        </w:rPr>
      </w:pPr>
    </w:p>
    <w:p w14:paraId="457D46D1">
      <w:pPr>
        <w:pStyle w:val="11"/>
        <w:jc w:val="center"/>
        <w:rPr>
          <w:sz w:val="72"/>
          <w:szCs w:val="72"/>
          <w:highlight w:val="none"/>
        </w:rPr>
      </w:pPr>
    </w:p>
    <w:p w14:paraId="317D1866">
      <w:pPr>
        <w:pStyle w:val="11"/>
        <w:jc w:val="center"/>
        <w:rPr>
          <w:sz w:val="72"/>
          <w:szCs w:val="72"/>
          <w:highlight w:val="none"/>
        </w:rPr>
      </w:pPr>
    </w:p>
    <w:p w14:paraId="171C6113">
      <w:pPr>
        <w:pStyle w:val="11"/>
        <w:jc w:val="center"/>
        <w:rPr>
          <w:sz w:val="72"/>
          <w:szCs w:val="72"/>
          <w:highlight w:val="none"/>
        </w:rPr>
      </w:pPr>
    </w:p>
    <w:p w14:paraId="1C55B491">
      <w:pPr>
        <w:pStyle w:val="11"/>
        <w:jc w:val="center"/>
        <w:rPr>
          <w:sz w:val="72"/>
          <w:szCs w:val="72"/>
          <w:highlight w:val="none"/>
        </w:rPr>
      </w:pPr>
    </w:p>
    <w:p w14:paraId="2870F77F">
      <w:pPr>
        <w:pStyle w:val="11"/>
        <w:jc w:val="center"/>
        <w:rPr>
          <w:sz w:val="72"/>
          <w:szCs w:val="72"/>
          <w:highlight w:val="none"/>
        </w:rPr>
      </w:pPr>
    </w:p>
    <w:p w14:paraId="12DC3D25">
      <w:pPr>
        <w:pStyle w:val="11"/>
        <w:jc w:val="center"/>
        <w:rPr>
          <w:sz w:val="72"/>
          <w:szCs w:val="72"/>
          <w:highlight w:val="none"/>
        </w:rPr>
      </w:pPr>
    </w:p>
    <w:p w14:paraId="1AD0826A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/>
        <w:jc w:val="center"/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72"/>
          <w:szCs w:val="72"/>
          <w:highlight w:val="none"/>
          <w:shd w:val="clear" w:color="auto" w:fill="FFFFFF"/>
        </w:rPr>
      </w:pPr>
    </w:p>
    <w:p w14:paraId="64CC1F89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/>
        <w:jc w:val="center"/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72"/>
          <w:szCs w:val="72"/>
          <w:highlight w:val="none"/>
          <w:shd w:val="clear" w:color="auto" w:fill="FFFFFF"/>
        </w:rPr>
      </w:pPr>
    </w:p>
    <w:p w14:paraId="4EE1AB09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/>
        <w:jc w:val="center"/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72"/>
          <w:szCs w:val="72"/>
          <w:highlight w:val="none"/>
          <w:shd w:val="clear" w:color="auto" w:fill="FFFFFF"/>
        </w:rPr>
      </w:pPr>
    </w:p>
    <w:p w14:paraId="6992C91F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/>
        <w:jc w:val="center"/>
        <w:rPr>
          <w:rFonts w:hint="eastAsia" w:ascii="黑体" w:hAnsi="宋体" w:eastAsia="黑体" w:cs="黑体"/>
          <w:color w:val="000000"/>
          <w:sz w:val="24"/>
          <w:szCs w:val="24"/>
          <w:highlight w:val="none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72"/>
          <w:szCs w:val="72"/>
          <w:highlight w:val="none"/>
          <w:shd w:val="clear" w:color="auto" w:fill="FFFFFF"/>
        </w:rPr>
        <w:t> </w:t>
      </w:r>
    </w:p>
    <w:p w14:paraId="1850EFCC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/>
        <w:jc w:val="center"/>
        <w:rPr>
          <w:rFonts w:hint="eastAsia" w:ascii="黑体" w:hAnsi="宋体" w:eastAsia="黑体" w:cs="黑体"/>
          <w:color w:val="000000"/>
          <w:sz w:val="24"/>
          <w:szCs w:val="24"/>
          <w:highlight w:val="none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72"/>
          <w:szCs w:val="72"/>
          <w:highlight w:val="none"/>
          <w:shd w:val="clear" w:color="auto" w:fill="FFFFFF"/>
        </w:rPr>
        <w:t>第五部分</w:t>
      </w:r>
    </w:p>
    <w:p w14:paraId="2FA41B65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/>
        <w:jc w:val="center"/>
        <w:rPr>
          <w:rFonts w:hint="default" w:ascii="Calibri" w:hAnsi="Calibri" w:cs="Calibri"/>
          <w:color w:val="3D3D3D"/>
          <w:sz w:val="21"/>
          <w:szCs w:val="21"/>
          <w:highlight w:val="none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70"/>
          <w:szCs w:val="70"/>
          <w:highlight w:val="none"/>
          <w:shd w:val="clear" w:color="auto" w:fill="FFFFFF"/>
        </w:rPr>
        <w:t> </w:t>
      </w:r>
    </w:p>
    <w:p w14:paraId="16AEC039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/>
        <w:jc w:val="center"/>
        <w:rPr>
          <w:rFonts w:hint="default" w:ascii="Calibri" w:hAnsi="Calibri" w:cs="Calibri"/>
          <w:color w:val="3D3D3D"/>
          <w:sz w:val="21"/>
          <w:szCs w:val="21"/>
          <w:highlight w:val="none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70"/>
          <w:szCs w:val="70"/>
          <w:highlight w:val="none"/>
          <w:shd w:val="clear" w:color="auto" w:fill="FFFFFF"/>
        </w:rPr>
        <w:t>附件</w:t>
      </w:r>
    </w:p>
    <w:p w14:paraId="693CB4DA">
      <w:pP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</w:rPr>
      </w:pPr>
    </w:p>
    <w:p w14:paraId="47ED939C">
      <w:pPr>
        <w:pStyle w:val="11"/>
        <w:jc w:val="center"/>
        <w:rPr>
          <w:sz w:val="72"/>
          <w:szCs w:val="72"/>
          <w:highlight w:val="none"/>
        </w:rPr>
      </w:pPr>
    </w:p>
    <w:p w14:paraId="2CFA6668">
      <w:pPr>
        <w:pStyle w:val="11"/>
        <w:jc w:val="center"/>
        <w:rPr>
          <w:sz w:val="72"/>
          <w:szCs w:val="72"/>
          <w:highlight w:val="none"/>
        </w:rPr>
      </w:pPr>
    </w:p>
    <w:p w14:paraId="1CD0922E">
      <w:pPr>
        <w:pStyle w:val="11"/>
        <w:jc w:val="center"/>
        <w:rPr>
          <w:sz w:val="72"/>
          <w:szCs w:val="72"/>
          <w:highlight w:val="none"/>
        </w:rPr>
      </w:pPr>
    </w:p>
    <w:p w14:paraId="4EF1ECDE">
      <w:pPr>
        <w:pStyle w:val="11"/>
        <w:jc w:val="center"/>
        <w:rPr>
          <w:sz w:val="72"/>
          <w:szCs w:val="72"/>
          <w:highlight w:val="none"/>
        </w:rPr>
      </w:pPr>
    </w:p>
    <w:p w14:paraId="0A44607E">
      <w:pPr>
        <w:pStyle w:val="11"/>
        <w:jc w:val="center"/>
        <w:rPr>
          <w:sz w:val="72"/>
          <w:szCs w:val="72"/>
          <w:highlight w:val="none"/>
        </w:rPr>
      </w:pPr>
    </w:p>
    <w:p w14:paraId="5BEEB434">
      <w:pPr>
        <w:pStyle w:val="11"/>
        <w:jc w:val="center"/>
        <w:rPr>
          <w:sz w:val="72"/>
          <w:szCs w:val="72"/>
          <w:highlight w:val="none"/>
        </w:rPr>
      </w:pPr>
    </w:p>
    <w:p w14:paraId="0D8B71AB">
      <w:pPr>
        <w:pStyle w:val="11"/>
        <w:jc w:val="both"/>
        <w:rPr>
          <w:sz w:val="72"/>
          <w:szCs w:val="72"/>
          <w:highlight w:val="none"/>
        </w:rPr>
      </w:pPr>
    </w:p>
    <w:p w14:paraId="4C09484F">
      <w:pPr>
        <w:rPr>
          <w:rFonts w:hint="eastAsia" w:ascii="Times New Roman" w:hAnsi="Times New Roman" w:eastAsia="仿宋_GB2312" w:cs="黑体"/>
          <w:color w:val="000000"/>
          <w:kern w:val="0"/>
          <w:sz w:val="32"/>
          <w:szCs w:val="32"/>
          <w:highlight w:val="none"/>
          <w:lang w:val="en-US" w:eastAsia="zh-CN" w:bidi="ar-SA"/>
        </w:rPr>
      </w:pPr>
    </w:p>
    <w:p w14:paraId="53049BF6">
      <w:pPr>
        <w:rPr>
          <w:rFonts w:hint="eastAsia" w:ascii="Times New Roman" w:hAnsi="Times New Roman" w:eastAsia="仿宋_GB2312" w:cs="黑体"/>
          <w:color w:val="00000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黑体"/>
          <w:color w:val="000000"/>
          <w:kern w:val="0"/>
          <w:sz w:val="32"/>
          <w:szCs w:val="32"/>
          <w:highlight w:val="none"/>
          <w:lang w:val="en-US" w:eastAsia="zh-CN" w:bidi="ar-SA"/>
        </w:rPr>
        <w:t>附件一  2022年部门决算公开表</w:t>
      </w:r>
    </w:p>
    <w:p w14:paraId="69FDC2BF">
      <w:pPr>
        <w:rPr>
          <w:rFonts w:hint="eastAsia" w:ascii="Times New Roman" w:hAnsi="Times New Roman" w:eastAsia="仿宋_GB2312" w:cs="黑体"/>
          <w:color w:val="00000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黑体"/>
          <w:color w:val="000000"/>
          <w:kern w:val="0"/>
          <w:sz w:val="32"/>
          <w:szCs w:val="32"/>
          <w:highlight w:val="none"/>
          <w:lang w:val="en-US" w:eastAsia="zh-CN" w:bidi="ar-SA"/>
        </w:rPr>
        <w:t>附件二  2022年部门整体支出绩效报告</w:t>
      </w:r>
    </w:p>
    <w:p w14:paraId="415F52C2">
      <w:pPr>
        <w:pStyle w:val="11"/>
        <w:jc w:val="center"/>
        <w:rPr>
          <w:sz w:val="72"/>
          <w:szCs w:val="72"/>
          <w:highlight w:val="none"/>
        </w:rPr>
      </w:pPr>
    </w:p>
    <w:p w14:paraId="317D36FD">
      <w:pPr>
        <w:pStyle w:val="11"/>
        <w:jc w:val="center"/>
        <w:rPr>
          <w:sz w:val="72"/>
          <w:szCs w:val="72"/>
          <w:highlight w:val="none"/>
        </w:rPr>
      </w:pPr>
    </w:p>
    <w:p w14:paraId="4C2998D4">
      <w:pPr>
        <w:pStyle w:val="11"/>
        <w:jc w:val="center"/>
        <w:rPr>
          <w:sz w:val="72"/>
          <w:szCs w:val="72"/>
          <w:highlight w:val="none"/>
        </w:rPr>
      </w:pPr>
    </w:p>
    <w:p w14:paraId="06281E90">
      <w:pPr>
        <w:jc w:val="left"/>
        <w:rPr>
          <w:rFonts w:cs="黑体" w:asciiTheme="minorEastAsia" w:hAnsiTheme="minorEastAsia"/>
          <w:color w:val="000000"/>
          <w:kern w:val="0"/>
          <w:sz w:val="32"/>
          <w:szCs w:val="32"/>
          <w:highlight w:val="none"/>
        </w:rPr>
      </w:pPr>
    </w:p>
    <w:sectPr>
      <w:pgSz w:w="11906" w:h="16838"/>
      <w:pgMar w:top="720" w:right="720" w:bottom="720" w:left="720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2E86080-997A-4111-B7AD-E55D976330F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  <w:embedRegular r:id="rId2" w:fontKey="{E68F43C2-29AE-4D82-A782-BEE70AB13A14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3" w:fontKey="{C6B71F8D-CD70-4677-8CAF-1409FA402A0F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0199ADE6-E024-4E6D-A8ED-BEB360915726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21C24E13-9879-4B1C-A755-8418B029FFAA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6" w:fontKey="{F5D5B528-1192-47A0-8037-2A6DAD585171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1B312FD"/>
    <w:multiLevelType w:val="singleLevel"/>
    <w:tmpl w:val="E1B312FD"/>
    <w:lvl w:ilvl="0" w:tentative="0">
      <w:start w:val="7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JkZmVlZWE1YThmOTUxYzdmMmU4OWMyMmJiMWY5ZTgifQ=="/>
  </w:docVars>
  <w:rsids>
    <w:rsidRoot w:val="004506F9"/>
    <w:rsid w:val="0002229B"/>
    <w:rsid w:val="000273BD"/>
    <w:rsid w:val="00040CBC"/>
    <w:rsid w:val="000415B7"/>
    <w:rsid w:val="00041E3F"/>
    <w:rsid w:val="00055DAA"/>
    <w:rsid w:val="00061F7B"/>
    <w:rsid w:val="000658A3"/>
    <w:rsid w:val="00074155"/>
    <w:rsid w:val="000A3F69"/>
    <w:rsid w:val="000C024B"/>
    <w:rsid w:val="00103957"/>
    <w:rsid w:val="00152C6D"/>
    <w:rsid w:val="00162D39"/>
    <w:rsid w:val="001678BD"/>
    <w:rsid w:val="00182373"/>
    <w:rsid w:val="001A67DB"/>
    <w:rsid w:val="001C3C29"/>
    <w:rsid w:val="001D51E5"/>
    <w:rsid w:val="001E080D"/>
    <w:rsid w:val="001E53D0"/>
    <w:rsid w:val="001F0C3B"/>
    <w:rsid w:val="00202C82"/>
    <w:rsid w:val="00214427"/>
    <w:rsid w:val="00226CB7"/>
    <w:rsid w:val="00264552"/>
    <w:rsid w:val="00264EF9"/>
    <w:rsid w:val="00265724"/>
    <w:rsid w:val="0027426B"/>
    <w:rsid w:val="002E0A30"/>
    <w:rsid w:val="002E1F6F"/>
    <w:rsid w:val="003130C4"/>
    <w:rsid w:val="00316C4B"/>
    <w:rsid w:val="0032192B"/>
    <w:rsid w:val="003479BD"/>
    <w:rsid w:val="0037197D"/>
    <w:rsid w:val="003768D5"/>
    <w:rsid w:val="003926B9"/>
    <w:rsid w:val="003C47E6"/>
    <w:rsid w:val="003C4FC2"/>
    <w:rsid w:val="00416E61"/>
    <w:rsid w:val="0042790C"/>
    <w:rsid w:val="004506F9"/>
    <w:rsid w:val="004717A2"/>
    <w:rsid w:val="00473DF3"/>
    <w:rsid w:val="00487911"/>
    <w:rsid w:val="00491741"/>
    <w:rsid w:val="004B0CEE"/>
    <w:rsid w:val="00500E5F"/>
    <w:rsid w:val="005122EF"/>
    <w:rsid w:val="0051441A"/>
    <w:rsid w:val="00517C33"/>
    <w:rsid w:val="00517D5F"/>
    <w:rsid w:val="00523644"/>
    <w:rsid w:val="0054069E"/>
    <w:rsid w:val="00544866"/>
    <w:rsid w:val="005767CC"/>
    <w:rsid w:val="00590D9F"/>
    <w:rsid w:val="00595D26"/>
    <w:rsid w:val="005A74E6"/>
    <w:rsid w:val="005B404E"/>
    <w:rsid w:val="005D4D55"/>
    <w:rsid w:val="005E2CFB"/>
    <w:rsid w:val="005F2103"/>
    <w:rsid w:val="005F3D1C"/>
    <w:rsid w:val="0062378F"/>
    <w:rsid w:val="00641842"/>
    <w:rsid w:val="00651EEC"/>
    <w:rsid w:val="00686673"/>
    <w:rsid w:val="00691E8C"/>
    <w:rsid w:val="006A22C4"/>
    <w:rsid w:val="006A351B"/>
    <w:rsid w:val="006B0422"/>
    <w:rsid w:val="006C1B53"/>
    <w:rsid w:val="006D7730"/>
    <w:rsid w:val="006E5284"/>
    <w:rsid w:val="006F3EB5"/>
    <w:rsid w:val="00702E34"/>
    <w:rsid w:val="00704395"/>
    <w:rsid w:val="00710FE7"/>
    <w:rsid w:val="00717621"/>
    <w:rsid w:val="00720FF1"/>
    <w:rsid w:val="00727A53"/>
    <w:rsid w:val="00787B42"/>
    <w:rsid w:val="007C4539"/>
    <w:rsid w:val="007F3657"/>
    <w:rsid w:val="00812ED5"/>
    <w:rsid w:val="00813048"/>
    <w:rsid w:val="008277D9"/>
    <w:rsid w:val="0084478C"/>
    <w:rsid w:val="0086638C"/>
    <w:rsid w:val="008A3E8D"/>
    <w:rsid w:val="009237C4"/>
    <w:rsid w:val="00944C48"/>
    <w:rsid w:val="00950252"/>
    <w:rsid w:val="00967F5D"/>
    <w:rsid w:val="009A0F95"/>
    <w:rsid w:val="009B3ADF"/>
    <w:rsid w:val="009C3B52"/>
    <w:rsid w:val="009E6817"/>
    <w:rsid w:val="009E6E9A"/>
    <w:rsid w:val="00A01D2B"/>
    <w:rsid w:val="00A42218"/>
    <w:rsid w:val="00A70249"/>
    <w:rsid w:val="00A70B02"/>
    <w:rsid w:val="00A71D9F"/>
    <w:rsid w:val="00A92E9F"/>
    <w:rsid w:val="00AB18FF"/>
    <w:rsid w:val="00B33BEA"/>
    <w:rsid w:val="00B57C9F"/>
    <w:rsid w:val="00B63572"/>
    <w:rsid w:val="00B845B3"/>
    <w:rsid w:val="00B85D8B"/>
    <w:rsid w:val="00BB4A40"/>
    <w:rsid w:val="00BD6C3E"/>
    <w:rsid w:val="00BE3674"/>
    <w:rsid w:val="00C10681"/>
    <w:rsid w:val="00C3049A"/>
    <w:rsid w:val="00C31B1E"/>
    <w:rsid w:val="00C77645"/>
    <w:rsid w:val="00CE04C3"/>
    <w:rsid w:val="00CE76A0"/>
    <w:rsid w:val="00D148C6"/>
    <w:rsid w:val="00D17A8A"/>
    <w:rsid w:val="00D415BA"/>
    <w:rsid w:val="00D63780"/>
    <w:rsid w:val="00D644EE"/>
    <w:rsid w:val="00DD06FF"/>
    <w:rsid w:val="00DD5FE9"/>
    <w:rsid w:val="00E00C7A"/>
    <w:rsid w:val="00E37D6C"/>
    <w:rsid w:val="00E55B68"/>
    <w:rsid w:val="00E561AE"/>
    <w:rsid w:val="00E67BE6"/>
    <w:rsid w:val="00E8683C"/>
    <w:rsid w:val="00EA2B72"/>
    <w:rsid w:val="00F74360"/>
    <w:rsid w:val="00FB462F"/>
    <w:rsid w:val="00FE16FA"/>
    <w:rsid w:val="00FE328A"/>
    <w:rsid w:val="00FE6269"/>
    <w:rsid w:val="00FF5CD6"/>
    <w:rsid w:val="015F4910"/>
    <w:rsid w:val="02276951"/>
    <w:rsid w:val="033A1BC1"/>
    <w:rsid w:val="05E01F5E"/>
    <w:rsid w:val="08B44892"/>
    <w:rsid w:val="0970184A"/>
    <w:rsid w:val="0A0D0E47"/>
    <w:rsid w:val="0ABF49AF"/>
    <w:rsid w:val="0BAB0918"/>
    <w:rsid w:val="0D004C93"/>
    <w:rsid w:val="0D5A7A76"/>
    <w:rsid w:val="0D8F1E27"/>
    <w:rsid w:val="1122167C"/>
    <w:rsid w:val="12DC3AAD"/>
    <w:rsid w:val="1540322C"/>
    <w:rsid w:val="155965C3"/>
    <w:rsid w:val="16E44279"/>
    <w:rsid w:val="17606A5A"/>
    <w:rsid w:val="176127D3"/>
    <w:rsid w:val="19C15671"/>
    <w:rsid w:val="1A8A15ED"/>
    <w:rsid w:val="1BC33855"/>
    <w:rsid w:val="1C935B6F"/>
    <w:rsid w:val="1EBF675C"/>
    <w:rsid w:val="1ECE4BF1"/>
    <w:rsid w:val="21050673"/>
    <w:rsid w:val="21557E34"/>
    <w:rsid w:val="21C1030D"/>
    <w:rsid w:val="22EC1AEA"/>
    <w:rsid w:val="266F6B7A"/>
    <w:rsid w:val="27DC212D"/>
    <w:rsid w:val="29FB25D1"/>
    <w:rsid w:val="2CF97B28"/>
    <w:rsid w:val="2D483DC1"/>
    <w:rsid w:val="30215916"/>
    <w:rsid w:val="30F93D50"/>
    <w:rsid w:val="3381479C"/>
    <w:rsid w:val="33B76B53"/>
    <w:rsid w:val="33CD3146"/>
    <w:rsid w:val="34853B4C"/>
    <w:rsid w:val="366D1E92"/>
    <w:rsid w:val="36AC3612"/>
    <w:rsid w:val="386F48F8"/>
    <w:rsid w:val="39810D86"/>
    <w:rsid w:val="39CB0253"/>
    <w:rsid w:val="3A3A5061"/>
    <w:rsid w:val="3B7F30A4"/>
    <w:rsid w:val="3D9501A9"/>
    <w:rsid w:val="3E53761E"/>
    <w:rsid w:val="40D6784F"/>
    <w:rsid w:val="413C4D93"/>
    <w:rsid w:val="424D24FB"/>
    <w:rsid w:val="42AF004C"/>
    <w:rsid w:val="447137A5"/>
    <w:rsid w:val="454A4EF9"/>
    <w:rsid w:val="45D3296A"/>
    <w:rsid w:val="4691012F"/>
    <w:rsid w:val="469C5B89"/>
    <w:rsid w:val="46D324F5"/>
    <w:rsid w:val="47993B8A"/>
    <w:rsid w:val="48955B53"/>
    <w:rsid w:val="49221512"/>
    <w:rsid w:val="497735F5"/>
    <w:rsid w:val="497A134E"/>
    <w:rsid w:val="4BA527A4"/>
    <w:rsid w:val="4BCD1C09"/>
    <w:rsid w:val="4C0F6FA6"/>
    <w:rsid w:val="4D3C320F"/>
    <w:rsid w:val="4D59765D"/>
    <w:rsid w:val="4DC96400"/>
    <w:rsid w:val="4E944C60"/>
    <w:rsid w:val="4EE90179"/>
    <w:rsid w:val="50302496"/>
    <w:rsid w:val="523C1897"/>
    <w:rsid w:val="533010B0"/>
    <w:rsid w:val="536D782E"/>
    <w:rsid w:val="54556C40"/>
    <w:rsid w:val="563D5BDD"/>
    <w:rsid w:val="5777D4F5"/>
    <w:rsid w:val="596B480F"/>
    <w:rsid w:val="5C615070"/>
    <w:rsid w:val="5C6414D7"/>
    <w:rsid w:val="5E6957C1"/>
    <w:rsid w:val="5FC6BB1E"/>
    <w:rsid w:val="5FF720F1"/>
    <w:rsid w:val="601E25DC"/>
    <w:rsid w:val="6171165E"/>
    <w:rsid w:val="62495EC3"/>
    <w:rsid w:val="628C5F22"/>
    <w:rsid w:val="63A728E8"/>
    <w:rsid w:val="65640A91"/>
    <w:rsid w:val="697B0A9F"/>
    <w:rsid w:val="698E2948"/>
    <w:rsid w:val="6B0D1BCA"/>
    <w:rsid w:val="6BA8544F"/>
    <w:rsid w:val="6C145BDF"/>
    <w:rsid w:val="6C904861"/>
    <w:rsid w:val="6C9950EC"/>
    <w:rsid w:val="701D465E"/>
    <w:rsid w:val="7023134B"/>
    <w:rsid w:val="70757FF6"/>
    <w:rsid w:val="72083B4D"/>
    <w:rsid w:val="721D430E"/>
    <w:rsid w:val="72F13B80"/>
    <w:rsid w:val="736E51D0"/>
    <w:rsid w:val="737D59BA"/>
    <w:rsid w:val="73855EB9"/>
    <w:rsid w:val="740571ED"/>
    <w:rsid w:val="74772881"/>
    <w:rsid w:val="77C37683"/>
    <w:rsid w:val="78482494"/>
    <w:rsid w:val="79654980"/>
    <w:rsid w:val="79FF515B"/>
    <w:rsid w:val="7A5A025C"/>
    <w:rsid w:val="7A6D706E"/>
    <w:rsid w:val="7C0B2613"/>
    <w:rsid w:val="7C594C70"/>
    <w:rsid w:val="7C682464"/>
    <w:rsid w:val="7CCD2F68"/>
    <w:rsid w:val="7CF90201"/>
    <w:rsid w:val="7DCA121C"/>
    <w:rsid w:val="7E9F11B4"/>
    <w:rsid w:val="7F0C5FC9"/>
    <w:rsid w:val="7FC69637"/>
    <w:rsid w:val="7FCE327F"/>
    <w:rsid w:val="7FFDB408"/>
    <w:rsid w:val="CBFF70E0"/>
    <w:rsid w:val="EEABED75"/>
    <w:rsid w:val="FB36E1A6"/>
    <w:rsid w:val="FFFF1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列出段落1"/>
    <w:basedOn w:val="1"/>
    <w:qFormat/>
    <w:uiPriority w:val="0"/>
    <w:pPr>
      <w:widowControl/>
      <w:ind w:firstLine="420" w:firstLineChars="200"/>
      <w:jc w:val="left"/>
    </w:pPr>
    <w:rPr>
      <w:rFonts w:ascii="宋体" w:hAnsi="宋体" w:cs="宋体"/>
      <w:sz w:val="24"/>
      <w:szCs w:val="24"/>
    </w:rPr>
  </w:style>
  <w:style w:type="paragraph" w:styleId="3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9">
    <w:name w:val="页眉 Char"/>
    <w:basedOn w:val="8"/>
    <w:link w:val="5"/>
    <w:qFormat/>
    <w:uiPriority w:val="99"/>
    <w:rPr>
      <w:sz w:val="18"/>
      <w:szCs w:val="18"/>
    </w:rPr>
  </w:style>
  <w:style w:type="character" w:customStyle="1" w:styleId="10">
    <w:name w:val="页脚 Char"/>
    <w:basedOn w:val="8"/>
    <w:link w:val="4"/>
    <w:qFormat/>
    <w:uiPriority w:val="99"/>
    <w:rPr>
      <w:sz w:val="18"/>
      <w:szCs w:val="18"/>
    </w:rPr>
  </w:style>
  <w:style w:type="paragraph" w:customStyle="1" w:styleId="11">
    <w:name w:val="Default"/>
    <w:qFormat/>
    <w:uiPriority w:val="0"/>
    <w:pPr>
      <w:widowControl w:val="0"/>
      <w:autoSpaceDE w:val="0"/>
      <w:autoSpaceDN w:val="0"/>
      <w:adjustRightInd w:val="0"/>
    </w:pPr>
    <w:rPr>
      <w:rFonts w:ascii="黑体" w:eastAsia="黑体" w:cs="黑体" w:hAnsiTheme="minorHAnsi"/>
      <w:color w:val="000000"/>
      <w:kern w:val="0"/>
      <w:sz w:val="24"/>
      <w:szCs w:val="24"/>
      <w:lang w:val="en-US" w:eastAsia="zh-CN" w:bidi="ar-SA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character" w:customStyle="1" w:styleId="13">
    <w:name w:val="批注框文本 Char"/>
    <w:basedOn w:val="8"/>
    <w:link w:val="3"/>
    <w:semiHidden/>
    <w:qFormat/>
    <w:uiPriority w:val="99"/>
    <w:rPr>
      <w:sz w:val="18"/>
      <w:szCs w:val="18"/>
    </w:rPr>
  </w:style>
  <w:style w:type="character" w:customStyle="1" w:styleId="14">
    <w:name w:val="font01"/>
    <w:basedOn w:val="8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5">
    <w:name w:val="font2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6">
    <w:name w:val="font1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19</Pages>
  <Words>6674</Words>
  <Characters>7309</Characters>
  <Lines>63</Lines>
  <Paragraphs>18</Paragraphs>
  <TotalTime>2</TotalTime>
  <ScaleCrop>false</ScaleCrop>
  <LinksUpToDate>false</LinksUpToDate>
  <CharactersWithSpaces>7331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2020-07-04T18:32:00Z</dcterms:created>
  <dc:creator>李航 null</dc:creator>
  <cp:lastModifiedBy>WPS_1668149522</cp:lastModifiedBy>
  <cp:lastPrinted>2023-08-15T09:28:00Z</cp:lastPrinted>
  <dcterms:modified xsi:type="dcterms:W3CDTF">2024-10-14T11:53:15Z</dcterms:modified>
  <cp:revision>67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D6D349D1107A43D993D70525FBBA34A8_12</vt:lpwstr>
  </property>
</Properties>
</file>