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仿宋" w:hAnsi="仿宋" w:eastAsia="仿宋" w:cs="仿宋"/>
          <w:b/>
          <w:bCs/>
          <w:sz w:val="48"/>
          <w:szCs w:val="48"/>
        </w:rPr>
      </w:pPr>
      <w:r>
        <w:rPr>
          <w:rFonts w:hint="eastAsia" w:ascii="仿宋" w:hAnsi="仿宋" w:eastAsia="仿宋" w:cs="仿宋"/>
          <w:b/>
          <w:bCs/>
          <w:sz w:val="48"/>
          <w:szCs w:val="48"/>
        </w:rPr>
        <w:t>202</w:t>
      </w:r>
      <w:r>
        <w:rPr>
          <w:rFonts w:hint="eastAsia" w:ascii="仿宋" w:hAnsi="仿宋" w:eastAsia="仿宋" w:cs="仿宋"/>
          <w:b/>
          <w:bCs/>
          <w:sz w:val="48"/>
          <w:szCs w:val="48"/>
          <w:lang w:val="en-US" w:eastAsia="zh-CN"/>
        </w:rPr>
        <w:t>1</w:t>
      </w:r>
      <w:r>
        <w:rPr>
          <w:rFonts w:hint="eastAsia" w:ascii="仿宋" w:hAnsi="仿宋" w:eastAsia="仿宋" w:cs="仿宋"/>
          <w:b/>
          <w:bCs/>
          <w:sz w:val="48"/>
          <w:szCs w:val="48"/>
        </w:rPr>
        <w:t>年度</w:t>
      </w:r>
    </w:p>
    <w:p>
      <w:pPr>
        <w:pStyle w:val="10"/>
        <w:jc w:val="center"/>
        <w:rPr>
          <w:rFonts w:hint="eastAsia" w:ascii="仿宋" w:hAnsi="仿宋" w:eastAsia="仿宋" w:cs="仿宋"/>
          <w:b/>
          <w:bCs/>
          <w:sz w:val="48"/>
          <w:szCs w:val="48"/>
        </w:rPr>
      </w:pPr>
      <w:r>
        <w:rPr>
          <w:rFonts w:hint="eastAsia" w:ascii="仿宋" w:hAnsi="仿宋" w:eastAsia="仿宋" w:cs="仿宋"/>
          <w:b/>
          <w:bCs/>
          <w:sz w:val="48"/>
          <w:szCs w:val="48"/>
          <w:lang w:eastAsia="zh-CN"/>
        </w:rPr>
        <w:t>中国农工民主党怀化市委员会</w:t>
      </w:r>
      <w:r>
        <w:rPr>
          <w:rFonts w:hint="eastAsia" w:ascii="仿宋" w:hAnsi="仿宋" w:eastAsia="仿宋" w:cs="仿宋"/>
          <w:b/>
          <w:bCs/>
          <w:sz w:val="48"/>
          <w:szCs w:val="48"/>
        </w:rPr>
        <w:t>部门决算</w:t>
      </w:r>
    </w:p>
    <w:p>
      <w:pPr>
        <w:pStyle w:val="10"/>
        <w:spacing w:line="500" w:lineRule="exact"/>
        <w:jc w:val="center"/>
        <w:rPr>
          <w:rFonts w:hint="eastAsia" w:ascii="仿宋" w:hAnsi="仿宋" w:eastAsia="仿宋" w:cs="仿宋"/>
          <w:b/>
          <w:sz w:val="32"/>
          <w:szCs w:val="32"/>
        </w:rPr>
      </w:pPr>
    </w:p>
    <w:p>
      <w:pPr>
        <w:pStyle w:val="10"/>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目</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录</w:t>
      </w:r>
    </w:p>
    <w:p>
      <w:pPr>
        <w:pStyle w:val="10"/>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sz w:val="32"/>
          <w:szCs w:val="32"/>
        </w:rPr>
      </w:pPr>
    </w:p>
    <w:p>
      <w:pPr>
        <w:pStyle w:val="10"/>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第一部分</w:t>
      </w:r>
      <w:r>
        <w:rPr>
          <w:rFonts w:hint="eastAsia" w:hAnsi="黑体" w:cs="黑体"/>
          <w:b w:val="0"/>
          <w:bCs/>
          <w:sz w:val="32"/>
          <w:szCs w:val="32"/>
          <w:lang w:val="en-US" w:eastAsia="zh-CN"/>
        </w:rPr>
        <w:t xml:space="preserve"> </w:t>
      </w:r>
      <w:r>
        <w:rPr>
          <w:rFonts w:hint="eastAsia" w:ascii="黑体" w:hAnsi="黑体" w:eastAsia="黑体" w:cs="黑体"/>
          <w:b w:val="0"/>
          <w:bCs/>
          <w:sz w:val="32"/>
          <w:szCs w:val="32"/>
          <w:lang w:eastAsia="zh-CN"/>
        </w:rPr>
        <w:t>中国农工民主党怀化市委员会</w:t>
      </w:r>
      <w:r>
        <w:rPr>
          <w:rFonts w:hint="eastAsia" w:ascii="黑体" w:hAnsi="黑体" w:eastAsia="黑体" w:cs="黑体"/>
          <w:b w:val="0"/>
          <w:bCs/>
          <w:sz w:val="32"/>
          <w:szCs w:val="32"/>
        </w:rPr>
        <w:t>概况</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一、部门职责</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二、机构设置</w:t>
      </w:r>
    </w:p>
    <w:p>
      <w:pPr>
        <w:pStyle w:val="10"/>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第二部分</w:t>
      </w:r>
      <w:r>
        <w:rPr>
          <w:rFonts w:hint="eastAsia" w:hAnsi="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二、收入决算表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三、支出决算表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0"/>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第三部分</w:t>
      </w:r>
      <w:r>
        <w:rPr>
          <w:rFonts w:hint="eastAsia" w:hAnsi="黑体" w:cs="黑体"/>
          <w:b w:val="0"/>
          <w:bCs/>
          <w:sz w:val="32"/>
          <w:szCs w:val="32"/>
          <w:lang w:val="en-US" w:eastAsia="zh-CN"/>
        </w:rPr>
        <w:t xml:space="preserve"> </w:t>
      </w:r>
      <w:r>
        <w:rPr>
          <w:rFonts w:hint="eastAsia" w:ascii="黑体" w:hAnsi="黑体" w:eastAsia="黑体" w:cs="黑体"/>
          <w:b w:val="0"/>
          <w:bCs/>
          <w:sz w:val="32"/>
          <w:szCs w:val="32"/>
          <w:lang w:eastAsia="zh-CN"/>
        </w:rPr>
        <w:t>2021</w:t>
      </w:r>
      <w:r>
        <w:rPr>
          <w:rFonts w:hint="eastAsia" w:ascii="黑体" w:hAnsi="黑体" w:eastAsia="黑体" w:cs="黑体"/>
          <w:b w:val="0"/>
          <w:bCs/>
          <w:sz w:val="32"/>
          <w:szCs w:val="32"/>
        </w:rPr>
        <w:t>年度部门决算情况说明</w:t>
      </w:r>
    </w:p>
    <w:p>
      <w:pPr>
        <w:pStyle w:val="10"/>
        <w:spacing w:line="500"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spacing w:line="500"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rPr>
        <w:t>二、收入决算情况说明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autoSpaceDE w:val="0"/>
        <w:autoSpaceDN w:val="0"/>
        <w:adjustRightInd w:val="0"/>
        <w:spacing w:line="500" w:lineRule="exact"/>
        <w:ind w:firstLine="800" w:firstLineChars="25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sz w:val="32"/>
          <w:szCs w:val="32"/>
        </w:rPr>
      </w:pPr>
      <w:r>
        <w:rPr>
          <w:rFonts w:hint="eastAsia" w:ascii="仿宋" w:hAnsi="仿宋" w:eastAsia="仿宋" w:cs="仿宋"/>
          <w:color w:val="000000"/>
          <w:kern w:val="0"/>
          <w:sz w:val="32"/>
          <w:szCs w:val="32"/>
        </w:rPr>
        <w:t>九、</w:t>
      </w:r>
      <w:r>
        <w:rPr>
          <w:rFonts w:hint="eastAsia" w:ascii="仿宋" w:hAnsi="仿宋" w:eastAsia="仿宋" w:cs="仿宋"/>
          <w:sz w:val="32"/>
          <w:szCs w:val="32"/>
        </w:rPr>
        <w:t>国有资本经营预算财政拨款</w:t>
      </w:r>
      <w:r>
        <w:rPr>
          <w:rFonts w:hint="eastAsia" w:ascii="仿宋" w:hAnsi="仿宋" w:eastAsia="仿宋" w:cs="仿宋"/>
          <w:sz w:val="32"/>
          <w:szCs w:val="32"/>
          <w:lang w:val="en-US" w:eastAsia="zh-CN"/>
        </w:rPr>
        <w:t>支出</w:t>
      </w:r>
      <w:r>
        <w:rPr>
          <w:rFonts w:hint="eastAsia" w:ascii="仿宋" w:hAnsi="仿宋" w:eastAsia="仿宋" w:cs="仿宋"/>
          <w:sz w:val="32"/>
          <w:szCs w:val="32"/>
        </w:rPr>
        <w:t>决算情况</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十一、一般性支出情况说明</w:t>
      </w:r>
    </w:p>
    <w:p>
      <w:pPr>
        <w:keepNext w:val="0"/>
        <w:keepLines w:val="0"/>
        <w:pageBreakBefore w:val="0"/>
        <w:widowControl w:val="0"/>
        <w:kinsoku/>
        <w:wordWrap/>
        <w:overflowPunct/>
        <w:topLinePunct w:val="0"/>
        <w:autoSpaceDE w:val="0"/>
        <w:autoSpaceDN w:val="0"/>
        <w:bidi w:val="0"/>
        <w:adjustRightInd w:val="0"/>
        <w:snapToGrid/>
        <w:spacing w:line="480" w:lineRule="exact"/>
        <w:ind w:firstLine="800" w:firstLineChars="25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十二、关于政府采购支出说明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十三、关于国有资产占用情况说明</w:t>
      </w:r>
    </w:p>
    <w:p>
      <w:pPr>
        <w:pStyle w:val="10"/>
        <w:keepNext w:val="0"/>
        <w:keepLines w:val="0"/>
        <w:pageBreakBefore w:val="0"/>
        <w:widowControl w:val="0"/>
        <w:kinsoku/>
        <w:wordWrap/>
        <w:overflowPunct/>
        <w:topLinePunct w:val="0"/>
        <w:bidi w:val="0"/>
        <w:snapToGrid/>
        <w:spacing w:line="48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十四、关于2021年度预算绩效情况说明</w:t>
      </w:r>
    </w:p>
    <w:p>
      <w:pPr>
        <w:pStyle w:val="10"/>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第四部分</w:t>
      </w:r>
      <w:r>
        <w:rPr>
          <w:rFonts w:hint="eastAsia" w:hAnsi="黑体" w:cs="黑体"/>
          <w:b w:val="0"/>
          <w:bCs/>
          <w:sz w:val="32"/>
          <w:szCs w:val="32"/>
          <w:lang w:val="en-US" w:eastAsia="zh-CN"/>
        </w:rPr>
        <w:t xml:space="preserve"> </w:t>
      </w:r>
      <w:r>
        <w:rPr>
          <w:rFonts w:hint="eastAsia" w:ascii="黑体" w:hAnsi="黑体" w:eastAsia="黑体" w:cs="黑体"/>
          <w:b w:val="0"/>
          <w:bCs/>
          <w:sz w:val="32"/>
          <w:szCs w:val="32"/>
        </w:rPr>
        <w:t>名词解释</w:t>
      </w:r>
    </w:p>
    <w:p>
      <w:pPr>
        <w:pStyle w:val="10"/>
        <w:spacing w:line="50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第五部分</w:t>
      </w:r>
      <w:r>
        <w:rPr>
          <w:rFonts w:hint="eastAsia" w:hAnsi="黑体" w:cs="黑体"/>
          <w:b w:val="0"/>
          <w:bCs/>
          <w:sz w:val="32"/>
          <w:szCs w:val="32"/>
          <w:lang w:val="en-US" w:eastAsia="zh-CN"/>
        </w:rPr>
        <w:t xml:space="preserve"> </w:t>
      </w:r>
      <w:r>
        <w:rPr>
          <w:rFonts w:hint="eastAsia" w:ascii="黑体" w:hAnsi="黑体" w:eastAsia="黑体" w:cs="黑体"/>
          <w:b w:val="0"/>
          <w:bCs/>
          <w:sz w:val="32"/>
          <w:szCs w:val="32"/>
        </w:rPr>
        <w:t>附件</w:t>
      </w:r>
    </w:p>
    <w:p>
      <w:pPr>
        <w:jc w:val="center"/>
        <w:rPr>
          <w:rFonts w:hint="eastAsia" w:ascii="仿宋" w:hAnsi="仿宋" w:eastAsia="仿宋" w:cs="仿宋"/>
          <w:sz w:val="32"/>
          <w:szCs w:val="32"/>
        </w:rPr>
      </w:pPr>
    </w:p>
    <w:p>
      <w:pPr>
        <w:pStyle w:val="10"/>
        <w:jc w:val="center"/>
        <w:rPr>
          <w:rFonts w:hint="eastAsia" w:ascii="黑体" w:hAnsi="黑体" w:eastAsia="黑体" w:cs="黑体"/>
          <w:b/>
          <w:bCs/>
          <w:sz w:val="44"/>
          <w:szCs w:val="44"/>
        </w:rPr>
      </w:pPr>
      <w:r>
        <w:rPr>
          <w:rFonts w:hint="eastAsia" w:ascii="黑体" w:hAnsi="黑体" w:eastAsia="黑体" w:cs="黑体"/>
          <w:b/>
          <w:bCs/>
          <w:sz w:val="44"/>
          <w:szCs w:val="44"/>
        </w:rPr>
        <w:t>第一部分</w:t>
      </w:r>
    </w:p>
    <w:p>
      <w:pPr>
        <w:pStyle w:val="10"/>
        <w:jc w:val="center"/>
        <w:rPr>
          <w:rFonts w:hint="eastAsia" w:ascii="黑体" w:hAnsi="黑体" w:eastAsia="黑体" w:cs="黑体"/>
          <w:b/>
          <w:bCs/>
          <w:sz w:val="44"/>
          <w:szCs w:val="44"/>
        </w:rPr>
      </w:pPr>
      <w:r>
        <w:rPr>
          <w:rFonts w:hint="eastAsia" w:ascii="黑体" w:hAnsi="黑体" w:eastAsia="黑体" w:cs="黑体"/>
          <w:b/>
          <w:bCs/>
          <w:sz w:val="44"/>
          <w:szCs w:val="44"/>
          <w:lang w:eastAsia="zh-CN"/>
        </w:rPr>
        <w:t>中国农工民主党怀化市委员会</w:t>
      </w:r>
      <w:r>
        <w:rPr>
          <w:rFonts w:hint="eastAsia" w:ascii="黑体" w:hAnsi="黑体" w:eastAsia="黑体" w:cs="黑体"/>
          <w:b/>
          <w:bCs/>
          <w:sz w:val="44"/>
          <w:szCs w:val="44"/>
        </w:rPr>
        <w:t>概况</w:t>
      </w:r>
    </w:p>
    <w:p>
      <w:pPr>
        <w:jc w:val="center"/>
        <w:rPr>
          <w:rFonts w:hint="eastAsia" w:ascii="黑体" w:hAnsi="黑体" w:eastAsia="黑体" w:cs="黑体"/>
          <w:b/>
          <w:bCs/>
          <w:sz w:val="44"/>
          <w:szCs w:val="44"/>
        </w:rPr>
      </w:pPr>
    </w:p>
    <w:p>
      <w:pPr>
        <w:pStyle w:val="11"/>
        <w:keepNext w:val="0"/>
        <w:keepLines w:val="0"/>
        <w:pageBreakBefore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Cs/>
          <w:kern w:val="0"/>
          <w:sz w:val="32"/>
          <w:szCs w:val="32"/>
          <w:lang w:eastAsia="zh-CN"/>
        </w:rPr>
        <w:t>中国农工民主党是以医药卫生、人口资源和生态环境领域高中级知识分子为主，由一部分社会主义劳动者、社会主义事业建设者和拥护社会主义的爱国者组成的，具有政治联盟特点的中国特色社会主义参政党，是中国共产党领导的多党合作和政治协商制度中，同中国共产党通力合作的亲密友党。中国农工民主党怀化市委员会主要有参政议政、民主监督和参加中国共产党领导的政治协商三大职能。</w:t>
      </w:r>
    </w:p>
    <w:p>
      <w:pPr>
        <w:pStyle w:val="11"/>
        <w:keepNext w:val="0"/>
        <w:keepLines w:val="0"/>
        <w:pageBreakBefore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
          <w:bCs w:val="0"/>
          <w:kern w:val="0"/>
          <w:sz w:val="32"/>
          <w:szCs w:val="32"/>
        </w:rPr>
        <w:t>（一）内设机构设置。</w:t>
      </w:r>
      <w:r>
        <w:rPr>
          <w:rFonts w:hint="eastAsia" w:ascii="仿宋" w:hAnsi="仿宋" w:eastAsia="仿宋" w:cs="仿宋"/>
          <w:bCs/>
          <w:kern w:val="0"/>
          <w:sz w:val="32"/>
          <w:szCs w:val="32"/>
          <w:lang w:eastAsia="zh-CN"/>
        </w:rPr>
        <w:t>中国农工民主党怀化市委员会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w:t>
      </w:r>
      <w:r>
        <w:rPr>
          <w:rFonts w:hint="eastAsia" w:ascii="仿宋" w:hAnsi="仿宋" w:eastAsia="仿宋" w:cs="仿宋"/>
          <w:bCs/>
          <w:kern w:val="0"/>
          <w:sz w:val="32"/>
          <w:szCs w:val="32"/>
          <w:lang w:eastAsia="zh-CN"/>
        </w:rPr>
        <w:t>构包括：办公室、参政议政宣传科。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
          <w:bCs w:val="0"/>
          <w:kern w:val="0"/>
          <w:sz w:val="32"/>
          <w:szCs w:val="32"/>
          <w:lang w:eastAsia="zh-CN"/>
        </w:rPr>
        <w:t>（二）决算单位构成。</w:t>
      </w:r>
      <w:r>
        <w:rPr>
          <w:rFonts w:hint="eastAsia" w:ascii="仿宋" w:hAnsi="仿宋" w:eastAsia="仿宋" w:cs="仿宋"/>
          <w:bCs/>
          <w:kern w:val="0"/>
          <w:sz w:val="32"/>
          <w:szCs w:val="32"/>
          <w:lang w:eastAsia="zh-CN"/>
        </w:rPr>
        <w:t>中国农工民主党怀化市委员会2021年部门决算汇总公开单位构成包括：中国农工民主党怀化市委员会</w:t>
      </w:r>
      <w:r>
        <w:rPr>
          <w:rFonts w:hint="eastAsia" w:ascii="仿宋" w:hAnsi="仿宋" w:eastAsia="仿宋" w:cs="仿宋"/>
          <w:bCs/>
          <w:kern w:val="0"/>
          <w:sz w:val="32"/>
          <w:szCs w:val="32"/>
        </w:rPr>
        <w:t>本级</w:t>
      </w:r>
      <w:r>
        <w:rPr>
          <w:rFonts w:hint="eastAsia" w:ascii="仿宋" w:hAnsi="仿宋" w:eastAsia="仿宋" w:cs="仿宋"/>
          <w:bCs/>
          <w:kern w:val="0"/>
          <w:sz w:val="32"/>
          <w:szCs w:val="32"/>
          <w:lang w:eastAsia="zh-CN"/>
        </w:rPr>
        <w:t>。</w:t>
      </w:r>
    </w:p>
    <w:p>
      <w:pPr>
        <w:jc w:val="center"/>
        <w:rPr>
          <w:rFonts w:hint="eastAsia" w:ascii="仿宋" w:hAnsi="仿宋" w:eastAsia="仿宋" w:cs="仿宋"/>
          <w:sz w:val="32"/>
          <w:szCs w:val="32"/>
        </w:rPr>
      </w:pPr>
    </w:p>
    <w:p>
      <w:pPr>
        <w:jc w:val="center"/>
        <w:rPr>
          <w:rFonts w:hint="eastAsia" w:ascii="黑体" w:hAnsi="黑体" w:eastAsia="黑体" w:cs="黑体"/>
          <w:b/>
          <w:bCs/>
          <w:sz w:val="44"/>
          <w:szCs w:val="44"/>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widowControl/>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见附件</w:t>
      </w:r>
    </w:p>
    <w:p>
      <w:pPr>
        <w:widowControl/>
        <w:jc w:val="center"/>
        <w:rPr>
          <w:rFonts w:hint="eastAsia" w:ascii="仿宋" w:hAnsi="仿宋" w:eastAsia="仿宋" w:cs="仿宋"/>
          <w:sz w:val="32"/>
          <w:szCs w:val="32"/>
          <w:lang w:eastAsia="zh-CN"/>
        </w:rPr>
      </w:pPr>
    </w:p>
    <w:p>
      <w:pPr>
        <w:widowControl/>
        <w:jc w:val="center"/>
        <w:rPr>
          <w:rFonts w:hint="eastAsia" w:ascii="仿宋" w:hAnsi="仿宋" w:eastAsia="仿宋" w:cs="仿宋"/>
          <w:sz w:val="32"/>
          <w:szCs w:val="32"/>
          <w:lang w:eastAsia="zh-CN"/>
        </w:rPr>
      </w:pPr>
    </w:p>
    <w:p>
      <w:pPr>
        <w:jc w:val="center"/>
        <w:rPr>
          <w:rFonts w:hint="eastAsia" w:ascii="黑体" w:hAnsi="黑体" w:eastAsia="黑体" w:cs="黑体"/>
          <w:b/>
          <w:bCs/>
          <w:sz w:val="44"/>
          <w:szCs w:val="44"/>
        </w:rPr>
      </w:pPr>
      <w:r>
        <w:rPr>
          <w:rFonts w:hint="eastAsia" w:ascii="黑体" w:hAnsi="黑体" w:eastAsia="黑体" w:cs="黑体"/>
          <w:b/>
          <w:bCs/>
          <w:sz w:val="44"/>
          <w:szCs w:val="44"/>
        </w:rPr>
        <w:t>第三部分</w:t>
      </w:r>
    </w:p>
    <w:p>
      <w:pPr>
        <w:jc w:val="center"/>
        <w:rPr>
          <w:rFonts w:hint="eastAsia" w:ascii="仿宋" w:hAnsi="仿宋" w:eastAsia="仿宋" w:cs="仿宋"/>
          <w:sz w:val="32"/>
          <w:szCs w:val="32"/>
        </w:rPr>
      </w:pPr>
      <w:r>
        <w:rPr>
          <w:rFonts w:hint="eastAsia" w:ascii="黑体" w:hAnsi="黑体" w:eastAsia="黑体" w:cs="黑体"/>
          <w:b/>
          <w:bCs/>
          <w:sz w:val="44"/>
          <w:szCs w:val="44"/>
          <w:lang w:eastAsia="zh-CN"/>
        </w:rPr>
        <w:t>2021</w:t>
      </w:r>
      <w:r>
        <w:rPr>
          <w:rFonts w:hint="eastAsia" w:ascii="黑体" w:hAnsi="黑体" w:eastAsia="黑体" w:cs="黑体"/>
          <w:b/>
          <w:bCs/>
          <w:sz w:val="44"/>
          <w:szCs w:val="44"/>
        </w:rPr>
        <w:t>年度部门决算情况说明</w:t>
      </w:r>
    </w:p>
    <w:p>
      <w:pPr>
        <w:widowControl/>
        <w:jc w:val="left"/>
        <w:rPr>
          <w:rFonts w:hint="eastAsia" w:ascii="仿宋" w:hAnsi="仿宋" w:eastAsia="仿宋" w:cs="仿宋"/>
          <w:color w:val="000000"/>
          <w:kern w:val="0"/>
          <w:sz w:val="32"/>
          <w:szCs w:val="32"/>
        </w:rPr>
      </w:pP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80.03万元。与上年相比，</w:t>
      </w:r>
      <w:r>
        <w:rPr>
          <w:rFonts w:hint="eastAsia" w:ascii="仿宋" w:hAnsi="仿宋" w:eastAsia="仿宋" w:cs="仿宋"/>
          <w:sz w:val="32"/>
          <w:szCs w:val="32"/>
          <w:lang w:val="en-US" w:eastAsia="zh-CN"/>
        </w:rPr>
        <w:t>减少10.86</w:t>
      </w:r>
      <w:r>
        <w:rPr>
          <w:rFonts w:hint="eastAsia" w:ascii="仿宋" w:hAnsi="仿宋" w:eastAsia="仿宋" w:cs="仿宋"/>
          <w:sz w:val="32"/>
          <w:szCs w:val="32"/>
        </w:rPr>
        <w:t>万元，</w:t>
      </w:r>
      <w:r>
        <w:rPr>
          <w:rFonts w:hint="eastAsia" w:ascii="仿宋" w:hAnsi="仿宋" w:eastAsia="仿宋" w:cs="仿宋"/>
          <w:sz w:val="32"/>
          <w:szCs w:val="32"/>
          <w:lang w:val="en-US" w:eastAsia="zh-CN"/>
        </w:rPr>
        <w:t>减少11.95</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党派物业管理费减少。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本年收入合计80.03元，其中：财政拨款收入80.03万元，占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本年支出合计80.03万元，其中：基本支出80.03万元，占</w:t>
      </w:r>
      <w:r>
        <w:rPr>
          <w:rFonts w:hint="eastAsia" w:ascii="仿宋" w:hAnsi="仿宋" w:eastAsia="仿宋" w:cs="仿宋"/>
          <w:sz w:val="32"/>
          <w:szCs w:val="32"/>
          <w:lang w:val="en-US" w:eastAsia="zh-CN"/>
        </w:rPr>
        <w:t>100</w:t>
      </w:r>
      <w:r>
        <w:rPr>
          <w:rFonts w:hint="eastAsia" w:ascii="仿宋" w:hAnsi="仿宋" w:eastAsia="仿宋" w:cs="仿宋"/>
          <w:sz w:val="32"/>
          <w:szCs w:val="32"/>
        </w:rPr>
        <w:t>%；项目支出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各</w:t>
      </w:r>
      <w:r>
        <w:rPr>
          <w:rFonts w:hint="eastAsia" w:ascii="仿宋" w:hAnsi="仿宋" w:eastAsia="仿宋" w:cs="仿宋"/>
          <w:sz w:val="32"/>
          <w:szCs w:val="32"/>
        </w:rPr>
        <w:t>80.03万元，与上年相比，</w:t>
      </w:r>
      <w:r>
        <w:rPr>
          <w:rFonts w:hint="eastAsia" w:ascii="仿宋" w:hAnsi="仿宋" w:eastAsia="仿宋" w:cs="仿宋"/>
          <w:sz w:val="32"/>
          <w:szCs w:val="32"/>
          <w:lang w:val="en-US" w:eastAsia="zh-CN"/>
        </w:rPr>
        <w:t>减少10.86</w:t>
      </w:r>
      <w:r>
        <w:rPr>
          <w:rFonts w:hint="eastAsia" w:ascii="仿宋" w:hAnsi="仿宋" w:eastAsia="仿宋" w:cs="仿宋"/>
          <w:sz w:val="32"/>
          <w:szCs w:val="32"/>
        </w:rPr>
        <w:t>万元，</w:t>
      </w:r>
      <w:r>
        <w:rPr>
          <w:rFonts w:hint="eastAsia" w:ascii="仿宋" w:hAnsi="仿宋" w:eastAsia="仿宋" w:cs="仿宋"/>
          <w:sz w:val="32"/>
          <w:szCs w:val="32"/>
          <w:lang w:val="en-US" w:eastAsia="zh-CN"/>
        </w:rPr>
        <w:t>减少11.95</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党派物业管理费减少。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年度财政拨款支出80.03万元，占本年支出合计的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w:t>
      </w:r>
      <w:r>
        <w:rPr>
          <w:rFonts w:hint="eastAsia" w:ascii="仿宋" w:hAnsi="仿宋" w:eastAsia="仿宋" w:cs="仿宋"/>
          <w:sz w:val="32"/>
          <w:szCs w:val="32"/>
          <w:lang w:val="en-US" w:eastAsia="zh-CN"/>
        </w:rPr>
        <w:t>减少10.86</w:t>
      </w:r>
      <w:r>
        <w:rPr>
          <w:rFonts w:hint="eastAsia" w:ascii="仿宋" w:hAnsi="仿宋" w:eastAsia="仿宋" w:cs="仿宋"/>
          <w:sz w:val="32"/>
          <w:szCs w:val="32"/>
        </w:rPr>
        <w:t>万元，</w:t>
      </w:r>
      <w:r>
        <w:rPr>
          <w:rFonts w:hint="eastAsia" w:ascii="仿宋" w:hAnsi="仿宋" w:eastAsia="仿宋" w:cs="仿宋"/>
          <w:sz w:val="32"/>
          <w:szCs w:val="32"/>
          <w:lang w:val="en-US" w:eastAsia="zh-CN"/>
        </w:rPr>
        <w:t>减少11.95</w:t>
      </w:r>
      <w:r>
        <w:rPr>
          <w:rFonts w:hint="eastAsia" w:ascii="仿宋" w:hAnsi="仿宋" w:eastAsia="仿宋" w:cs="仿宋"/>
          <w:sz w:val="32"/>
          <w:szCs w:val="32"/>
        </w:rPr>
        <w:t>%，主要是因为</w:t>
      </w:r>
      <w:r>
        <w:rPr>
          <w:rFonts w:hint="eastAsia" w:ascii="仿宋" w:hAnsi="仿宋" w:eastAsia="仿宋" w:cs="仿宋"/>
          <w:sz w:val="32"/>
          <w:szCs w:val="32"/>
          <w:lang w:val="en-US" w:eastAsia="zh-CN"/>
        </w:rPr>
        <w:t>党派物业管理费减少。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年度财政拨款支出80.03万元，主要用于以下方面：一般公共服务（类）支出72.86万元，占</w:t>
      </w:r>
      <w:r>
        <w:rPr>
          <w:rFonts w:hint="eastAsia" w:ascii="仿宋" w:hAnsi="仿宋" w:eastAsia="仿宋" w:cs="仿宋"/>
          <w:sz w:val="32"/>
          <w:szCs w:val="32"/>
          <w:lang w:val="en-US" w:eastAsia="zh-CN"/>
        </w:rPr>
        <w:t>91.04</w:t>
      </w:r>
      <w:r>
        <w:rPr>
          <w:rFonts w:hint="eastAsia" w:ascii="仿宋" w:hAnsi="仿宋" w:eastAsia="仿宋" w:cs="仿宋"/>
          <w:sz w:val="32"/>
          <w:szCs w:val="32"/>
        </w:rPr>
        <w:t>%；社会保障和就业（类）支出5.99万元，占</w:t>
      </w:r>
      <w:r>
        <w:rPr>
          <w:rFonts w:hint="eastAsia" w:ascii="仿宋" w:hAnsi="仿宋" w:eastAsia="仿宋" w:cs="仿宋"/>
          <w:sz w:val="32"/>
          <w:szCs w:val="32"/>
          <w:lang w:val="en-US" w:eastAsia="zh-CN"/>
        </w:rPr>
        <w:t>7.48</w:t>
      </w:r>
      <w:r>
        <w:rPr>
          <w:rFonts w:hint="eastAsia" w:ascii="仿宋" w:hAnsi="仿宋" w:eastAsia="仿宋" w:cs="仿宋"/>
          <w:sz w:val="32"/>
          <w:szCs w:val="32"/>
        </w:rPr>
        <w:t>%;卫生健康（类）支出1.18万元，占</w:t>
      </w:r>
      <w:r>
        <w:rPr>
          <w:rFonts w:hint="eastAsia" w:ascii="仿宋" w:hAnsi="仿宋" w:eastAsia="仿宋" w:cs="仿宋"/>
          <w:sz w:val="32"/>
          <w:szCs w:val="32"/>
          <w:lang w:val="en-US" w:eastAsia="zh-CN"/>
        </w:rPr>
        <w:t>1.47</w:t>
      </w:r>
      <w:r>
        <w:rPr>
          <w:rFonts w:hint="eastAsia" w:ascii="仿宋" w:hAnsi="仿宋" w:eastAsia="仿宋" w:cs="仿宋"/>
          <w:sz w:val="32"/>
          <w:szCs w:val="32"/>
        </w:rPr>
        <w:t>%</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65.31</w:t>
      </w:r>
      <w:r>
        <w:rPr>
          <w:rFonts w:hint="eastAsia" w:ascii="仿宋" w:hAnsi="仿宋" w:eastAsia="仿宋" w:cs="仿宋"/>
          <w:sz w:val="32"/>
          <w:szCs w:val="32"/>
        </w:rPr>
        <w:t>万元，支出决算数为80.03万元，完成年初预算的</w:t>
      </w:r>
      <w:r>
        <w:rPr>
          <w:rFonts w:hint="eastAsia" w:ascii="仿宋" w:hAnsi="仿宋" w:eastAsia="仿宋" w:cs="仿宋"/>
          <w:sz w:val="32"/>
          <w:szCs w:val="32"/>
          <w:lang w:val="en-US" w:eastAsia="zh-CN"/>
        </w:rPr>
        <w:t>122.54</w:t>
      </w:r>
      <w:r>
        <w:rPr>
          <w:rFonts w:hint="eastAsia" w:ascii="仿宋" w:hAnsi="仿宋" w:eastAsia="仿宋" w:cs="仿宋"/>
          <w:sz w:val="32"/>
          <w:szCs w:val="32"/>
        </w:rPr>
        <w:t>%，其中：</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1、一般公共服务（类）民主党派及工商联事务（款）行政运行（项）。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年初预算为49.93万元，支出决算为54.86万元，完成年初预算的</w:t>
      </w:r>
      <w:r>
        <w:rPr>
          <w:rFonts w:hint="eastAsia" w:ascii="仿宋" w:hAnsi="仿宋" w:eastAsia="仿宋" w:cs="仿宋"/>
          <w:sz w:val="32"/>
          <w:szCs w:val="32"/>
          <w:lang w:val="en-US" w:eastAsia="zh-CN"/>
        </w:rPr>
        <w:t>109.87</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追加预算。</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一般公共服务（类）政协事务</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款</w:t>
      </w:r>
      <w:r>
        <w:rPr>
          <w:rFonts w:hint="eastAsia" w:ascii="仿宋" w:hAnsi="仿宋" w:eastAsia="仿宋" w:cs="仿宋"/>
          <w:sz w:val="32"/>
          <w:szCs w:val="32"/>
          <w:lang w:eastAsia="zh-CN"/>
        </w:rPr>
        <w:t>）其他政协事务支出</w:t>
      </w:r>
      <w:r>
        <w:rPr>
          <w:rFonts w:hint="eastAsia" w:ascii="仿宋" w:hAnsi="仿宋" w:eastAsia="仿宋" w:cs="仿宋"/>
          <w:sz w:val="32"/>
          <w:szCs w:val="32"/>
        </w:rPr>
        <w:t>（项）。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3.00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省政协下拨政协工作室经费。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、社会保障和就业支出（类）行政事业单位养老支出（款）行政单位离退休（项）。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年初预算为0.38万元，支出决算为0.3</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78.95</w:t>
      </w:r>
      <w:r>
        <w:rPr>
          <w:rFonts w:hint="eastAsia" w:ascii="仿宋" w:hAnsi="仿宋" w:eastAsia="仿宋" w:cs="仿宋"/>
          <w:sz w:val="32"/>
          <w:szCs w:val="32"/>
        </w:rPr>
        <w:t>%，决算数小于年初预算数的主要原因是：</w:t>
      </w:r>
      <w:r>
        <w:rPr>
          <w:rFonts w:hint="eastAsia" w:ascii="仿宋" w:hAnsi="仿宋" w:eastAsia="仿宋" w:cs="仿宋"/>
          <w:sz w:val="32"/>
          <w:szCs w:val="32"/>
          <w:lang w:val="en-US" w:eastAsia="zh-CN"/>
        </w:rPr>
        <w:t>部分预算资金未支出。</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一般公共服务（类）民主党派及工商联事务（款）</w:t>
      </w:r>
      <w:r>
        <w:rPr>
          <w:rFonts w:hint="eastAsia" w:ascii="仿宋" w:hAnsi="仿宋" w:eastAsia="仿宋" w:cs="仿宋"/>
          <w:sz w:val="32"/>
          <w:szCs w:val="32"/>
          <w:lang w:val="en-US" w:eastAsia="zh-CN"/>
        </w:rPr>
        <w:t>其他民主党派及工商联事务支出（项）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15.00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15.00</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100</w:t>
      </w:r>
      <w:r>
        <w:rPr>
          <w:rFonts w:hint="eastAsia" w:ascii="仿宋" w:hAnsi="仿宋" w:eastAsia="仿宋" w:cs="仿宋"/>
          <w:sz w:val="32"/>
          <w:szCs w:val="32"/>
        </w:rPr>
        <w:t>%，决算数</w:t>
      </w:r>
      <w:r>
        <w:rPr>
          <w:rFonts w:hint="eastAsia" w:ascii="仿宋" w:hAnsi="仿宋" w:eastAsia="仿宋" w:cs="仿宋"/>
          <w:sz w:val="32"/>
          <w:szCs w:val="32"/>
          <w:lang w:val="en-US" w:eastAsia="zh-CN"/>
        </w:rPr>
        <w:t>等于</w:t>
      </w:r>
      <w:r>
        <w:rPr>
          <w:rFonts w:hint="eastAsia" w:ascii="仿宋" w:hAnsi="仿宋" w:eastAsia="仿宋" w:cs="仿宋"/>
          <w:sz w:val="32"/>
          <w:szCs w:val="32"/>
        </w:rPr>
        <w:t>年初预算数</w:t>
      </w:r>
      <w:r>
        <w:rPr>
          <w:rFonts w:hint="eastAsia" w:ascii="仿宋" w:hAnsi="仿宋" w:eastAsia="仿宋" w:cs="仿宋"/>
          <w:sz w:val="32"/>
          <w:szCs w:val="32"/>
          <w:lang w:eastAsia="zh-CN"/>
        </w:rPr>
        <w:t>，</w:t>
      </w:r>
      <w:r>
        <w:rPr>
          <w:rFonts w:hint="eastAsia" w:ascii="仿宋" w:hAnsi="仿宋" w:eastAsia="仿宋" w:cs="仿宋"/>
          <w:color w:val="000000" w:themeColor="text1"/>
          <w:sz w:val="32"/>
          <w:szCs w:val="32"/>
          <w14:textFill>
            <w14:solidFill>
              <w14:schemeClr w14:val="tx1"/>
            </w14:solidFill>
          </w14:textFill>
        </w:rPr>
        <w:t>主要原因是按预算执行。</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、社会保障和就业支出（类）行政事业单位养老支出（款）机关事业单位基本养老保险缴费支出（项）。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万元，支出决算为2.35万元，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财政统筹资金。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、社会保障和就业支出（类）行政事业单位养老支出（款）其他行政事业单位养老支出（项）。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万元，支出决算为3.34万元，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财政统筹奖金未纳入预算。</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卫生健康支出（类）行政事业单位医疗（款）行政单位医疗（项）。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万元，支出决算为1.11万元，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财政统筹资金。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rPr>
        <w:t>卫生健康支出（类）行政事业单位医疗（款）其他行政事业单位医疗支出（项）。</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万元，支出决算为0.07万元，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val="en-US" w:eastAsia="zh-CN"/>
        </w:rPr>
        <w:t>财政统筹资金。</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年度财政拨款基本支出80.03万元，其中：人员经费28.4</w:t>
      </w:r>
      <w:r>
        <w:rPr>
          <w:rFonts w:hint="eastAsia" w:ascii="仿宋" w:hAnsi="仿宋" w:eastAsia="仿宋" w:cs="仿宋"/>
          <w:sz w:val="32"/>
          <w:szCs w:val="32"/>
          <w:lang w:val="en-US" w:eastAsia="zh-CN"/>
        </w:rPr>
        <w:t>0</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35.49%</w:t>
      </w:r>
      <w:r>
        <w:rPr>
          <w:rFonts w:hint="eastAsia" w:ascii="仿宋" w:hAnsi="仿宋" w:eastAsia="仿宋" w:cs="仿宋"/>
          <w:sz w:val="32"/>
          <w:szCs w:val="32"/>
        </w:rPr>
        <w:t>,主要包括基本工资、津贴补贴、奖金、机关事业单位基本养老保险缴费</w:t>
      </w:r>
      <w:r>
        <w:rPr>
          <w:rFonts w:hint="eastAsia" w:ascii="仿宋" w:hAnsi="仿宋" w:eastAsia="仿宋" w:cs="仿宋"/>
          <w:sz w:val="32"/>
          <w:szCs w:val="32"/>
          <w:lang w:eastAsia="zh-CN"/>
        </w:rPr>
        <w:t>、职工基本医疗保险缴费、其他社会保障缴费、退休费</w:t>
      </w:r>
      <w:r>
        <w:rPr>
          <w:rFonts w:hint="eastAsia" w:ascii="仿宋" w:hAnsi="仿宋" w:eastAsia="仿宋" w:cs="仿宋"/>
          <w:sz w:val="32"/>
          <w:szCs w:val="32"/>
        </w:rPr>
        <w:t>；公用经费51.63万元，占基本支出的</w:t>
      </w:r>
      <w:r>
        <w:rPr>
          <w:rFonts w:hint="eastAsia" w:ascii="仿宋" w:hAnsi="仿宋" w:eastAsia="仿宋" w:cs="仿宋"/>
          <w:sz w:val="32"/>
          <w:szCs w:val="32"/>
          <w:lang w:val="en-US" w:eastAsia="zh-CN"/>
        </w:rPr>
        <w:t>64.51</w:t>
      </w:r>
      <w:r>
        <w:rPr>
          <w:rFonts w:hint="eastAsia" w:ascii="仿宋" w:hAnsi="仿宋" w:eastAsia="仿宋" w:cs="仿宋"/>
          <w:sz w:val="32"/>
          <w:szCs w:val="32"/>
        </w:rPr>
        <w:t>%，主要包括办公费、印刷费、水费</w:t>
      </w:r>
      <w:r>
        <w:rPr>
          <w:rFonts w:hint="eastAsia" w:ascii="仿宋" w:hAnsi="仿宋" w:eastAsia="仿宋" w:cs="仿宋"/>
          <w:sz w:val="32"/>
          <w:szCs w:val="32"/>
          <w:lang w:eastAsia="zh-CN"/>
        </w:rPr>
        <w:t>、电费、邮电费、物业管理费、差旅费、维修（护）费、会议费、培训费、公务接待费</w:t>
      </w:r>
      <w:r>
        <w:rPr>
          <w:rFonts w:hint="eastAsia" w:ascii="仿宋" w:hAnsi="仿宋" w:eastAsia="仿宋" w:cs="仿宋"/>
          <w:sz w:val="32"/>
          <w:szCs w:val="32"/>
          <w:lang w:val="en-US" w:eastAsia="zh-CN"/>
        </w:rPr>
        <w:t>等</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七、一般公共预算财政拨款三公经费支出决算情况说明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“三公”经费财政拨款支出预算为5.46万元，支出决算为0.04万元，完成预算的</w:t>
      </w:r>
      <w:r>
        <w:rPr>
          <w:rFonts w:hint="eastAsia" w:ascii="仿宋" w:hAnsi="仿宋" w:eastAsia="仿宋" w:cs="仿宋"/>
          <w:sz w:val="32"/>
          <w:szCs w:val="32"/>
          <w:lang w:val="en-US" w:eastAsia="zh-CN"/>
        </w:rPr>
        <w:t>0.70</w:t>
      </w:r>
      <w:r>
        <w:rPr>
          <w:rFonts w:hint="eastAsia" w:ascii="仿宋" w:hAnsi="仿宋" w:eastAsia="仿宋" w:cs="仿宋"/>
          <w:sz w:val="32"/>
          <w:szCs w:val="32"/>
        </w:rPr>
        <w:t>%，其中：</w:t>
      </w:r>
    </w:p>
    <w:p>
      <w:pPr>
        <w:pStyle w:val="10"/>
        <w:numPr>
          <w:ilvl w:val="0"/>
          <w:numId w:val="0"/>
        </w:numPr>
        <w:ind w:firstLine="800" w:firstLineChars="25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sz w:val="32"/>
          <w:szCs w:val="32"/>
          <w:lang w:val="en-US" w:eastAsia="zh-CN"/>
        </w:rPr>
        <w:t>1、</w:t>
      </w:r>
      <w:r>
        <w:rPr>
          <w:rFonts w:hint="eastAsia" w:ascii="仿宋" w:hAnsi="仿宋" w:eastAsia="仿宋" w:cs="仿宋"/>
          <w:sz w:val="32"/>
          <w:szCs w:val="32"/>
        </w:rPr>
        <w:t>因公出国（境）费支出预算为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决算数与年初预算数持平，主要原因按预算执行，与上年数持平，主要原因本年度未安排因公出国(境)。</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公务接待费支出预算为2.31万元，支出决算为0.</w:t>
      </w:r>
      <w:r>
        <w:rPr>
          <w:rFonts w:hint="eastAsia" w:ascii="仿宋" w:hAnsi="仿宋" w:eastAsia="仿宋" w:cs="仿宋"/>
          <w:sz w:val="32"/>
          <w:szCs w:val="32"/>
          <w:lang w:val="en-US" w:eastAsia="zh-CN"/>
        </w:rPr>
        <w:t>04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1.73</w:t>
      </w:r>
      <w:r>
        <w:rPr>
          <w:rFonts w:hint="eastAsia" w:ascii="仿宋" w:hAnsi="仿宋" w:eastAsia="仿宋" w:cs="仿宋"/>
          <w:sz w:val="32"/>
          <w:szCs w:val="32"/>
        </w:rPr>
        <w:t>%，决算数小于预算数的主要原因是严格</w:t>
      </w:r>
      <w:r>
        <w:rPr>
          <w:rFonts w:hint="eastAsia" w:ascii="仿宋" w:hAnsi="仿宋" w:eastAsia="仿宋" w:cs="仿宋"/>
          <w:sz w:val="32"/>
          <w:szCs w:val="32"/>
          <w:lang w:val="en-US" w:eastAsia="zh-CN"/>
        </w:rPr>
        <w:t>控制</w:t>
      </w:r>
      <w:r>
        <w:rPr>
          <w:rFonts w:hint="eastAsia" w:ascii="仿宋" w:hAnsi="仿宋" w:eastAsia="仿宋" w:cs="仿宋"/>
          <w:sz w:val="32"/>
          <w:szCs w:val="32"/>
        </w:rPr>
        <w:t>三公经费开支</w:t>
      </w:r>
      <w:r>
        <w:rPr>
          <w:rFonts w:hint="eastAsia" w:ascii="仿宋" w:hAnsi="仿宋" w:eastAsia="仿宋" w:cs="仿宋"/>
          <w:sz w:val="32"/>
          <w:szCs w:val="32"/>
          <w:lang w:val="en-US" w:eastAsia="zh-CN"/>
        </w:rPr>
        <w:t>和疫情影响减少了公务往来</w:t>
      </w:r>
      <w:r>
        <w:rPr>
          <w:rFonts w:hint="eastAsia" w:ascii="仿宋" w:hAnsi="仿宋" w:eastAsia="仿宋" w:cs="仿宋"/>
          <w:sz w:val="32"/>
          <w:szCs w:val="32"/>
        </w:rPr>
        <w:t>，与上年相比减少</w:t>
      </w:r>
      <w:r>
        <w:rPr>
          <w:rFonts w:hint="eastAsia" w:ascii="仿宋" w:hAnsi="仿宋" w:eastAsia="仿宋" w:cs="仿宋"/>
          <w:sz w:val="32"/>
          <w:szCs w:val="32"/>
          <w:lang w:val="en-US" w:eastAsia="zh-CN"/>
        </w:rPr>
        <w:t>0.19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82.6</w:t>
      </w:r>
      <w:r>
        <w:rPr>
          <w:rFonts w:hint="eastAsia" w:ascii="仿宋" w:hAnsi="仿宋" w:eastAsia="仿宋" w:cs="仿宋"/>
          <w:sz w:val="32"/>
          <w:szCs w:val="32"/>
        </w:rPr>
        <w:t>%,减少的主要原因是严格</w:t>
      </w:r>
      <w:r>
        <w:rPr>
          <w:rFonts w:hint="eastAsia" w:ascii="仿宋" w:hAnsi="仿宋" w:eastAsia="仿宋" w:cs="仿宋"/>
          <w:sz w:val="32"/>
          <w:szCs w:val="32"/>
          <w:lang w:val="en-US" w:eastAsia="zh-CN"/>
        </w:rPr>
        <w:t>控制</w:t>
      </w:r>
      <w:r>
        <w:rPr>
          <w:rFonts w:hint="eastAsia" w:ascii="仿宋" w:hAnsi="仿宋" w:eastAsia="仿宋" w:cs="仿宋"/>
          <w:sz w:val="32"/>
          <w:szCs w:val="32"/>
        </w:rPr>
        <w:t>三公经费开支</w:t>
      </w:r>
      <w:r>
        <w:rPr>
          <w:rFonts w:hint="eastAsia" w:ascii="仿宋" w:hAnsi="仿宋" w:eastAsia="仿宋" w:cs="仿宋"/>
          <w:sz w:val="32"/>
          <w:szCs w:val="32"/>
          <w:lang w:val="en-US" w:eastAsia="zh-CN"/>
        </w:rPr>
        <w:t>和疫情影响减少了公务往来</w:t>
      </w:r>
      <w:r>
        <w:rPr>
          <w:rFonts w:hint="eastAsia" w:ascii="仿宋" w:hAnsi="仿宋" w:eastAsia="仿宋" w:cs="仿宋"/>
          <w:sz w:val="32"/>
          <w:szCs w:val="32"/>
        </w:rPr>
        <w:t>。</w:t>
      </w:r>
    </w:p>
    <w:p>
      <w:pPr>
        <w:pStyle w:val="10"/>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公务用车购置费及运行维护费支出预算为3.</w:t>
      </w:r>
      <w:r>
        <w:rPr>
          <w:rFonts w:hint="eastAsia" w:ascii="仿宋" w:hAnsi="仿宋" w:eastAsia="仿宋" w:cs="仿宋"/>
          <w:sz w:val="32"/>
          <w:szCs w:val="32"/>
          <w:lang w:val="en-US" w:eastAsia="zh-CN"/>
        </w:rPr>
        <w:t>1</w:t>
      </w:r>
      <w:r>
        <w:rPr>
          <w:rFonts w:hint="eastAsia" w:ascii="仿宋" w:hAnsi="仿宋" w:eastAsia="仿宋" w:cs="仿宋"/>
          <w:sz w:val="32"/>
          <w:szCs w:val="32"/>
        </w:rPr>
        <w:t>5万元，支出决算为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w:t>
      </w:r>
      <w:r>
        <w:rPr>
          <w:rFonts w:hint="eastAsia" w:ascii="仿宋" w:hAnsi="仿宋" w:eastAsia="仿宋" w:cs="仿宋"/>
          <w:sz w:val="32"/>
          <w:szCs w:val="32"/>
          <w:lang w:val="en-US" w:eastAsia="zh-CN"/>
        </w:rPr>
        <w:t>与</w:t>
      </w:r>
      <w:r>
        <w:rPr>
          <w:rFonts w:hint="eastAsia" w:ascii="仿宋" w:hAnsi="仿宋" w:eastAsia="仿宋" w:cs="仿宋"/>
          <w:sz w:val="32"/>
          <w:szCs w:val="32"/>
        </w:rPr>
        <w:t>预算数</w:t>
      </w:r>
      <w:r>
        <w:rPr>
          <w:rFonts w:hint="eastAsia" w:ascii="仿宋" w:hAnsi="仿宋" w:eastAsia="仿宋" w:cs="仿宋"/>
          <w:sz w:val="32"/>
          <w:szCs w:val="32"/>
          <w:lang w:val="en-US" w:eastAsia="zh-CN"/>
        </w:rPr>
        <w:t>持平</w:t>
      </w:r>
      <w:r>
        <w:rPr>
          <w:rFonts w:hint="eastAsia" w:ascii="仿宋" w:hAnsi="仿宋" w:eastAsia="仿宋" w:cs="仿宋"/>
          <w:sz w:val="32"/>
          <w:szCs w:val="32"/>
        </w:rPr>
        <w:t>，与上年相比</w:t>
      </w:r>
      <w:r>
        <w:rPr>
          <w:rFonts w:hint="eastAsia" w:ascii="仿宋" w:hAnsi="仿宋" w:eastAsia="仿宋" w:cs="仿宋"/>
          <w:sz w:val="32"/>
          <w:szCs w:val="32"/>
          <w:lang w:val="en-US" w:eastAsia="zh-CN"/>
        </w:rPr>
        <w:t>持平，主要是本单位无公务用车</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%。其中：</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0.4</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1</w:t>
      </w:r>
      <w:r>
        <w:rPr>
          <w:rFonts w:hint="eastAsia" w:ascii="仿宋" w:hAnsi="仿宋" w:eastAsia="仿宋" w:cs="仿宋"/>
          <w:sz w:val="32"/>
          <w:szCs w:val="32"/>
        </w:rPr>
        <w:t>个、来宾</w:t>
      </w:r>
      <w:r>
        <w:rPr>
          <w:rFonts w:hint="eastAsia" w:ascii="仿宋" w:hAnsi="仿宋" w:eastAsia="仿宋" w:cs="仿宋"/>
          <w:sz w:val="32"/>
          <w:szCs w:val="32"/>
          <w:lang w:val="en-US" w:eastAsia="zh-CN"/>
        </w:rPr>
        <w:t>5</w:t>
      </w:r>
      <w:r>
        <w:rPr>
          <w:rFonts w:hint="eastAsia" w:ascii="仿宋" w:hAnsi="仿宋" w:eastAsia="仿宋" w:cs="仿宋"/>
          <w:sz w:val="32"/>
          <w:szCs w:val="32"/>
        </w:rPr>
        <w:t>人次，主要是</w:t>
      </w:r>
      <w:r>
        <w:rPr>
          <w:rFonts w:hint="eastAsia" w:ascii="仿宋" w:hAnsi="仿宋" w:eastAsia="仿宋" w:cs="仿宋"/>
          <w:sz w:val="32"/>
          <w:szCs w:val="32"/>
          <w:lang w:val="en-US" w:eastAsia="zh-CN"/>
        </w:rPr>
        <w:t>民主监督民主调研公务活动</w:t>
      </w:r>
      <w:r>
        <w:rPr>
          <w:rFonts w:hint="eastAsia" w:ascii="仿宋" w:hAnsi="仿宋" w:eastAsia="仿宋" w:cs="仿宋"/>
          <w:sz w:val="32"/>
          <w:szCs w:val="32"/>
        </w:rPr>
        <w:t>发生的接待支出。</w:t>
      </w:r>
    </w:p>
    <w:p>
      <w:pPr>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中国农工民主党怀化市委员会</w:t>
      </w:r>
      <w:r>
        <w:rPr>
          <w:rFonts w:hint="eastAsia" w:ascii="仿宋" w:hAnsi="仿宋" w:eastAsia="仿宋" w:cs="仿宋"/>
          <w:sz w:val="32"/>
          <w:szCs w:val="32"/>
        </w:rPr>
        <w:t>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0</w:t>
      </w:r>
      <w:r>
        <w:rPr>
          <w:rFonts w:hint="eastAsia" w:ascii="仿宋" w:hAnsi="仿宋" w:eastAsia="仿宋" w:cs="仿宋"/>
          <w:sz w:val="32"/>
          <w:szCs w:val="32"/>
        </w:rPr>
        <w:t>万元，截止</w:t>
      </w:r>
      <w:r>
        <w:rPr>
          <w:rFonts w:hint="eastAsia" w:ascii="仿宋" w:hAnsi="仿宋" w:eastAsia="仿宋" w:cs="仿宋"/>
          <w:sz w:val="32"/>
          <w:szCs w:val="32"/>
          <w:lang w:eastAsia="zh-CN"/>
        </w:rPr>
        <w:t>2021</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本单位无政府性基金收支。</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九、国有资本经营预算财政拨款支出</w:t>
      </w:r>
      <w:r>
        <w:rPr>
          <w:rFonts w:hint="eastAsia" w:ascii="黑体" w:hAnsi="黑体" w:eastAsia="黑体" w:cs="黑体"/>
          <w:b w:val="0"/>
          <w:bCs/>
          <w:sz w:val="32"/>
          <w:szCs w:val="32"/>
        </w:rPr>
        <w:t>决算情况</w:t>
      </w:r>
      <w:r>
        <w:rPr>
          <w:rFonts w:hint="eastAsia" w:ascii="黑体" w:hAnsi="黑体" w:eastAsia="黑体" w:cs="黑体"/>
          <w:b w:val="0"/>
          <w:bCs/>
          <w:sz w:val="32"/>
          <w:szCs w:val="32"/>
          <w:lang w:val="en-US" w:eastAsia="zh-CN"/>
        </w:rPr>
        <w:t>说明</w:t>
      </w:r>
    </w:p>
    <w:p>
      <w:pPr>
        <w:pStyle w:val="10"/>
        <w:ind w:firstLine="640" w:firstLineChars="200"/>
        <w:rPr>
          <w:rFonts w:hint="eastAsia" w:ascii="仿宋" w:hAnsi="仿宋" w:eastAsia="仿宋" w:cs="仿宋"/>
          <w:b/>
          <w:sz w:val="32"/>
          <w:szCs w:val="32"/>
        </w:rPr>
      </w:pPr>
      <w:r>
        <w:rPr>
          <w:rFonts w:hint="eastAsia" w:ascii="仿宋" w:hAnsi="仿宋" w:eastAsia="仿宋" w:cs="仿宋"/>
          <w:sz w:val="32"/>
          <w:szCs w:val="32"/>
        </w:rPr>
        <w:t>本单位无</w:t>
      </w:r>
      <w:r>
        <w:rPr>
          <w:rFonts w:hint="eastAsia" w:ascii="仿宋" w:hAnsi="仿宋" w:eastAsia="仿宋" w:cs="仿宋"/>
          <w:sz w:val="32"/>
          <w:szCs w:val="32"/>
          <w:lang w:val="en-US" w:eastAsia="zh-CN"/>
        </w:rPr>
        <w:t>国有资本经营预算财政拨款支出。</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十、关于机关运行经费支出说明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51.63</w:t>
      </w:r>
      <w:r>
        <w:rPr>
          <w:rFonts w:hint="eastAsia" w:ascii="仿宋" w:hAnsi="仿宋" w:eastAsia="仿宋" w:cs="仿宋"/>
          <w:sz w:val="32"/>
          <w:szCs w:val="32"/>
        </w:rPr>
        <w:t>万元，比</w:t>
      </w:r>
      <w:r>
        <w:rPr>
          <w:rFonts w:hint="eastAsia" w:ascii="仿宋" w:hAnsi="仿宋" w:eastAsia="仿宋" w:cs="仿宋"/>
          <w:sz w:val="32"/>
          <w:szCs w:val="32"/>
          <w:lang w:val="en-US" w:eastAsia="zh-CN"/>
        </w:rPr>
        <w:t>上年决算数减少2.78</w:t>
      </w:r>
      <w:r>
        <w:rPr>
          <w:rFonts w:hint="eastAsia" w:ascii="仿宋" w:hAnsi="仿宋" w:eastAsia="仿宋" w:cs="仿宋"/>
          <w:sz w:val="32"/>
          <w:szCs w:val="32"/>
        </w:rPr>
        <w:t>万元，</w:t>
      </w:r>
      <w:r>
        <w:rPr>
          <w:rFonts w:hint="eastAsia" w:ascii="仿宋" w:hAnsi="仿宋" w:eastAsia="仿宋" w:cs="仿宋"/>
          <w:sz w:val="32"/>
          <w:szCs w:val="32"/>
          <w:lang w:val="en-US" w:eastAsia="zh-CN"/>
        </w:rPr>
        <w:t>减少5.00</w:t>
      </w:r>
      <w:r>
        <w:rPr>
          <w:rFonts w:hint="eastAsia" w:ascii="仿宋" w:hAnsi="仿宋" w:eastAsia="仿宋" w:cs="仿宋"/>
          <w:sz w:val="32"/>
          <w:szCs w:val="32"/>
        </w:rPr>
        <w:t>%。主要原因是：</w:t>
      </w:r>
      <w:r>
        <w:rPr>
          <w:rFonts w:hint="eastAsia" w:ascii="仿宋" w:hAnsi="仿宋" w:eastAsia="仿宋" w:cs="仿宋"/>
          <w:sz w:val="32"/>
          <w:szCs w:val="32"/>
          <w:lang w:val="en-US" w:eastAsia="zh-CN"/>
        </w:rPr>
        <w:t>本年度减少人员一名</w:t>
      </w:r>
      <w:r>
        <w:rPr>
          <w:rFonts w:hint="eastAsia" w:ascii="仿宋" w:hAnsi="仿宋" w:eastAsia="仿宋" w:cs="仿宋"/>
          <w:sz w:val="32"/>
          <w:szCs w:val="32"/>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十一、一般性支出情况</w:t>
      </w:r>
    </w:p>
    <w:p>
      <w:pPr>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年本部门开支会议费8.12万元，用于召开五届十二次市委会议</w:t>
      </w:r>
      <w:r>
        <w:rPr>
          <w:rFonts w:hint="eastAsia" w:ascii="仿宋" w:hAnsi="仿宋" w:eastAsia="仿宋" w:cs="仿宋"/>
          <w:sz w:val="32"/>
          <w:szCs w:val="32"/>
          <w:lang w:eastAsia="zh-CN"/>
        </w:rPr>
        <w:t>，人数</w:t>
      </w:r>
      <w:r>
        <w:rPr>
          <w:rFonts w:hint="eastAsia" w:ascii="仿宋" w:hAnsi="仿宋" w:eastAsia="仿宋" w:cs="仿宋"/>
          <w:sz w:val="32"/>
          <w:szCs w:val="32"/>
          <w:lang w:val="en-US" w:eastAsia="zh-CN"/>
        </w:rPr>
        <w:t>13人，内容为农工党怀化市第五届委员会领导班子述职、民主测评、民主推荐、谈话推荐；</w:t>
      </w:r>
      <w:r>
        <w:rPr>
          <w:rFonts w:hint="eastAsia" w:ascii="仿宋" w:hAnsi="仿宋" w:eastAsia="仿宋" w:cs="仿宋"/>
          <w:sz w:val="32"/>
          <w:szCs w:val="32"/>
        </w:rPr>
        <w:t>五届十九次主委（扩大）会议</w:t>
      </w:r>
      <w:r>
        <w:rPr>
          <w:rFonts w:hint="eastAsia" w:ascii="仿宋" w:hAnsi="仿宋" w:eastAsia="仿宋" w:cs="仿宋"/>
          <w:sz w:val="32"/>
          <w:szCs w:val="32"/>
          <w:lang w:eastAsia="zh-CN"/>
        </w:rPr>
        <w:t>，人数</w:t>
      </w:r>
      <w:r>
        <w:rPr>
          <w:rFonts w:hint="eastAsia" w:ascii="仿宋" w:hAnsi="仿宋" w:eastAsia="仿宋" w:cs="仿宋"/>
          <w:sz w:val="32"/>
          <w:szCs w:val="32"/>
          <w:lang w:val="en-US" w:eastAsia="zh-CN"/>
        </w:rPr>
        <w:t>11人，内容为商议换届工作相关事宜；五届十三次市委会会议，人数20人，内容为商议委员候选人事宜；五届十四次市委会议，人数20人，内容为审议通过换届相关文件材料；农工党怀化市委会人才梯次队伍建设座谈会，人数20人，内容为学习习近平总书记“七一”重要讲话、学习袁隆平同志优秀事迹、传达中共怀化市委书记雷绍业关于作风整顿和优化营商环境的讲话精神、人才梯次队伍建设座谈；2021年度工作总结暨2022年工作安排部署会，人数22人，内容为总结2021年度工作并对2022年工作进行安排部署。开支培训费2.55万元，用于开展2021年新党员培训班，用于提升新发展党员政治素质和参政履职能力，增强政治判断力、政治领悟力、政治执行力。人数27人。内容为深入学习贯彻习近平新时代中国特色社会主义思想和习近平总书记系列重要讲话精神，中共十九大和十九届二中、三中、四中、五中、六中全会精神，进一步树牢“四个意识”，坚决做到“两个维护”，认真学习贯彻《中国共产党统一战线工作条例》，深入理解新时期统一战线和多党合作理论、方针、政策；认真学习贯彻中共湖南省第十二次党代会、怀化市第三次党代会精神，深化对世情国情省情市情的认知，坚定“四个自信”，进一步增强政治判断力、政治领悟力、政治执行力。未举办节庆、晚会、</w:t>
      </w:r>
      <w:r>
        <w:rPr>
          <w:rFonts w:hint="eastAsia" w:ascii="仿宋" w:hAnsi="仿宋" w:eastAsia="仿宋" w:cs="仿宋"/>
          <w:sz w:val="32"/>
          <w:szCs w:val="32"/>
        </w:rPr>
        <w:t>论坛、赛事活动</w:t>
      </w:r>
      <w:r>
        <w:rPr>
          <w:rFonts w:hint="eastAsia" w:ascii="仿宋" w:hAnsi="仿宋" w:eastAsia="仿宋" w:cs="仿宋"/>
          <w:sz w:val="32"/>
          <w:szCs w:val="32"/>
          <w:lang w:eastAsia="zh-CN"/>
        </w:rPr>
        <w:t>。</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十二、关于政府采购支出说明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万元。授予中小企业合同金额0万元，占政府采购支出总额的百分比无法计算，其中：授予小微企业合同金额0万元，占政府采购支出总额的百分比无法计算。</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十三、关于国有资产占用情况说明</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eastAsia="zh-CN"/>
        </w:rPr>
        <w:t>2021</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0"/>
        <w:keepNext w:val="0"/>
        <w:keepLines w:val="0"/>
        <w:pageBreakBefore w:val="0"/>
        <w:widowControl w:val="0"/>
        <w:kinsoku/>
        <w:wordWrap/>
        <w:overflowPunct/>
        <w:topLinePunct w:val="0"/>
        <w:bidi w:val="0"/>
        <w:snapToGrid/>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十四、关于2021年度预算绩效情况的说明</w:t>
      </w:r>
    </w:p>
    <w:p>
      <w:pPr>
        <w:pStyle w:val="10"/>
        <w:keepNext w:val="0"/>
        <w:keepLines w:val="0"/>
        <w:pageBreakBefore w:val="0"/>
        <w:widowControl w:val="0"/>
        <w:kinsoku/>
        <w:wordWrap/>
        <w:overflowPunct/>
        <w:topLinePunct w:val="0"/>
        <w:bidi w:val="0"/>
        <w:snapToGrid/>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组织对</w:t>
      </w:r>
      <w:r>
        <w:rPr>
          <w:rFonts w:hint="eastAsia" w:ascii="仿宋" w:hAnsi="仿宋" w:eastAsia="仿宋" w:cs="仿宋"/>
          <w:sz w:val="32"/>
          <w:szCs w:val="32"/>
          <w:lang w:val="en-US" w:eastAsia="zh-CN"/>
        </w:rPr>
        <w:t>中国农工民主党怀化市委员会1</w:t>
      </w:r>
      <w:r>
        <w:rPr>
          <w:rFonts w:hint="eastAsia" w:ascii="仿宋" w:hAnsi="仿宋" w:eastAsia="仿宋" w:cs="仿宋"/>
          <w:sz w:val="32"/>
          <w:szCs w:val="32"/>
        </w:rPr>
        <w:t>个单位开展整体支出绩效评价，涉及一般公共预算支出</w:t>
      </w:r>
      <w:r>
        <w:rPr>
          <w:rFonts w:hint="eastAsia" w:ascii="仿宋" w:hAnsi="仿宋" w:eastAsia="仿宋" w:cs="仿宋"/>
          <w:sz w:val="32"/>
          <w:szCs w:val="32"/>
          <w:lang w:val="en-US" w:eastAsia="zh-CN"/>
        </w:rPr>
        <w:t>80.03</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万元。从评价情况来看，本部门2021年按财政局要求认真开展落实绩效管理工作，切实完成年度绩效目标和绩效评价工作。自评报告见附件。</w:t>
      </w:r>
    </w:p>
    <w:p>
      <w:pPr>
        <w:pStyle w:val="10"/>
        <w:keepNext w:val="0"/>
        <w:keepLines w:val="0"/>
        <w:pageBreakBefore w:val="0"/>
        <w:widowControl w:val="0"/>
        <w:kinsoku/>
        <w:wordWrap/>
        <w:overflowPunct/>
        <w:topLinePunct w:val="0"/>
        <w:bidi w:val="0"/>
        <w:snapToGrid/>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本单位无重点项目，因此无重点项目绩效报告。</w:t>
      </w:r>
      <w:bookmarkStart w:id="0" w:name="_GoBack"/>
      <w:bookmarkEnd w:id="0"/>
    </w:p>
    <w:p>
      <w:pPr>
        <w:pStyle w:val="10"/>
        <w:keepNext w:val="0"/>
        <w:keepLines w:val="0"/>
        <w:pageBreakBefore w:val="0"/>
        <w:widowControl w:val="0"/>
        <w:kinsoku/>
        <w:wordWrap/>
        <w:overflowPunct/>
        <w:topLinePunct w:val="0"/>
        <w:bidi w:val="0"/>
        <w:snapToGrid/>
        <w:ind w:firstLine="640" w:firstLineChars="200"/>
        <w:jc w:val="left"/>
        <w:textAlignment w:val="auto"/>
        <w:rPr>
          <w:rFonts w:hint="eastAsia" w:ascii="仿宋" w:hAnsi="仿宋" w:eastAsia="仿宋" w:cs="仿宋"/>
          <w:sz w:val="32"/>
          <w:szCs w:val="32"/>
          <w:lang w:eastAsia="zh-CN"/>
        </w:rPr>
      </w:pP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widowControl/>
        <w:jc w:val="left"/>
        <w:rPr>
          <w:rFonts w:hint="eastAsia" w:ascii="仿宋" w:hAnsi="仿宋" w:eastAsia="仿宋" w:cs="仿宋"/>
          <w:color w:val="000000"/>
          <w:kern w:val="0"/>
          <w:sz w:val="32"/>
          <w:szCs w:val="32"/>
        </w:rPr>
      </w:pPr>
    </w:p>
    <w:p>
      <w:pPr>
        <w:pStyle w:val="5"/>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1.机关运行经费：</w:t>
      </w:r>
      <w:r>
        <w:rPr>
          <w:rFonts w:hint="eastAsia" w:ascii="仿宋" w:hAnsi="仿宋" w:eastAsia="仿宋" w:cs="仿宋"/>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5"/>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2.“三公”经费：</w:t>
      </w:r>
      <w:r>
        <w:rPr>
          <w:rFonts w:hint="eastAsia" w:ascii="仿宋" w:hAnsi="仿宋" w:eastAsia="仿宋" w:cs="仿宋"/>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rFonts w:hint="eastAsia" w:ascii="仿宋" w:hAnsi="仿宋" w:eastAsia="仿宋" w:cs="仿宋"/>
          <w:sz w:val="32"/>
          <w:szCs w:val="32"/>
        </w:rPr>
      </w:pPr>
    </w:p>
    <w:p>
      <w:pPr>
        <w:pStyle w:val="10"/>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4C3FFE"/>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25A0B45"/>
    <w:rsid w:val="0A0A2FE0"/>
    <w:rsid w:val="0A540824"/>
    <w:rsid w:val="0FA55EF4"/>
    <w:rsid w:val="13CF2928"/>
    <w:rsid w:val="156F6E5A"/>
    <w:rsid w:val="16B470F6"/>
    <w:rsid w:val="16E82FA6"/>
    <w:rsid w:val="17B117AC"/>
    <w:rsid w:val="18414C0B"/>
    <w:rsid w:val="18B52DD6"/>
    <w:rsid w:val="18BB5502"/>
    <w:rsid w:val="1A450189"/>
    <w:rsid w:val="1D0D4940"/>
    <w:rsid w:val="1DE50489"/>
    <w:rsid w:val="1E09747B"/>
    <w:rsid w:val="1FBF3343"/>
    <w:rsid w:val="21ED538F"/>
    <w:rsid w:val="228F6A0D"/>
    <w:rsid w:val="24DB3BC4"/>
    <w:rsid w:val="25050C41"/>
    <w:rsid w:val="271D6290"/>
    <w:rsid w:val="2A805AB9"/>
    <w:rsid w:val="2A8C37E9"/>
    <w:rsid w:val="2C0A3184"/>
    <w:rsid w:val="2F72275C"/>
    <w:rsid w:val="2FAF1ED5"/>
    <w:rsid w:val="30B023A9"/>
    <w:rsid w:val="31504453"/>
    <w:rsid w:val="318B6972"/>
    <w:rsid w:val="344A4888"/>
    <w:rsid w:val="34A22009"/>
    <w:rsid w:val="34EC1397"/>
    <w:rsid w:val="35470E02"/>
    <w:rsid w:val="36C93CBD"/>
    <w:rsid w:val="39563F09"/>
    <w:rsid w:val="39961825"/>
    <w:rsid w:val="39963CFB"/>
    <w:rsid w:val="399A3BF6"/>
    <w:rsid w:val="3C3A521C"/>
    <w:rsid w:val="3C4C2E7D"/>
    <w:rsid w:val="3D333C03"/>
    <w:rsid w:val="3FF0539D"/>
    <w:rsid w:val="429617A9"/>
    <w:rsid w:val="44CC34C9"/>
    <w:rsid w:val="45E21CDC"/>
    <w:rsid w:val="45EA380F"/>
    <w:rsid w:val="463E10E5"/>
    <w:rsid w:val="467408BF"/>
    <w:rsid w:val="46C16C66"/>
    <w:rsid w:val="4ADD1B95"/>
    <w:rsid w:val="4C0F06E7"/>
    <w:rsid w:val="4C421E35"/>
    <w:rsid w:val="4C861AC5"/>
    <w:rsid w:val="4D1F6494"/>
    <w:rsid w:val="4DC4092C"/>
    <w:rsid w:val="4DC42199"/>
    <w:rsid w:val="4E055EEC"/>
    <w:rsid w:val="50852AB2"/>
    <w:rsid w:val="52B96A43"/>
    <w:rsid w:val="531E0F9C"/>
    <w:rsid w:val="54D84F6A"/>
    <w:rsid w:val="557578F0"/>
    <w:rsid w:val="55A35789"/>
    <w:rsid w:val="55AA127F"/>
    <w:rsid w:val="55AD03B6"/>
    <w:rsid w:val="562B075F"/>
    <w:rsid w:val="59052BBA"/>
    <w:rsid w:val="5BC40F79"/>
    <w:rsid w:val="5E0D40E7"/>
    <w:rsid w:val="5E9345EC"/>
    <w:rsid w:val="5F00590C"/>
    <w:rsid w:val="60487659"/>
    <w:rsid w:val="607641C6"/>
    <w:rsid w:val="60D96503"/>
    <w:rsid w:val="635B0A78"/>
    <w:rsid w:val="646B48B3"/>
    <w:rsid w:val="64721148"/>
    <w:rsid w:val="65476131"/>
    <w:rsid w:val="68926FAE"/>
    <w:rsid w:val="6C952412"/>
    <w:rsid w:val="6E435AC7"/>
    <w:rsid w:val="6F71472B"/>
    <w:rsid w:val="701A4AAA"/>
    <w:rsid w:val="706C2927"/>
    <w:rsid w:val="72E13F10"/>
    <w:rsid w:val="762F011D"/>
    <w:rsid w:val="76491BDB"/>
    <w:rsid w:val="77440722"/>
    <w:rsid w:val="78CD4747"/>
    <w:rsid w:val="798017B9"/>
    <w:rsid w:val="7A323FBD"/>
    <w:rsid w:val="7AF97A75"/>
    <w:rsid w:val="7B3D7505"/>
    <w:rsid w:val="7CC2297D"/>
    <w:rsid w:val="7D2F1679"/>
    <w:rsid w:val="7D2F59D0"/>
    <w:rsid w:val="7DB859C6"/>
    <w:rsid w:val="7F985E8E"/>
    <w:rsid w:val="7FB56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4386</Words>
  <Characters>4732</Characters>
  <Lines>62</Lines>
  <Paragraphs>17</Paragraphs>
  <TotalTime>164</TotalTime>
  <ScaleCrop>false</ScaleCrop>
  <LinksUpToDate>false</LinksUpToDate>
  <CharactersWithSpaces>4741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2021-07-28T00:12:00Z</cp:lastPrinted>
  <dcterms:modified xsi:type="dcterms:W3CDTF">2023-10-06T03:19:55Z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E165F38F636949D9AB9152271EE1D5A6</vt:lpwstr>
  </property>
</Properties>
</file>