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hint="eastAsia" w:ascii="仿宋" w:hAnsi="仿宋" w:eastAsia="仿宋" w:cs="仿宋"/>
          <w:b/>
          <w:bCs/>
          <w:sz w:val="48"/>
          <w:szCs w:val="48"/>
        </w:rPr>
      </w:pPr>
      <w:r>
        <w:rPr>
          <w:rFonts w:hint="eastAsia" w:ascii="仿宋" w:hAnsi="仿宋" w:eastAsia="仿宋" w:cs="仿宋"/>
          <w:b/>
          <w:bCs/>
          <w:sz w:val="48"/>
          <w:szCs w:val="48"/>
          <w:lang w:eastAsia="zh-CN"/>
        </w:rPr>
        <w:t>2021</w:t>
      </w:r>
      <w:r>
        <w:rPr>
          <w:rFonts w:hint="eastAsia" w:ascii="仿宋" w:hAnsi="仿宋" w:eastAsia="仿宋" w:cs="仿宋"/>
          <w:b/>
          <w:bCs/>
          <w:sz w:val="48"/>
          <w:szCs w:val="48"/>
        </w:rPr>
        <w:t>年度</w:t>
      </w:r>
    </w:p>
    <w:p>
      <w:pPr>
        <w:pStyle w:val="1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>中国民主建国会怀化市委员会部门决算</w:t>
      </w:r>
    </w:p>
    <w:p>
      <w:pPr>
        <w:pStyle w:val="10"/>
        <w:spacing w:line="500" w:lineRule="exact"/>
        <w:jc w:val="both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pStyle w:val="10"/>
        <w:spacing w:line="500" w:lineRule="exact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目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录</w:t>
      </w:r>
    </w:p>
    <w:p>
      <w:pPr>
        <w:pStyle w:val="10"/>
        <w:spacing w:line="50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第一部分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中国民主建国会怀化市委员会概况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一、部门职责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二、机构设置</w:t>
      </w:r>
    </w:p>
    <w:p>
      <w:pPr>
        <w:pStyle w:val="10"/>
        <w:spacing w:line="50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第二部分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2021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年度部门决算表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一、收入支出决算总表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二、收入决算表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三、支出决算表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四、财政拨款收入支出决算总表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五、一般公共预算财政拨款支出决算表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六、一般公共预算财政拨款基本支出决算表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七、一般公共预算财政拨款“三公”经费支出决算表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八、政府性基金预算财政拨款收入支出决算表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九、国有资本经营预算财政拨款支出决算表</w:t>
      </w:r>
    </w:p>
    <w:p>
      <w:pPr>
        <w:pStyle w:val="10"/>
        <w:spacing w:line="500" w:lineRule="exact"/>
        <w:ind w:firstLine="640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第三部分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2021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年度部门决算情况说明</w:t>
      </w:r>
    </w:p>
    <w:p>
      <w:pPr>
        <w:pStyle w:val="10"/>
        <w:spacing w:line="500" w:lineRule="exact"/>
        <w:ind w:firstLine="800" w:firstLineChars="2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一、收入支出决算总体情况说明</w:t>
      </w:r>
    </w:p>
    <w:p>
      <w:pPr>
        <w:spacing w:line="500" w:lineRule="exact"/>
        <w:ind w:firstLine="800" w:firstLineChars="25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二、收入决算情况说明</w:t>
      </w:r>
    </w:p>
    <w:p>
      <w:pPr>
        <w:autoSpaceDE w:val="0"/>
        <w:autoSpaceDN w:val="0"/>
        <w:adjustRightInd w:val="0"/>
        <w:spacing w:line="500" w:lineRule="exact"/>
        <w:ind w:firstLine="800" w:firstLineChars="25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三、支出决算情况说明</w:t>
      </w:r>
    </w:p>
    <w:p>
      <w:pPr>
        <w:autoSpaceDE w:val="0"/>
        <w:autoSpaceDN w:val="0"/>
        <w:adjustRightInd w:val="0"/>
        <w:spacing w:line="500" w:lineRule="exact"/>
        <w:ind w:firstLine="800" w:firstLineChars="25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四、财政拨款收入支出决算总体情况说明</w:t>
      </w:r>
    </w:p>
    <w:p>
      <w:pPr>
        <w:autoSpaceDE w:val="0"/>
        <w:autoSpaceDN w:val="0"/>
        <w:adjustRightInd w:val="0"/>
        <w:spacing w:line="500" w:lineRule="exact"/>
        <w:ind w:firstLine="800" w:firstLineChars="25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五、一般公共预算财政拨款支出决算情况说明</w:t>
      </w:r>
    </w:p>
    <w:p>
      <w:pPr>
        <w:autoSpaceDE w:val="0"/>
        <w:autoSpaceDN w:val="0"/>
        <w:adjustRightInd w:val="0"/>
        <w:spacing w:line="500" w:lineRule="exact"/>
        <w:ind w:firstLine="800" w:firstLineChars="25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六、一般公共预算财政拨款基本支出决算情况说明</w:t>
      </w:r>
    </w:p>
    <w:p>
      <w:pPr>
        <w:autoSpaceDE w:val="0"/>
        <w:autoSpaceDN w:val="0"/>
        <w:adjustRightInd w:val="0"/>
        <w:spacing w:line="500" w:lineRule="exact"/>
        <w:ind w:firstLine="800" w:firstLineChars="25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七、一般公共预算财政拨款三公经费支出决算情况说明</w:t>
      </w:r>
    </w:p>
    <w:p>
      <w:pPr>
        <w:autoSpaceDE w:val="0"/>
        <w:autoSpaceDN w:val="0"/>
        <w:adjustRightInd w:val="0"/>
        <w:spacing w:line="500" w:lineRule="exact"/>
        <w:ind w:firstLine="800" w:firstLineChars="25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八、政府性基金预算收入支出决算情况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九、</w:t>
      </w:r>
      <w:r>
        <w:rPr>
          <w:rFonts w:hint="eastAsia" w:ascii="仿宋" w:hAnsi="仿宋" w:eastAsia="仿宋" w:cs="仿宋"/>
          <w:sz w:val="32"/>
          <w:szCs w:val="32"/>
        </w:rPr>
        <w:t>国有资本经营预算财政拨款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支出</w:t>
      </w:r>
      <w:r>
        <w:rPr>
          <w:rFonts w:hint="eastAsia" w:ascii="仿宋" w:hAnsi="仿宋" w:eastAsia="仿宋" w:cs="仿宋"/>
          <w:sz w:val="32"/>
          <w:szCs w:val="32"/>
        </w:rPr>
        <w:t>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十、关于机关运行经费支出说明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十一、一般性支出情况说明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800" w:firstLineChars="25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十二、关于政府采购支出说明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十三、关于国有资产占用情况说明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80" w:lineRule="exact"/>
        <w:ind w:firstLine="800" w:firstLineChars="25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十四、关于2021年度预算绩效情况说明</w:t>
      </w:r>
    </w:p>
    <w:p>
      <w:pPr>
        <w:pStyle w:val="10"/>
        <w:spacing w:line="50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第四部分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名词解释</w:t>
      </w:r>
    </w:p>
    <w:p>
      <w:pPr>
        <w:pStyle w:val="10"/>
        <w:spacing w:line="500" w:lineRule="exact"/>
        <w:ind w:firstLine="640" w:firstLineChars="200"/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第五部分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第一部分</w:t>
      </w:r>
    </w:p>
    <w:p>
      <w:pPr>
        <w:pStyle w:val="10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中国民主建国会怀化市委员会概况</w:t>
      </w:r>
    </w:p>
    <w:p>
      <w:pPr>
        <w:pStyle w:val="11"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11"/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部门职责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中国民主建国会怀化市委员会是主要由经济界人士组成的、具有政治联盟特点的、致力于建设有中国特色的社会主义事业的政党，是中国共产党领导的多党合作和政治协商制度中的参政党。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主要职责为：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（1）坚持中国共产党同各民主党派“长期共存、互相监督、肝胆相照、荣辱与共”的方针，积极履行参政议政和民主监督；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（2）参与国家大政方针和国家领导人选的协商，参与国家事务的管理；参与国家方针、政策、法律、法规的协商与制定；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（3）针对改革开放、经济建设和社会发展中的重大问题，开展调查研究，反映社情民意，积极建言献策；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（4）推进我国的现代化建设，完成祖国统一，维护世界和平与促进共同发展。</w:t>
      </w:r>
    </w:p>
    <w:p>
      <w:pPr>
        <w:pStyle w:val="11"/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二、机构设置及决算单位构成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（一）内设机构设置。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中国民主建国会怀化市委员会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作为一级部门预算单位，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内设机构包括：办公室、参政议政宣传科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。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（二）决算单位构成。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中国民主建国会怀化市委员会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年部门决算汇总公开单位构成包括：中国民主建国会怀化市委员会本级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。</w:t>
      </w:r>
    </w:p>
    <w:p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第二部分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部门决算表</w:t>
      </w:r>
    </w:p>
    <w:p>
      <w:pPr>
        <w:widowControl/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见附件</w:t>
      </w:r>
    </w:p>
    <w:p>
      <w:pPr>
        <w:pStyle w:val="10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第三部分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2021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年度部门决算情况说明</w:t>
      </w:r>
    </w:p>
    <w:p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一、收入支出决算总体情况说明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年度收、支总计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</w:t>
      </w:r>
      <w:r>
        <w:rPr>
          <w:rFonts w:hint="eastAsia" w:ascii="仿宋" w:hAnsi="仿宋" w:eastAsia="仿宋" w:cs="仿宋"/>
          <w:sz w:val="32"/>
          <w:szCs w:val="32"/>
        </w:rPr>
        <w:t>115.03万元。与上年相比，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增加3.17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增加2.83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%，主要是因为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增加换届经费。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二、收入决算情况说明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本年收入合计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115.03</w:t>
      </w:r>
      <w:r>
        <w:rPr>
          <w:rFonts w:hint="eastAsia" w:ascii="仿宋" w:hAnsi="仿宋" w:eastAsia="仿宋" w:cs="仿宋"/>
          <w:sz w:val="32"/>
          <w:szCs w:val="32"/>
        </w:rPr>
        <w:t>万元，其中：财政拨款收入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115.03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%；上级补助收入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%；事业收入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%；经营收入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%；附属单位上缴收入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%；其他收入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本年支出合计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115.03</w:t>
      </w:r>
      <w:r>
        <w:rPr>
          <w:rFonts w:hint="eastAsia" w:ascii="仿宋" w:hAnsi="仿宋" w:eastAsia="仿宋" w:cs="仿宋"/>
          <w:sz w:val="32"/>
          <w:szCs w:val="32"/>
        </w:rPr>
        <w:t>万元，其中：基本支出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115.03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%；项目支出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%；上缴上级支出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%；经营支出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%；对附属单位补助支出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四、财政拨款收入支出决算总体情况说明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年度财政拨款收、支总计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各115.03</w:t>
      </w:r>
      <w:r>
        <w:rPr>
          <w:rFonts w:hint="eastAsia" w:ascii="仿宋" w:hAnsi="仿宋" w:eastAsia="仿宋" w:cs="仿宋"/>
          <w:sz w:val="32"/>
          <w:szCs w:val="32"/>
        </w:rPr>
        <w:t>万元，与上年相比，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增加3.17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增加2.83</w:t>
      </w:r>
      <w:r>
        <w:rPr>
          <w:rFonts w:hint="eastAsia" w:ascii="仿宋" w:hAnsi="仿宋" w:eastAsia="仿宋" w:cs="仿宋"/>
          <w:sz w:val="32"/>
          <w:szCs w:val="32"/>
        </w:rPr>
        <w:t>%，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主要是因为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增加换届经费。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五、一般公共预算财政拨款支出决算情况说明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（一）财政拨款支出决算总体情况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115.03</w:t>
      </w:r>
      <w:r>
        <w:rPr>
          <w:rFonts w:hint="eastAsia" w:ascii="仿宋" w:hAnsi="仿宋" w:eastAsia="仿宋" w:cs="仿宋"/>
          <w:sz w:val="32"/>
          <w:szCs w:val="32"/>
        </w:rPr>
        <w:t>万元，占本年支出合计的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%，与上年相比，财政拨款支出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增加3.17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增加2.83</w:t>
      </w:r>
      <w:r>
        <w:rPr>
          <w:rFonts w:hint="eastAsia" w:ascii="仿宋" w:hAnsi="仿宋" w:eastAsia="仿宋" w:cs="仿宋"/>
          <w:sz w:val="32"/>
          <w:szCs w:val="32"/>
        </w:rPr>
        <w:t>%，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主要是因为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增加换届经费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（二）财政拨款支出决算结构情况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115.03</w:t>
      </w:r>
      <w:r>
        <w:rPr>
          <w:rFonts w:hint="eastAsia" w:ascii="仿宋" w:hAnsi="仿宋" w:eastAsia="仿宋" w:cs="仿宋"/>
          <w:sz w:val="32"/>
          <w:szCs w:val="32"/>
        </w:rPr>
        <w:t>万元，主要用于以下方面：一般公共服务（类）支出104.65万元，占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90.97</w:t>
      </w:r>
      <w:r>
        <w:rPr>
          <w:rFonts w:hint="eastAsia" w:ascii="仿宋" w:hAnsi="仿宋" w:eastAsia="仿宋" w:cs="仿宋"/>
          <w:sz w:val="32"/>
          <w:szCs w:val="32"/>
        </w:rPr>
        <w:t>%；社会保障和就业（类）支出7.88万元，占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6.85</w:t>
      </w:r>
      <w:r>
        <w:rPr>
          <w:rFonts w:hint="eastAsia" w:ascii="仿宋" w:hAnsi="仿宋" w:eastAsia="仿宋" w:cs="仿宋"/>
          <w:sz w:val="32"/>
          <w:szCs w:val="32"/>
        </w:rPr>
        <w:t>%;卫生健康（类）支出2.51万元，占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2.18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（三）财政拨款支出决算具体情况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年度财政拨款支出年初预算数为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90.20</w:t>
      </w:r>
      <w:r>
        <w:rPr>
          <w:rFonts w:hint="eastAsia" w:ascii="仿宋" w:hAnsi="仿宋" w:eastAsia="仿宋" w:cs="仿宋"/>
          <w:sz w:val="32"/>
          <w:szCs w:val="32"/>
        </w:rPr>
        <w:t>万元，支出决算数为115.03万元，完成年初预算的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127.52</w:t>
      </w:r>
      <w:r>
        <w:rPr>
          <w:rFonts w:hint="eastAsia" w:ascii="仿宋" w:hAnsi="仿宋" w:eastAsia="仿宋" w:cs="仿宋"/>
          <w:sz w:val="32"/>
          <w:szCs w:val="32"/>
        </w:rPr>
        <w:t>%，其中：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1、一般公共服务（类）政协事务（款）其他政协事务支出（项）。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年初预算为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万元，支出决算为3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.00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省政协拨入政协工作室经费。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2、一般公共服务（类）民主党派及工商联事务（款）行政运行（项）。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年初预算为74.76万元，支出决算为84.65万元，完成年初预算的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172.58</w:t>
      </w:r>
      <w:r>
        <w:rPr>
          <w:rFonts w:hint="eastAsia" w:ascii="仿宋" w:hAnsi="仿宋" w:eastAsia="仿宋" w:cs="仿宋"/>
          <w:sz w:val="32"/>
          <w:szCs w:val="32"/>
        </w:rPr>
        <w:t>%，决算数大于年初预算数的主要原因是：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奖金未纳入预算。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一般公共服务（类）民主党派及工商联事务（款）其他民主党派及工商联事务支出（项）。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年初预算为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15.00</w:t>
      </w:r>
      <w:r>
        <w:rPr>
          <w:rFonts w:hint="eastAsia" w:ascii="仿宋" w:hAnsi="仿宋" w:eastAsia="仿宋" w:cs="仿宋"/>
          <w:sz w:val="32"/>
          <w:szCs w:val="32"/>
        </w:rPr>
        <w:t>万元，支出决算为15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.00</w:t>
      </w:r>
      <w:r>
        <w:rPr>
          <w:rFonts w:hint="eastAsia" w:ascii="仿宋" w:hAnsi="仿宋" w:eastAsia="仿宋" w:cs="仿宋"/>
          <w:sz w:val="32"/>
          <w:szCs w:val="32"/>
        </w:rPr>
        <w:t>万元，完成年初预算的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%，决算数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等于</w:t>
      </w:r>
      <w:r>
        <w:rPr>
          <w:rFonts w:hint="eastAsia" w:ascii="仿宋" w:hAnsi="仿宋" w:eastAsia="仿宋" w:cs="仿宋"/>
          <w:sz w:val="32"/>
          <w:szCs w:val="32"/>
        </w:rPr>
        <w:t>年初预算数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主要原因是按预算执行。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一般公共服务（类）其他一般公共服务支出（款）其他一般公共服务支出（项）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年初预算为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万元，支出决算为2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.00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追加预算。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社会保障和就业支出（类）行政事业单位养老支出（款）行政单位离退休（项）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年初预算为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0.44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万元，支出决算为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0.44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万元，完成年初预算的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%，决算数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于年初预算数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主要原因是按预算执行。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社会保障和就业支出（类）行政事业单位养老支出（款）机关事业单位基本养老保险缴费支出（项）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年初预算为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万元，支出决算为5.35万元，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财政统筹未纳入预算。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社会保障和就业支出（类）行政事业单位养老支出（款）其他行政事业单位养老支出（项）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年初预算为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万元，支出决算为2.09万元，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财政统筹未纳入预算。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卫生健康支出（类）行政事业单位医疗（款）行政单位医疗（项）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年初预算为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万元，支出决算为2.51万元，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无法计算完成比例,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决算数大于年初预算数的主要原因是：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财政统筹未纳入预算。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六、一般公共预算财政拨款基本支出决算情况说明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年度财政拨款基本支出11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5.03</w:t>
      </w:r>
      <w:r>
        <w:rPr>
          <w:rFonts w:hint="eastAsia" w:ascii="仿宋" w:hAnsi="仿宋" w:eastAsia="仿宋" w:cs="仿宋"/>
          <w:sz w:val="32"/>
          <w:szCs w:val="32"/>
        </w:rPr>
        <w:t>万元，其中：人员经费54.38万元，占基本支出的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47.27</w:t>
      </w:r>
      <w:r>
        <w:rPr>
          <w:rFonts w:hint="eastAsia" w:ascii="仿宋" w:hAnsi="仿宋" w:eastAsia="仿宋" w:cs="仿宋"/>
          <w:sz w:val="32"/>
          <w:szCs w:val="32"/>
        </w:rPr>
        <w:t>%,主要包括基本工资、津贴补贴、奖金、机关事业单位基本养老保险缴费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、职工基本医疗保险缴费、其他社会保障缴费</w:t>
      </w:r>
      <w:r>
        <w:rPr>
          <w:rFonts w:hint="eastAsia" w:ascii="仿宋" w:hAnsi="仿宋" w:eastAsia="仿宋" w:cs="仿宋"/>
          <w:sz w:val="32"/>
          <w:szCs w:val="32"/>
        </w:rPr>
        <w:t>；公用经费60.64万元，占基本支出的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51.72</w:t>
      </w:r>
      <w:r>
        <w:rPr>
          <w:rFonts w:hint="eastAsia" w:ascii="仿宋" w:hAnsi="仿宋" w:eastAsia="仿宋" w:cs="仿宋"/>
          <w:sz w:val="32"/>
          <w:szCs w:val="32"/>
        </w:rPr>
        <w:t>%，主要包括办公费、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邮电费、差旅费、会议费、培训费、公务接待费、劳务费、工会经费、其他商品和服务支出、福利费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七、一般公共预算财政拨款三公经费支出决算情况说明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（一）“三公”经费财政拨款支出决算总体情况说明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“三公”经费财政拨款支出预算为4.58万元，支出决算为0.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万元，完成预算的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2.18</w:t>
      </w:r>
      <w:r>
        <w:rPr>
          <w:rFonts w:hint="eastAsia" w:ascii="仿宋" w:hAnsi="仿宋" w:eastAsia="仿宋" w:cs="仿宋"/>
          <w:sz w:val="32"/>
          <w:szCs w:val="32"/>
        </w:rPr>
        <w:t>%，其中：</w:t>
      </w:r>
    </w:p>
    <w:p>
      <w:pPr>
        <w:pStyle w:val="10"/>
        <w:numPr>
          <w:ilvl w:val="0"/>
          <w:numId w:val="0"/>
        </w:numPr>
        <w:ind w:firstLine="800" w:firstLineChars="25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因公出国（境）费支出预算为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决算数与年初预算数持平，主要原因按预算执行，与上年数持平，主要原因本年度未安排因公出国(境)。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</w:rPr>
        <w:t>公务接待费支出预算为2.06万元，支出决算为0.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万元，完成预算的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4.85</w:t>
      </w:r>
      <w:r>
        <w:rPr>
          <w:rFonts w:hint="eastAsia" w:ascii="仿宋" w:hAnsi="仿宋" w:eastAsia="仿宋" w:cs="仿宋"/>
          <w:sz w:val="32"/>
          <w:szCs w:val="32"/>
        </w:rPr>
        <w:t>%，决算数小于预算数的主要原因是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严格控制公务接待费用，厉行节约，</w:t>
      </w:r>
      <w:r>
        <w:rPr>
          <w:rFonts w:hint="eastAsia" w:ascii="仿宋" w:hAnsi="仿宋" w:eastAsia="仿宋" w:cs="仿宋"/>
          <w:sz w:val="32"/>
          <w:szCs w:val="32"/>
        </w:rPr>
        <w:t>与上年相比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减少0.25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减少71</w:t>
      </w:r>
      <w:r>
        <w:rPr>
          <w:rFonts w:hint="eastAsia" w:ascii="仿宋" w:hAnsi="仿宋" w:eastAsia="仿宋" w:cs="仿宋"/>
          <w:sz w:val="32"/>
          <w:szCs w:val="32"/>
        </w:rPr>
        <w:t>%,减少的主要原因是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严格控制公务接待费用，厉行节约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10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公务用车购置费及运行维护费支出预算为2.52万元，支出决算为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万元，完成预算的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%，决算数小于预算数的主要原因是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严格控制三公经费开支</w:t>
      </w:r>
      <w:r>
        <w:rPr>
          <w:rFonts w:hint="eastAsia" w:ascii="仿宋" w:hAnsi="仿宋" w:eastAsia="仿宋" w:cs="仿宋"/>
          <w:sz w:val="32"/>
          <w:szCs w:val="32"/>
        </w:rPr>
        <w:t>，与上年相比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持平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主要是本单位无公务用车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（二）“三公”经费财政拨款支出决算具体情况说明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年度“三公”经费财政拨款支出决算中，公务接待费支出决算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0.35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仿宋"/>
          <w:sz w:val="32"/>
          <w:szCs w:val="32"/>
        </w:rPr>
        <w:t>%,因公出国（境）费支出决算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%,公务用车购置费及运行维护费支出决算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%。其中：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1、因公出国（境）费支出决算为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万元，全年安排因公出国（境）团组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个，累计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人次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2、公务接待费支出决算为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0.10</w:t>
      </w:r>
      <w:r>
        <w:rPr>
          <w:rFonts w:hint="eastAsia" w:ascii="仿宋" w:hAnsi="仿宋" w:eastAsia="仿宋" w:cs="仿宋"/>
          <w:sz w:val="32"/>
          <w:szCs w:val="32"/>
        </w:rPr>
        <w:t>万元，全年共接待来访团组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个、来宾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人次，主要是本年度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换届交流工作接待开支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3、公务用车购置费及运行维护费支出决算为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万元，其中：公务用车购置费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万元，中国民主建国会怀化市委员会更新公务用车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公务用车运行维护费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万元，截止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年12月31日，我单位开支财政拨款的公务用车保有量为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八、政府性基金预算收入支出决算情况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本单位无政府性基金收支。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九、国有资本经营预算财政拨款支出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决算情况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国有资本经营预算财政拨款支出。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十、关于机关运行经费支出说明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年度机关运行经费支出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43.52</w:t>
      </w:r>
      <w:r>
        <w:rPr>
          <w:rFonts w:hint="eastAsia" w:ascii="仿宋" w:hAnsi="仿宋" w:eastAsia="仿宋" w:cs="仿宋"/>
          <w:sz w:val="32"/>
          <w:szCs w:val="32"/>
        </w:rPr>
        <w:t>万元，比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上年决算</w:t>
      </w:r>
      <w:r>
        <w:rPr>
          <w:rFonts w:hint="eastAsia" w:ascii="仿宋" w:hAnsi="仿宋" w:eastAsia="仿宋" w:cs="仿宋"/>
          <w:sz w:val="32"/>
          <w:szCs w:val="32"/>
        </w:rPr>
        <w:t>数增加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17.00</w:t>
      </w:r>
      <w:r>
        <w:rPr>
          <w:rFonts w:hint="eastAsia" w:ascii="仿宋" w:hAnsi="仿宋" w:eastAsia="仿宋" w:cs="仿宋"/>
          <w:sz w:val="32"/>
          <w:szCs w:val="32"/>
        </w:rPr>
        <w:t>万元，增长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39.00</w:t>
      </w:r>
      <w:r>
        <w:rPr>
          <w:rFonts w:hint="eastAsia" w:ascii="仿宋" w:hAnsi="仿宋" w:eastAsia="仿宋" w:cs="仿宋"/>
          <w:sz w:val="32"/>
          <w:szCs w:val="32"/>
        </w:rPr>
        <w:t>%。主要原因是：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本年度换届经费会议开支和年会开支较多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十一、一般性支出情况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年本部门开支会议费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13.31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用于支部换届开支，人数184人，内容召开换届相关工作开支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三次扩大会议费，人数19人；用于召开省委巡讲会议，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人数62人，内容为普法巡讲；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开</w:t>
      </w:r>
      <w:r>
        <w:rPr>
          <w:rFonts w:hint="eastAsia" w:ascii="仿宋" w:hAnsi="仿宋" w:eastAsia="仿宋" w:cs="仿宋"/>
          <w:sz w:val="32"/>
          <w:szCs w:val="32"/>
        </w:rPr>
        <w:t>支培训费0.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仿宋"/>
          <w:sz w:val="32"/>
          <w:szCs w:val="32"/>
        </w:rPr>
        <w:t>万元，用于开展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干部</w:t>
      </w:r>
      <w:r>
        <w:rPr>
          <w:rFonts w:hint="eastAsia" w:ascii="仿宋" w:hAnsi="仿宋" w:eastAsia="仿宋" w:cs="仿宋"/>
          <w:sz w:val="32"/>
          <w:szCs w:val="32"/>
        </w:rPr>
        <w:t>培训，人数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人，内容为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对机关干部进行培训</w:t>
      </w:r>
      <w:r>
        <w:rPr>
          <w:rFonts w:hint="eastAsia" w:ascii="仿宋" w:hAnsi="仿宋" w:eastAsia="仿宋" w:cs="仿宋"/>
          <w:sz w:val="32"/>
          <w:szCs w:val="32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未</w:t>
      </w:r>
      <w:r>
        <w:rPr>
          <w:rFonts w:hint="eastAsia" w:ascii="仿宋" w:hAnsi="仿宋" w:eastAsia="仿宋" w:cs="仿宋"/>
          <w:sz w:val="32"/>
          <w:szCs w:val="32"/>
        </w:rPr>
        <w:t>举办节庆、晚会、论坛、赛事活动。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十二、关于政府采购支出说明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年度政府采购支出总额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万元，其中：政府采购货物支出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万元、政府采购工程支出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万元、政府采购服务支出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万元。授予中小企业合同金额0万元，由于政府采购总额为0万元，无法计算百分比，其中：授予小微企业合同金额0万元，由于政府采购总额为0万元，无法计算百分比。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十三、关于国有资产占用情况说明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截至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年12月31日，本单位共有车辆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辆，其中，主要领导干部用车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辆，机要通信用车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辆、应急保障用车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辆、执法执勤用车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辆、特种专业技术用车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辆、其他用车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辆；单位价值50万元以上通用设备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台（套）；单位价值100万元以上专用设备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台（套）。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十四、关于2021年度预算绩效情况的说明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本部门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2021</w:t>
      </w:r>
      <w:r>
        <w:rPr>
          <w:rFonts w:hint="eastAsia" w:ascii="仿宋" w:hAnsi="仿宋" w:eastAsia="仿宋" w:cs="仿宋"/>
          <w:sz w:val="32"/>
          <w:szCs w:val="32"/>
        </w:rPr>
        <w:t>年按财政局要求认真开展落实绩效管理工作，切实完成年度绩效目标和绩效评价工作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组织对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中国民主建国会怀化市委员会</w:t>
      </w:r>
      <w:r>
        <w:rPr>
          <w:rFonts w:hint="eastAsia" w:ascii="仿宋" w:hAnsi="仿宋" w:eastAsia="仿宋" w:cs="仿宋"/>
          <w:sz w:val="32"/>
          <w:szCs w:val="32"/>
        </w:rPr>
        <w:t>开展整体支出绩效评价，涉及一般公共预算支出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115.03</w:t>
      </w:r>
      <w:r>
        <w:rPr>
          <w:rFonts w:hint="eastAsia" w:ascii="仿宋" w:hAnsi="仿宋" w:eastAsia="仿宋" w:cs="仿宋"/>
          <w:sz w:val="32"/>
          <w:szCs w:val="32"/>
        </w:rPr>
        <w:t>万元，政府性基金预算支出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万元。从评价情况来看，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各项工作落实到位，</w:t>
      </w:r>
      <w:r>
        <w:rPr>
          <w:rFonts w:hint="eastAsia" w:ascii="仿宋" w:hAnsi="仿宋" w:eastAsia="仿宋" w:cs="仿宋"/>
          <w:sz w:val="32"/>
          <w:szCs w:val="32"/>
        </w:rPr>
        <w:t>按照民建省委和中共市委工作部署，强化思想政治引领，广泛凝聚共识，圆满完成换届工作，积极履行参政党职能，积极助推“三高四新”战略，助力“三城一区”建设，不断提升自身建设水平，推动各项工作不断取得新进展。自评报告见附件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本单位无重点项目，因此无重点项目绩效报告。</w:t>
      </w:r>
      <w:bookmarkStart w:id="0" w:name="_GoBack"/>
      <w:bookmarkEnd w:id="0"/>
    </w:p>
    <w:p>
      <w:pPr>
        <w:pStyle w:val="10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pStyle w:val="10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第四部分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名词解释</w:t>
      </w:r>
    </w:p>
    <w:p>
      <w:pPr>
        <w:widowControl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pStyle w:val="5"/>
        <w:keepNext w:val="0"/>
        <w:keepLines w:val="0"/>
        <w:widowControl/>
        <w:suppressLineNumbers w:val="0"/>
        <w:spacing w:line="510" w:lineRule="atLeast"/>
        <w:ind w:left="0" w:firstLine="42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一、机关运行经费。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为保障行政单位（包括参照公务员管理的事业单位）运行。用一般公共预算拨款安排用于购买货物和服务的各项资金，包括办公及印刷费、邮电费、咨询费、会议费、福利费、日常维修费、办公用房水电费、公务用车维护费等。</w:t>
      </w:r>
    </w:p>
    <w:p>
      <w:pPr>
        <w:pStyle w:val="5"/>
        <w:keepNext w:val="0"/>
        <w:keepLines w:val="0"/>
        <w:widowControl/>
        <w:suppressLineNumbers w:val="0"/>
        <w:spacing w:line="510" w:lineRule="atLeast"/>
        <w:ind w:left="0" w:firstLine="42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-SA"/>
        </w:rPr>
        <w:t>二、“三公”经费。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纳入财政预算管理的“三公”经费，是指用一般公共预算拨款安排的公务接待费、公共用车购置及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。</w:t>
      </w:r>
    </w:p>
    <w:p>
      <w:pPr>
        <w:pStyle w:val="10"/>
        <w:jc w:val="center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0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第五部分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  <w:t>附件</w:t>
      </w: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BA98B9"/>
    <w:multiLevelType w:val="singleLevel"/>
    <w:tmpl w:val="83BA98B9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MjM4OGRjMjA1YmIwNDg3YWY0MmMwNWU4YTAwYjIifQ=="/>
  </w:docVars>
  <w:rsids>
    <w:rsidRoot w:val="004506F9"/>
    <w:rsid w:val="0002229B"/>
    <w:rsid w:val="000273BD"/>
    <w:rsid w:val="000415B7"/>
    <w:rsid w:val="00041E3F"/>
    <w:rsid w:val="00055DAA"/>
    <w:rsid w:val="00061F7B"/>
    <w:rsid w:val="000658A3"/>
    <w:rsid w:val="00074155"/>
    <w:rsid w:val="000A3F69"/>
    <w:rsid w:val="00103957"/>
    <w:rsid w:val="00152C6D"/>
    <w:rsid w:val="00162D39"/>
    <w:rsid w:val="001678BD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3130C4"/>
    <w:rsid w:val="00316C4B"/>
    <w:rsid w:val="0032192B"/>
    <w:rsid w:val="003479BD"/>
    <w:rsid w:val="0037197D"/>
    <w:rsid w:val="003768D5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500E5F"/>
    <w:rsid w:val="005122EF"/>
    <w:rsid w:val="0051441A"/>
    <w:rsid w:val="00517C33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3D1C"/>
    <w:rsid w:val="0062378F"/>
    <w:rsid w:val="00641842"/>
    <w:rsid w:val="00651EEC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7621"/>
    <w:rsid w:val="00720FF1"/>
    <w:rsid w:val="00727A53"/>
    <w:rsid w:val="00787B42"/>
    <w:rsid w:val="007C4539"/>
    <w:rsid w:val="007F3657"/>
    <w:rsid w:val="00812ED5"/>
    <w:rsid w:val="008277D9"/>
    <w:rsid w:val="0084478C"/>
    <w:rsid w:val="0086638C"/>
    <w:rsid w:val="008A3E8D"/>
    <w:rsid w:val="009100A4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44EE"/>
    <w:rsid w:val="00DD06FF"/>
    <w:rsid w:val="00DD5FE9"/>
    <w:rsid w:val="00E00C7A"/>
    <w:rsid w:val="00E37D6C"/>
    <w:rsid w:val="00E55B68"/>
    <w:rsid w:val="00E67BE6"/>
    <w:rsid w:val="00E8683C"/>
    <w:rsid w:val="00EA2B72"/>
    <w:rsid w:val="00F74360"/>
    <w:rsid w:val="00FB462F"/>
    <w:rsid w:val="00FE16FA"/>
    <w:rsid w:val="00FE328A"/>
    <w:rsid w:val="00FE6269"/>
    <w:rsid w:val="0102227A"/>
    <w:rsid w:val="02667CF8"/>
    <w:rsid w:val="02D4605A"/>
    <w:rsid w:val="052C0772"/>
    <w:rsid w:val="05455796"/>
    <w:rsid w:val="05650CA4"/>
    <w:rsid w:val="0651212F"/>
    <w:rsid w:val="06D432E7"/>
    <w:rsid w:val="07181283"/>
    <w:rsid w:val="088A5A8D"/>
    <w:rsid w:val="093B7C41"/>
    <w:rsid w:val="0A5A32F8"/>
    <w:rsid w:val="0C8278CB"/>
    <w:rsid w:val="0DB65122"/>
    <w:rsid w:val="0DE3413F"/>
    <w:rsid w:val="0E1223AD"/>
    <w:rsid w:val="0EBE6BB4"/>
    <w:rsid w:val="10F246E4"/>
    <w:rsid w:val="111642E5"/>
    <w:rsid w:val="128879FC"/>
    <w:rsid w:val="13F54E26"/>
    <w:rsid w:val="163F2F5C"/>
    <w:rsid w:val="17005FBC"/>
    <w:rsid w:val="19F74783"/>
    <w:rsid w:val="1C913B5A"/>
    <w:rsid w:val="1DAF6DE8"/>
    <w:rsid w:val="1E1F199E"/>
    <w:rsid w:val="1F4B41C2"/>
    <w:rsid w:val="203B39F7"/>
    <w:rsid w:val="20C73087"/>
    <w:rsid w:val="20F93C40"/>
    <w:rsid w:val="227F4F1F"/>
    <w:rsid w:val="228F6A0D"/>
    <w:rsid w:val="23F15571"/>
    <w:rsid w:val="24945BD0"/>
    <w:rsid w:val="24F13E55"/>
    <w:rsid w:val="253908EB"/>
    <w:rsid w:val="25C9435A"/>
    <w:rsid w:val="260A2E6A"/>
    <w:rsid w:val="26263359"/>
    <w:rsid w:val="2A6E7289"/>
    <w:rsid w:val="2A7B1D82"/>
    <w:rsid w:val="2CBF0518"/>
    <w:rsid w:val="2E032F4B"/>
    <w:rsid w:val="2F2B1BEC"/>
    <w:rsid w:val="30D51E0F"/>
    <w:rsid w:val="30E47124"/>
    <w:rsid w:val="317345A1"/>
    <w:rsid w:val="318C5E82"/>
    <w:rsid w:val="344101BE"/>
    <w:rsid w:val="361C403D"/>
    <w:rsid w:val="36CA5847"/>
    <w:rsid w:val="376878D4"/>
    <w:rsid w:val="38FF5FAB"/>
    <w:rsid w:val="39930ABA"/>
    <w:rsid w:val="3A7B3A28"/>
    <w:rsid w:val="3B4E6A46"/>
    <w:rsid w:val="3D6F788E"/>
    <w:rsid w:val="3E015FF2"/>
    <w:rsid w:val="3EF04A2D"/>
    <w:rsid w:val="3EF04BF2"/>
    <w:rsid w:val="3F1B7587"/>
    <w:rsid w:val="40754A75"/>
    <w:rsid w:val="40D84160"/>
    <w:rsid w:val="44022AC4"/>
    <w:rsid w:val="4461691B"/>
    <w:rsid w:val="452C7A29"/>
    <w:rsid w:val="458A5591"/>
    <w:rsid w:val="45FC3543"/>
    <w:rsid w:val="462A6302"/>
    <w:rsid w:val="464632D6"/>
    <w:rsid w:val="468E59F2"/>
    <w:rsid w:val="471F3E06"/>
    <w:rsid w:val="47523D62"/>
    <w:rsid w:val="47664E5A"/>
    <w:rsid w:val="49774BBE"/>
    <w:rsid w:val="4A8A611D"/>
    <w:rsid w:val="4CA77209"/>
    <w:rsid w:val="4DA1374B"/>
    <w:rsid w:val="4DC614FB"/>
    <w:rsid w:val="4DCC3EE3"/>
    <w:rsid w:val="4E4454AB"/>
    <w:rsid w:val="4E5E2FEC"/>
    <w:rsid w:val="4F33101A"/>
    <w:rsid w:val="4FFC43AB"/>
    <w:rsid w:val="518851F9"/>
    <w:rsid w:val="51E9414A"/>
    <w:rsid w:val="524A1938"/>
    <w:rsid w:val="53DA4EC3"/>
    <w:rsid w:val="54571AF7"/>
    <w:rsid w:val="55851320"/>
    <w:rsid w:val="565730C7"/>
    <w:rsid w:val="56F3081B"/>
    <w:rsid w:val="58C46142"/>
    <w:rsid w:val="590A0142"/>
    <w:rsid w:val="59A8104A"/>
    <w:rsid w:val="5A9805CA"/>
    <w:rsid w:val="5B53501B"/>
    <w:rsid w:val="5CEC3D1B"/>
    <w:rsid w:val="5D554CD8"/>
    <w:rsid w:val="5D5757D7"/>
    <w:rsid w:val="5DB1622D"/>
    <w:rsid w:val="5E394EDC"/>
    <w:rsid w:val="5EBF3ABA"/>
    <w:rsid w:val="5ED115B9"/>
    <w:rsid w:val="5EE906B0"/>
    <w:rsid w:val="5F175824"/>
    <w:rsid w:val="5F1C0CF6"/>
    <w:rsid w:val="5F415F51"/>
    <w:rsid w:val="5FAA6092"/>
    <w:rsid w:val="60ED7350"/>
    <w:rsid w:val="63B374DF"/>
    <w:rsid w:val="652667D3"/>
    <w:rsid w:val="668F7D8F"/>
    <w:rsid w:val="66AD1B09"/>
    <w:rsid w:val="67A519D8"/>
    <w:rsid w:val="687B6875"/>
    <w:rsid w:val="6A38655A"/>
    <w:rsid w:val="6AA15FA4"/>
    <w:rsid w:val="6AF66D9D"/>
    <w:rsid w:val="6B78597E"/>
    <w:rsid w:val="6E3B4203"/>
    <w:rsid w:val="6E5416F9"/>
    <w:rsid w:val="6F3239AE"/>
    <w:rsid w:val="705E2D1C"/>
    <w:rsid w:val="7080699B"/>
    <w:rsid w:val="70FA6C8D"/>
    <w:rsid w:val="712D6D4D"/>
    <w:rsid w:val="715104A0"/>
    <w:rsid w:val="757108D4"/>
    <w:rsid w:val="75BE0C1D"/>
    <w:rsid w:val="7606730B"/>
    <w:rsid w:val="772C5186"/>
    <w:rsid w:val="794744F9"/>
    <w:rsid w:val="7ADB314B"/>
    <w:rsid w:val="7AE543DF"/>
    <w:rsid w:val="7BD608F9"/>
    <w:rsid w:val="7C636B81"/>
    <w:rsid w:val="7CAF2FEA"/>
    <w:rsid w:val="7CDC13FD"/>
    <w:rsid w:val="7E265025"/>
    <w:rsid w:val="7EA23D68"/>
    <w:rsid w:val="7EA63A70"/>
    <w:rsid w:val="7EB64559"/>
    <w:rsid w:val="7FF6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E8E99-0876-4457-84BE-74A901AF77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4054</Words>
  <Characters>4387</Characters>
  <Lines>62</Lines>
  <Paragraphs>17</Paragraphs>
  <TotalTime>0</TotalTime>
  <ScaleCrop>false</ScaleCrop>
  <LinksUpToDate>false</LinksUpToDate>
  <CharactersWithSpaces>4397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2020-07-02T02:32:00Z</dcterms:created>
  <dc:creator>李航 null</dc:creator>
  <cp:lastModifiedBy>非鱼</cp:lastModifiedBy>
  <cp:lastPrinted>2021-07-28T00:12:00Z</cp:lastPrinted>
  <dcterms:modified xsi:type="dcterms:W3CDTF">2023-10-06T05:37:10Z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E165F38F636949D9AB9152271EE1D5A6</vt:lpwstr>
  </property>
</Properties>
</file>