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33C4B">
      <w:pPr>
        <w:pStyle w:val="9"/>
        <w:jc w:val="center"/>
        <w:rPr>
          <w:sz w:val="56"/>
          <w:szCs w:val="56"/>
          <w:highlight w:val="none"/>
        </w:rPr>
      </w:pPr>
    </w:p>
    <w:p w14:paraId="6F09618A">
      <w:pPr>
        <w:pStyle w:val="9"/>
        <w:jc w:val="both"/>
        <w:rPr>
          <w:sz w:val="84"/>
          <w:szCs w:val="84"/>
          <w:highlight w:val="none"/>
        </w:rPr>
      </w:pPr>
    </w:p>
    <w:p w14:paraId="1E660FF6">
      <w:pPr>
        <w:pStyle w:val="9"/>
        <w:jc w:val="center"/>
        <w:rPr>
          <w:sz w:val="84"/>
          <w:szCs w:val="84"/>
          <w:highlight w:val="none"/>
        </w:rPr>
      </w:pPr>
    </w:p>
    <w:p w14:paraId="3DB70C24">
      <w:pPr>
        <w:pStyle w:val="9"/>
        <w:jc w:val="center"/>
        <w:rPr>
          <w:rFonts w:hint="eastAsia" w:ascii="黑体" w:hAnsi="黑体" w:eastAsia="黑体" w:cs="黑体"/>
          <w:sz w:val="84"/>
          <w:szCs w:val="84"/>
          <w:highlight w:val="none"/>
        </w:rPr>
      </w:pPr>
      <w:r>
        <w:rPr>
          <w:rFonts w:hint="eastAsia" w:ascii="黑体" w:hAnsi="黑体" w:eastAsia="黑体" w:cs="黑体"/>
          <w:sz w:val="84"/>
          <w:szCs w:val="84"/>
          <w:highlight w:val="none"/>
        </w:rPr>
        <w:t>2022年度</w:t>
      </w:r>
    </w:p>
    <w:p w14:paraId="5D55F4C4">
      <w:pPr>
        <w:pStyle w:val="9"/>
        <w:jc w:val="center"/>
        <w:rPr>
          <w:rFonts w:hint="default" w:ascii="黑体" w:hAnsi="黑体" w:eastAsia="黑体" w:cs="黑体"/>
          <w:sz w:val="84"/>
          <w:szCs w:val="84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84"/>
          <w:szCs w:val="84"/>
          <w:highlight w:val="none"/>
        </w:rPr>
        <w:t>中国民主建国会怀化市委员会部门决算</w:t>
      </w:r>
      <w:r>
        <w:rPr>
          <w:rFonts w:hint="eastAsia" w:hAnsi="黑体" w:cs="黑体"/>
          <w:sz w:val="84"/>
          <w:szCs w:val="84"/>
          <w:highlight w:val="none"/>
          <w:lang w:val="en-US" w:eastAsia="zh-CN"/>
        </w:rPr>
        <w:t>公开说明</w:t>
      </w:r>
    </w:p>
    <w:p w14:paraId="5834CAA2">
      <w:pPr>
        <w:pStyle w:val="9"/>
        <w:jc w:val="center"/>
        <w:rPr>
          <w:rFonts w:ascii="方正小标宋_GBK" w:hAnsi="方正小标宋_GBK" w:eastAsia="方正小标宋_GBK" w:cs="方正小标宋_GBK"/>
          <w:sz w:val="56"/>
          <w:szCs w:val="56"/>
          <w:highlight w:val="none"/>
        </w:rPr>
      </w:pPr>
    </w:p>
    <w:p w14:paraId="43814DF4">
      <w:pPr>
        <w:pStyle w:val="9"/>
        <w:jc w:val="center"/>
        <w:rPr>
          <w:sz w:val="56"/>
          <w:szCs w:val="56"/>
          <w:highlight w:val="none"/>
        </w:rPr>
      </w:pPr>
    </w:p>
    <w:p w14:paraId="03784EF5">
      <w:pPr>
        <w:pStyle w:val="9"/>
        <w:jc w:val="center"/>
        <w:rPr>
          <w:sz w:val="56"/>
          <w:szCs w:val="56"/>
          <w:highlight w:val="none"/>
        </w:rPr>
      </w:pPr>
    </w:p>
    <w:p w14:paraId="6C448482">
      <w:pPr>
        <w:pStyle w:val="9"/>
        <w:jc w:val="center"/>
        <w:rPr>
          <w:sz w:val="56"/>
          <w:szCs w:val="56"/>
          <w:highlight w:val="none"/>
        </w:rPr>
      </w:pPr>
    </w:p>
    <w:p w14:paraId="55700848">
      <w:pPr>
        <w:pStyle w:val="9"/>
        <w:jc w:val="center"/>
        <w:rPr>
          <w:sz w:val="32"/>
          <w:szCs w:val="32"/>
          <w:highlight w:val="none"/>
        </w:rPr>
      </w:pPr>
    </w:p>
    <w:p w14:paraId="53512301">
      <w:pPr>
        <w:pStyle w:val="9"/>
        <w:jc w:val="center"/>
        <w:rPr>
          <w:sz w:val="32"/>
          <w:szCs w:val="32"/>
          <w:highlight w:val="none"/>
        </w:rPr>
      </w:pPr>
    </w:p>
    <w:p w14:paraId="2AFC9F5C">
      <w:pPr>
        <w:pStyle w:val="9"/>
        <w:jc w:val="center"/>
        <w:rPr>
          <w:sz w:val="32"/>
          <w:szCs w:val="32"/>
          <w:highlight w:val="none"/>
        </w:rPr>
      </w:pPr>
    </w:p>
    <w:p w14:paraId="6F599C72">
      <w:pPr>
        <w:pStyle w:val="9"/>
        <w:jc w:val="center"/>
        <w:rPr>
          <w:sz w:val="32"/>
          <w:szCs w:val="32"/>
          <w:highlight w:val="none"/>
        </w:rPr>
      </w:pPr>
    </w:p>
    <w:p w14:paraId="540D2F9A">
      <w:pPr>
        <w:pStyle w:val="9"/>
        <w:spacing w:line="540" w:lineRule="exact"/>
        <w:jc w:val="both"/>
        <w:rPr>
          <w:sz w:val="56"/>
          <w:szCs w:val="56"/>
          <w:highlight w:val="none"/>
        </w:rPr>
      </w:pPr>
    </w:p>
    <w:p w14:paraId="0E390943">
      <w:pPr>
        <w:pStyle w:val="9"/>
        <w:spacing w:line="500" w:lineRule="exact"/>
        <w:jc w:val="both"/>
        <w:rPr>
          <w:b/>
          <w:sz w:val="36"/>
          <w:szCs w:val="28"/>
          <w:highlight w:val="none"/>
        </w:rPr>
      </w:pPr>
    </w:p>
    <w:p w14:paraId="345CEC44">
      <w:pPr>
        <w:rPr>
          <w:rFonts w:hint="eastAsia" w:ascii="仿宋_GB2312" w:hAnsi="仿宋" w:eastAsia="仿宋_GB2312" w:cs="仿宋"/>
          <w:b/>
          <w:sz w:val="36"/>
          <w:szCs w:val="28"/>
          <w:highlight w:val="none"/>
        </w:rPr>
      </w:pPr>
      <w:r>
        <w:rPr>
          <w:rFonts w:hint="eastAsia" w:ascii="仿宋_GB2312" w:hAnsi="仿宋" w:eastAsia="仿宋_GB2312" w:cs="仿宋"/>
          <w:b/>
          <w:sz w:val="36"/>
          <w:szCs w:val="28"/>
          <w:highlight w:val="none"/>
        </w:rPr>
        <w:br w:type="page"/>
      </w:r>
    </w:p>
    <w:p w14:paraId="2B7C3E6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jc w:val="center"/>
        <w:textAlignment w:val="auto"/>
        <w:rPr>
          <w:rFonts w:hint="eastAsia" w:ascii="仿宋_GB2312" w:hAnsi="仿宋" w:eastAsia="仿宋_GB2312" w:cs="仿宋"/>
          <w:b/>
          <w:sz w:val="36"/>
          <w:szCs w:val="28"/>
          <w:highlight w:val="none"/>
        </w:rPr>
      </w:pPr>
      <w:r>
        <w:rPr>
          <w:rFonts w:hint="eastAsia" w:ascii="仿宋_GB2312" w:hAnsi="仿宋" w:eastAsia="仿宋_GB2312" w:cs="仿宋"/>
          <w:b/>
          <w:sz w:val="36"/>
          <w:szCs w:val="28"/>
          <w:highlight w:val="none"/>
        </w:rPr>
        <w:t>目录</w:t>
      </w:r>
    </w:p>
    <w:p w14:paraId="4299E45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jc w:val="center"/>
        <w:textAlignment w:val="auto"/>
        <w:rPr>
          <w:rFonts w:hint="eastAsia" w:ascii="仿宋_GB2312" w:hAnsi="仿宋" w:eastAsia="仿宋_GB2312" w:cs="仿宋"/>
          <w:b/>
          <w:sz w:val="36"/>
          <w:szCs w:val="28"/>
          <w:highlight w:val="none"/>
        </w:rPr>
      </w:pPr>
    </w:p>
    <w:p w14:paraId="41C6527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  <w:t>第一部分</w:t>
      </w:r>
      <w:r>
        <w:rPr>
          <w:rFonts w:hint="eastAsia" w:ascii="仿宋_GB2312" w:hAnsi="黑体" w:eastAsia="仿宋_GB2312"/>
          <w:b/>
          <w:bCs w:val="0"/>
          <w:sz w:val="32"/>
          <w:szCs w:val="32"/>
          <w:highlight w:val="none"/>
          <w:lang w:eastAsia="zh-CN"/>
        </w:rPr>
        <w:t>中国民主建国会怀化市委员</w:t>
      </w:r>
      <w:r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  <w:t>部门概况</w:t>
      </w:r>
    </w:p>
    <w:p w14:paraId="74E4453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一、部门职责</w:t>
      </w:r>
    </w:p>
    <w:p w14:paraId="0084A457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二、机构设置</w:t>
      </w:r>
    </w:p>
    <w:p w14:paraId="75FA76E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  <w:t>第二部分部门决算表</w:t>
      </w:r>
    </w:p>
    <w:p w14:paraId="72ADC19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一、收入支出决算总表</w:t>
      </w:r>
    </w:p>
    <w:p w14:paraId="6B3F758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二、收入决算表</w:t>
      </w:r>
    </w:p>
    <w:p w14:paraId="1523CE5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三、支出决算表</w:t>
      </w:r>
    </w:p>
    <w:p w14:paraId="7B3E162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四、财政拨款收入支出决算总表</w:t>
      </w:r>
    </w:p>
    <w:p w14:paraId="7D43800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五、一般公共预算财政拨款支出决算表</w:t>
      </w:r>
    </w:p>
    <w:p w14:paraId="0E520517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六、一般公共预算财政拨款基本支出决算明细表</w:t>
      </w:r>
    </w:p>
    <w:p w14:paraId="650C3BA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七、政府性基金预算财政拨款收入支出决算表</w:t>
      </w:r>
    </w:p>
    <w:p w14:paraId="6774D86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八、国有资本经营预算财政拨款支出决算表</w:t>
      </w:r>
    </w:p>
    <w:p w14:paraId="706B2E7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九、财政拨款“三公”经费支出决算表</w:t>
      </w:r>
    </w:p>
    <w:p w14:paraId="1075AB6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  <w:t>第三部分部门决算情况说明</w:t>
      </w:r>
    </w:p>
    <w:p w14:paraId="7E5578D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一、收入支出决算总体情况说明</w:t>
      </w:r>
    </w:p>
    <w:p w14:paraId="74E184C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二、收入决算情况说明</w:t>
      </w:r>
    </w:p>
    <w:p w14:paraId="2728A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三、支出决算情况说明</w:t>
      </w:r>
    </w:p>
    <w:p w14:paraId="20301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四、财政拨款收入支出决算总体情况说明</w:t>
      </w:r>
    </w:p>
    <w:p w14:paraId="029D6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五、一般公共预算财政拨款支出决算情况说明</w:t>
      </w:r>
    </w:p>
    <w:p w14:paraId="6CB57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六、一般公共预算财政拨款基本支出决算情况说明</w:t>
      </w:r>
    </w:p>
    <w:p w14:paraId="1ED62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七、一般公共预算财政拨款三公经费支出决算情况说明</w:t>
      </w:r>
    </w:p>
    <w:p w14:paraId="0D27B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八、政府性基金预算收入支出决算情况说明</w:t>
      </w:r>
    </w:p>
    <w:p w14:paraId="6A04B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九、国有资本经营预算财政拨款支出决算情况说明</w:t>
      </w:r>
    </w:p>
    <w:p w14:paraId="040AD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十、关于机关运行经费支出说明</w:t>
      </w:r>
    </w:p>
    <w:p w14:paraId="0A3E7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十一、一般性支出情况说明</w:t>
      </w:r>
    </w:p>
    <w:p w14:paraId="31043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十二、关于政府采购支出说明</w:t>
      </w:r>
    </w:p>
    <w:p w14:paraId="252CE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十三、关于国有资产占用情况说明</w:t>
      </w:r>
    </w:p>
    <w:p w14:paraId="17580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十四、关于预算绩效情况的说明</w:t>
      </w:r>
    </w:p>
    <w:p w14:paraId="639E72A7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  <w:t>第四部分名词解释</w:t>
      </w:r>
    </w:p>
    <w:p w14:paraId="48F6A40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  <w:t>第五部分附件</w:t>
      </w:r>
    </w:p>
    <w:p w14:paraId="2CA7523F">
      <w:pPr>
        <w:jc w:val="center"/>
        <w:rPr>
          <w:sz w:val="72"/>
          <w:szCs w:val="72"/>
          <w:highlight w:val="none"/>
        </w:rPr>
      </w:pPr>
    </w:p>
    <w:p w14:paraId="2EE5BB2D">
      <w:pPr>
        <w:jc w:val="center"/>
        <w:rPr>
          <w:sz w:val="72"/>
          <w:szCs w:val="72"/>
          <w:highlight w:val="none"/>
        </w:rPr>
      </w:pPr>
    </w:p>
    <w:p w14:paraId="4C6DB403">
      <w:pPr>
        <w:jc w:val="center"/>
        <w:rPr>
          <w:sz w:val="72"/>
          <w:szCs w:val="72"/>
          <w:highlight w:val="none"/>
        </w:rPr>
      </w:pPr>
    </w:p>
    <w:p w14:paraId="5EE668C5">
      <w:pPr>
        <w:jc w:val="center"/>
        <w:rPr>
          <w:sz w:val="72"/>
          <w:szCs w:val="72"/>
          <w:highlight w:val="none"/>
        </w:rPr>
      </w:pPr>
    </w:p>
    <w:p w14:paraId="13AB1F50">
      <w:pPr>
        <w:rPr>
          <w:rFonts w:ascii="方正小标宋_GBK" w:hAnsi="方正小标宋_GBK" w:eastAsia="方正小标宋_GBK" w:cs="方正小标宋_GBK"/>
          <w:sz w:val="72"/>
          <w:szCs w:val="72"/>
          <w:highlight w:val="none"/>
        </w:rPr>
      </w:pPr>
    </w:p>
    <w:p w14:paraId="14B36607">
      <w:pPr>
        <w:rPr>
          <w:rFonts w:hint="eastAsia" w:ascii="黑体" w:hAnsi="黑体" w:eastAsia="黑体" w:cs="黑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highlight w:val="none"/>
        </w:rPr>
        <w:br w:type="page"/>
      </w:r>
    </w:p>
    <w:p w14:paraId="7935DAF6">
      <w:pPr>
        <w:pStyle w:val="9"/>
        <w:jc w:val="center"/>
        <w:rPr>
          <w:rFonts w:hint="eastAsia" w:ascii="黑体" w:hAnsi="黑体" w:eastAsia="黑体" w:cs="黑体"/>
          <w:sz w:val="44"/>
          <w:szCs w:val="44"/>
          <w:highlight w:val="none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highlight w:val="none"/>
        </w:rPr>
        <w:t>第一部分</w:t>
      </w:r>
    </w:p>
    <w:p w14:paraId="6535D786">
      <w:pPr>
        <w:pStyle w:val="9"/>
        <w:jc w:val="center"/>
        <w:rPr>
          <w:rFonts w:hint="eastAsia" w:ascii="黑体" w:hAnsi="黑体" w:eastAsia="黑体" w:cs="黑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highlight w:val="none"/>
        </w:rPr>
        <w:t>中国民主建国会怀化市委员会概况</w:t>
      </w:r>
    </w:p>
    <w:p w14:paraId="23723AFF">
      <w:pPr>
        <w:pStyle w:val="10"/>
        <w:numPr>
          <w:ilvl w:val="0"/>
          <w:numId w:val="0"/>
        </w:numPr>
        <w:jc w:val="left"/>
        <w:rPr>
          <w:rFonts w:ascii="黑体" w:hAnsi="黑体" w:eastAsia="黑体" w:cs="黑体"/>
          <w:sz w:val="32"/>
          <w:szCs w:val="32"/>
          <w:highlight w:val="none"/>
        </w:rPr>
      </w:pPr>
    </w:p>
    <w:p w14:paraId="00EC2D2E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一、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部门职责</w:t>
      </w:r>
    </w:p>
    <w:p w14:paraId="66F6B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中国民主建国会怀化市委员会是主要由经济界人士组成的、具有政治联盟特点的、致力于建设有中国特色的社会主义事业的政党，是中国共产党领导的多党合作和政治协商制度中的参政党。主要职责为：</w:t>
      </w:r>
    </w:p>
    <w:p w14:paraId="4FE90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（1）坚持中国共产党同各民主党派“长期共存、互相监督、肝胆相照、荣辱与共”的方针，积极履行参政议政和民主监督；</w:t>
      </w:r>
    </w:p>
    <w:p w14:paraId="34933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（2）参与国家大政方针和国家领导人选的协商，参与国家事务的管理；参与国家方针、政策、法律、法规的协商与制定；</w:t>
      </w:r>
    </w:p>
    <w:p w14:paraId="67CD7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（3）针对改革开放、经济建设和社会发展中的重大问题，开展调查研究，反映社情民意，积极建言献策；</w:t>
      </w:r>
    </w:p>
    <w:p w14:paraId="588A5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（4）推进我国的现代化建设，完成祖国统一，维护世界和平与促进共同发展。</w:t>
      </w:r>
    </w:p>
    <w:p w14:paraId="360E930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黑体" w:hAnsi="黑体" w:eastAsia="黑体" w:cs="黑体"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highlight w:val="none"/>
        </w:rPr>
        <w:t>二、机构设置及决算单位构成</w:t>
      </w:r>
    </w:p>
    <w:p w14:paraId="042C8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（一）内设机构设置。中国民主建国会怀化市委员会作为一级部门预算单位，内设机构包括：办公室、参政议政宣传科。</w:t>
      </w:r>
    </w:p>
    <w:p w14:paraId="3F89F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（二）决算单位构成。中国民主建国会怀化市委员会202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年部门决算汇总公开单位构成包括：中国民主建国会怀化市委员会本级。</w:t>
      </w:r>
    </w:p>
    <w:p w14:paraId="65E13A8E">
      <w:pPr>
        <w:jc w:val="left"/>
        <w:rPr>
          <w:rFonts w:ascii="仿宋_GB2312" w:eastAsia="仿宋_GB2312" w:hAnsiTheme="minorEastAsia"/>
          <w:sz w:val="28"/>
          <w:szCs w:val="32"/>
          <w:highlight w:val="none"/>
        </w:rPr>
      </w:pPr>
    </w:p>
    <w:p w14:paraId="1D8C33A0">
      <w:pPr>
        <w:jc w:val="center"/>
        <w:rPr>
          <w:rFonts w:ascii="黑体" w:hAnsi="黑体" w:eastAsia="黑体"/>
          <w:sz w:val="28"/>
          <w:szCs w:val="28"/>
          <w:highlight w:val="none"/>
        </w:rPr>
      </w:pPr>
    </w:p>
    <w:p w14:paraId="107216FA">
      <w:pPr>
        <w:jc w:val="center"/>
        <w:rPr>
          <w:rFonts w:ascii="黑体" w:hAnsi="黑体" w:eastAsia="黑体"/>
          <w:sz w:val="28"/>
          <w:szCs w:val="28"/>
          <w:highlight w:val="none"/>
        </w:rPr>
      </w:pPr>
    </w:p>
    <w:p w14:paraId="28379990">
      <w:pPr>
        <w:pStyle w:val="9"/>
        <w:jc w:val="both"/>
        <w:rPr>
          <w:rFonts w:ascii="方正小标宋_GBK" w:hAnsi="方正小标宋_GBK" w:eastAsia="方正小标宋_GBK" w:cs="方正小标宋_GBK"/>
          <w:sz w:val="84"/>
          <w:szCs w:val="84"/>
          <w:highlight w:val="none"/>
        </w:rPr>
      </w:pPr>
    </w:p>
    <w:p w14:paraId="1A09EFF0">
      <w:pPr>
        <w:pStyle w:val="9"/>
        <w:jc w:val="center"/>
        <w:rPr>
          <w:rFonts w:hint="eastAsia" w:ascii="黑体" w:hAnsi="黑体" w:eastAsia="黑体" w:cs="黑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highlight w:val="none"/>
        </w:rPr>
        <w:t>第二部分</w:t>
      </w:r>
    </w:p>
    <w:p w14:paraId="17AC3A7F">
      <w:pPr>
        <w:pStyle w:val="9"/>
        <w:jc w:val="center"/>
        <w:rPr>
          <w:rFonts w:hint="eastAsia" w:ascii="黑体" w:hAnsi="黑体" w:eastAsia="黑体" w:cs="黑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highlight w:val="none"/>
        </w:rPr>
        <w:t>部门决算表</w:t>
      </w:r>
      <w:bookmarkStart w:id="16" w:name="_GoBack"/>
      <w:bookmarkEnd w:id="16"/>
    </w:p>
    <w:p w14:paraId="6BFAFF27">
      <w:pPr>
        <w:pStyle w:val="9"/>
        <w:jc w:val="center"/>
        <w:rPr>
          <w:rFonts w:hint="eastAsia" w:ascii="黑体" w:hAnsi="黑体" w:eastAsia="黑体" w:cs="黑体"/>
          <w:sz w:val="44"/>
          <w:szCs w:val="44"/>
          <w:highlight w:val="none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highlight w:val="none"/>
          <w:lang w:eastAsia="zh-CN"/>
        </w:rPr>
        <w:t>（</w:t>
      </w:r>
      <w:r>
        <w:rPr>
          <w:rFonts w:hint="eastAsia" w:ascii="黑体" w:hAnsi="黑体" w:eastAsia="黑体" w:cs="黑体"/>
          <w:sz w:val="44"/>
          <w:szCs w:val="44"/>
          <w:highlight w:val="none"/>
          <w:lang w:val="en-US" w:eastAsia="zh-CN"/>
        </w:rPr>
        <w:t>见附件</w:t>
      </w:r>
      <w:r>
        <w:rPr>
          <w:rFonts w:hint="eastAsia" w:ascii="黑体" w:hAnsi="黑体" w:eastAsia="黑体" w:cs="黑体"/>
          <w:sz w:val="44"/>
          <w:szCs w:val="44"/>
          <w:highlight w:val="none"/>
          <w:lang w:eastAsia="zh-CN"/>
        </w:rPr>
        <w:t>）</w:t>
      </w:r>
    </w:p>
    <w:p w14:paraId="012070E8">
      <w:pPr>
        <w:pStyle w:val="9"/>
        <w:jc w:val="center"/>
        <w:rPr>
          <w:rFonts w:hint="eastAsia" w:ascii="黑体" w:hAnsi="黑体" w:eastAsia="黑体" w:cs="黑体"/>
          <w:sz w:val="44"/>
          <w:szCs w:val="44"/>
          <w:highlight w:val="none"/>
          <w:lang w:eastAsia="zh-CN"/>
        </w:rPr>
      </w:pPr>
    </w:p>
    <w:p w14:paraId="4B88CC23">
      <w:pPr>
        <w:pStyle w:val="9"/>
        <w:jc w:val="center"/>
        <w:rPr>
          <w:rFonts w:hint="eastAsia" w:ascii="黑体" w:hAnsi="黑体" w:eastAsia="黑体" w:cs="黑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highlight w:val="none"/>
        </w:rPr>
        <w:t>第三部分</w:t>
      </w:r>
    </w:p>
    <w:p w14:paraId="197B1034">
      <w:pPr>
        <w:pStyle w:val="9"/>
        <w:jc w:val="center"/>
        <w:rPr>
          <w:rFonts w:hint="eastAsia" w:ascii="黑体" w:hAnsi="黑体" w:eastAsia="黑体" w:cs="黑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highlight w:val="none"/>
        </w:rPr>
        <w:t>2022年度部门决算情况说明</w:t>
      </w:r>
    </w:p>
    <w:p w14:paraId="21E74C95">
      <w:pPr>
        <w:pStyle w:val="9"/>
        <w:jc w:val="center"/>
        <w:rPr>
          <w:rFonts w:hint="eastAsia" w:ascii="黑体" w:hAnsi="黑体" w:eastAsia="黑体" w:cs="黑体"/>
          <w:sz w:val="44"/>
          <w:szCs w:val="44"/>
          <w:highlight w:val="none"/>
        </w:rPr>
      </w:pPr>
    </w:p>
    <w:p w14:paraId="0E0405B8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Ansi="黑体"/>
          <w:bCs/>
          <w:sz w:val="32"/>
          <w:szCs w:val="32"/>
          <w:highlight w:val="none"/>
        </w:rPr>
      </w:pPr>
      <w:r>
        <w:rPr>
          <w:rFonts w:hint="eastAsia" w:hAnsi="黑体"/>
          <w:bCs/>
          <w:sz w:val="32"/>
          <w:szCs w:val="32"/>
          <w:highlight w:val="none"/>
        </w:rPr>
        <w:t>一、收入支出决算总体情况说明</w:t>
      </w:r>
    </w:p>
    <w:p w14:paraId="3C2D93D3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2022年度收、支总计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均为</w:t>
      </w:r>
      <w:r>
        <w:rPr>
          <w:rFonts w:ascii="Times New Roman" w:hAnsi="Times New Roman" w:eastAsia="仿宋_GB2312"/>
          <w:sz w:val="32"/>
          <w:szCs w:val="32"/>
          <w:highlight w:val="none"/>
        </w:rPr>
        <w:t>110.14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万元。与上年相比，减少4.89万元，减少4.25%，主要是因为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业务工作经费减少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。</w:t>
      </w:r>
    </w:p>
    <w:p w14:paraId="5E04C0EA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Ansi="黑体"/>
          <w:bCs/>
          <w:sz w:val="32"/>
          <w:szCs w:val="32"/>
          <w:highlight w:val="none"/>
        </w:rPr>
      </w:pPr>
      <w:r>
        <w:rPr>
          <w:rFonts w:hint="eastAsia" w:hAnsi="黑体"/>
          <w:bCs/>
          <w:sz w:val="32"/>
          <w:szCs w:val="32"/>
          <w:highlight w:val="none"/>
        </w:rPr>
        <w:t>二、收入决算情况说明</w:t>
      </w:r>
    </w:p>
    <w:p w14:paraId="0E66C0F5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2022年度收入合计</w:t>
      </w:r>
      <w:r>
        <w:rPr>
          <w:rFonts w:ascii="Times New Roman" w:hAnsi="Times New Roman" w:eastAsia="仿宋_GB2312"/>
          <w:sz w:val="32"/>
          <w:szCs w:val="32"/>
          <w:highlight w:val="none"/>
        </w:rPr>
        <w:t>110.14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万元，其中：财政拨款收入</w:t>
      </w:r>
      <w:r>
        <w:rPr>
          <w:rFonts w:ascii="Times New Roman" w:hAnsi="Times New Roman" w:eastAsia="仿宋_GB2312"/>
          <w:sz w:val="32"/>
          <w:szCs w:val="32"/>
          <w:highlight w:val="none"/>
        </w:rPr>
        <w:t>110.14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万元，占100%。</w:t>
      </w:r>
    </w:p>
    <w:p w14:paraId="1B530AF3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Ansi="黑体"/>
          <w:bCs/>
          <w:sz w:val="32"/>
          <w:szCs w:val="32"/>
          <w:highlight w:val="none"/>
        </w:rPr>
      </w:pPr>
      <w:r>
        <w:rPr>
          <w:rFonts w:hint="eastAsia" w:hAnsi="黑体"/>
          <w:bCs/>
          <w:sz w:val="32"/>
          <w:szCs w:val="32"/>
          <w:highlight w:val="none"/>
        </w:rPr>
        <w:t>三、支出决算情况说明</w:t>
      </w:r>
    </w:p>
    <w:p w14:paraId="3E6B4C08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2022年度支出合计</w:t>
      </w:r>
      <w:r>
        <w:rPr>
          <w:rFonts w:ascii="Times New Roman" w:hAnsi="Times New Roman" w:eastAsia="仿宋_GB2312"/>
          <w:sz w:val="32"/>
          <w:szCs w:val="32"/>
          <w:highlight w:val="none"/>
        </w:rPr>
        <w:t>110.14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万元，其中：基本支出</w:t>
      </w:r>
      <w:r>
        <w:rPr>
          <w:rFonts w:ascii="Times New Roman" w:hAnsi="Times New Roman" w:eastAsia="仿宋_GB2312"/>
          <w:sz w:val="32"/>
          <w:szCs w:val="32"/>
          <w:highlight w:val="none"/>
        </w:rPr>
        <w:t>73.91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67.11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%；项目支出</w:t>
      </w:r>
      <w:r>
        <w:rPr>
          <w:rFonts w:ascii="Times New Roman" w:hAnsi="Times New Roman" w:eastAsia="仿宋_GB2312"/>
          <w:sz w:val="32"/>
          <w:szCs w:val="32"/>
          <w:highlight w:val="none"/>
        </w:rPr>
        <w:t>36.23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32.89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%。</w:t>
      </w:r>
    </w:p>
    <w:p w14:paraId="3619FA30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Ansi="黑体"/>
          <w:bCs/>
          <w:sz w:val="32"/>
          <w:szCs w:val="32"/>
          <w:highlight w:val="none"/>
        </w:rPr>
      </w:pPr>
      <w:r>
        <w:rPr>
          <w:rFonts w:hint="eastAsia" w:hAnsi="黑体"/>
          <w:bCs/>
          <w:sz w:val="32"/>
          <w:szCs w:val="32"/>
          <w:highlight w:val="none"/>
        </w:rPr>
        <w:t>四、财政拨款收入支出决算总体情况说明</w:t>
      </w:r>
    </w:p>
    <w:p w14:paraId="58376860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2022年度财政拨款收、支总计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均为</w:t>
      </w:r>
      <w:r>
        <w:rPr>
          <w:rFonts w:ascii="Times New Roman" w:hAnsi="Times New Roman" w:eastAsia="仿宋_GB2312"/>
          <w:sz w:val="32"/>
          <w:szCs w:val="32"/>
          <w:highlight w:val="none"/>
        </w:rPr>
        <w:t>110.14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万元，与上年相比，减少4.89万元，减少4.25%，主要是因为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业务工作经费减少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。</w:t>
      </w:r>
    </w:p>
    <w:p w14:paraId="52B109F4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Ansi="黑体"/>
          <w:bCs/>
          <w:sz w:val="32"/>
          <w:szCs w:val="32"/>
          <w:highlight w:val="none"/>
        </w:rPr>
      </w:pPr>
      <w:r>
        <w:rPr>
          <w:rFonts w:hint="eastAsia" w:hAnsi="黑体"/>
          <w:bCs/>
          <w:sz w:val="32"/>
          <w:szCs w:val="32"/>
          <w:highlight w:val="none"/>
        </w:rPr>
        <w:t>五、一般公共预算财政拨款支出决算情况说明</w:t>
      </w:r>
    </w:p>
    <w:p w14:paraId="21E79C1D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</w:rPr>
        <w:t>（一）财政拨款支出决算总体情况</w:t>
      </w:r>
    </w:p>
    <w:p w14:paraId="22AD4138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2022年度财政拨款支出110.14万元，占本年支出合计的100%，与上年相比，财政拨款支出减少4.89万元，减少4.25%，主要是因为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  <w:lang w:val="en-US" w:eastAsia="zh-CN"/>
        </w:rPr>
        <w:t>业务工作经费减少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。</w:t>
      </w:r>
    </w:p>
    <w:p w14:paraId="60AF4E2D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</w:rPr>
        <w:t>（二）财政拨款支出决算结构情况</w:t>
      </w:r>
    </w:p>
    <w:p w14:paraId="762B7D36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2022年度财政拨款支出110.14万元，主要用于以下方面：一般公共服务（类）支出98.92万元，占89.81%；社会保障和就业（类）支出8.59万元，占7.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  <w:lang w:val="en-US" w:eastAsia="zh-CN"/>
        </w:rPr>
        <w:t>80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%；卫生健康（类）支出2.63万元，占2.3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%。</w:t>
      </w:r>
    </w:p>
    <w:p w14:paraId="459859B8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</w:rPr>
        <w:t>（三）财政拨款支出决算具体情况</w:t>
      </w:r>
    </w:p>
    <w:p w14:paraId="4A5929E1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2022年度财政拨款支出年初预算数为88.74万元，支出决算数为110.14万元，完成年初预算的124.1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%，其中：</w:t>
      </w:r>
    </w:p>
    <w:p w14:paraId="79CBAAB4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1、一般公共服务（类）政协事务（款）其他政协事务（项）。</w:t>
      </w:r>
    </w:p>
    <w:p w14:paraId="1DC33419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年初预算为0万元，支出决算为2万元，决算数大于年初预算数的主要原因是：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  <w:lang w:val="en-US" w:eastAsia="zh-CN"/>
        </w:rPr>
        <w:t>年中收到拨委员工作室建设和运行经费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，未纳入预算。</w:t>
      </w:r>
    </w:p>
    <w:p w14:paraId="03E0A03A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2、一般公共服务（类）民主党派及工商联事务（款）行政运行（项）。</w:t>
      </w:r>
    </w:p>
    <w:p w14:paraId="4BC5F66D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年初预算为80.08万元，支出决算为81.68万元，完成年初预算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10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  <w:lang w:val="en-US" w:eastAsia="zh-CN"/>
        </w:rPr>
        <w:t>2.00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%，决算数大于年初预算数的主要原因是：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  <w:lang w:val="en-US" w:eastAsia="zh-CN"/>
        </w:rPr>
        <w:t>基础性绩效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奖金未纳入预算。</w:t>
      </w:r>
    </w:p>
    <w:p w14:paraId="2F4E4D45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3、一般公共服务（类）民主党派及工商联事务（款）其他民主党派及工商联事务（项）。</w:t>
      </w:r>
    </w:p>
    <w:p w14:paraId="0BFE1A29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年初预算为0万元，支出决算为15.24万元，决算数大于年初预算数的主要原因是：年中拨入沅江流域生态环境保护民主监督工作经费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  <w:lang w:val="en-US" w:eastAsia="zh-CN"/>
        </w:rPr>
        <w:t>及年度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绩效考核奖金，未纳入预算。</w:t>
      </w:r>
    </w:p>
    <w:p w14:paraId="4B3C756B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4、社会保障和就业（类）行政事业单位养老（款）行政单位离退休（项）。</w:t>
      </w:r>
    </w:p>
    <w:p w14:paraId="4008335D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年初预算为0.44万元，支出决算为0.44万元，完成年初预算的100%，决算数等于年初预算数的主要原因是：按预算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  <w:lang w:val="en-US" w:eastAsia="zh-CN"/>
        </w:rPr>
        <w:t>执行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。</w:t>
      </w:r>
    </w:p>
    <w:p w14:paraId="66A4B0F2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5、社会保障和就业（类）行政事业单位养老（款）机关事业单位基本养老保险缴费（项）。</w:t>
      </w:r>
    </w:p>
    <w:p w14:paraId="6470BAB5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年初预算为5.37万元，支出决算为5.15万元，完成年初预算的95.90%，决算数小于年初预算数的主要原因是：社保缴费基数计算不一致。</w:t>
      </w:r>
    </w:p>
    <w:p w14:paraId="612DE85D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6、社会保障和就业（类）行政事业单位养老（款）其他行政事业单位养老（项）。</w:t>
      </w:r>
    </w:p>
    <w:p w14:paraId="7D4355AD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年初预算为0万元，支出决算为3万元，决算数大于年初预算数的主要原因是：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  <w:lang w:val="en-US" w:eastAsia="zh-CN"/>
        </w:rPr>
        <w:t>退休人员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春节一次性生活补助未纳入预算。</w:t>
      </w:r>
    </w:p>
    <w:p w14:paraId="6B517981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7、卫生健康支出（类）行政事业单位医疗（款）行政单位医疗（项）。</w:t>
      </w:r>
    </w:p>
    <w:p w14:paraId="4ABB7936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</w:rPr>
        <w:t>年初预算为2.85万元，支出决算为2.63万元，完成年初预算的92.28%，决算数小于年初预算数的主要原因是：社保缴费基数计算不一致。</w:t>
      </w:r>
    </w:p>
    <w:p w14:paraId="624577FC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Ansi="黑体"/>
          <w:bCs/>
          <w:sz w:val="32"/>
          <w:szCs w:val="32"/>
          <w:highlight w:val="none"/>
        </w:rPr>
      </w:pPr>
      <w:r>
        <w:rPr>
          <w:rFonts w:hint="eastAsia" w:hAnsi="黑体"/>
          <w:bCs/>
          <w:sz w:val="32"/>
          <w:szCs w:val="32"/>
          <w:highlight w:val="none"/>
        </w:rPr>
        <w:t>六、一般公共预算财政拨款基本支出决算情况说明</w:t>
      </w:r>
    </w:p>
    <w:p w14:paraId="593A6879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2022年度财政拨款基本支出</w:t>
      </w:r>
      <w:r>
        <w:rPr>
          <w:rFonts w:ascii="Times New Roman" w:hAnsi="Times New Roman" w:eastAsia="仿宋_GB2312"/>
          <w:sz w:val="32"/>
          <w:szCs w:val="32"/>
          <w:highlight w:val="none"/>
        </w:rPr>
        <w:t>73.91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万元，其中：</w:t>
      </w:r>
    </w:p>
    <w:p w14:paraId="25052E1A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</w:rPr>
        <w:t>人员经费</w:t>
      </w:r>
      <w:r>
        <w:rPr>
          <w:rFonts w:ascii="Times New Roman" w:hAnsi="Times New Roman" w:eastAsia="仿宋_GB2312"/>
          <w:sz w:val="32"/>
          <w:szCs w:val="32"/>
          <w:highlight w:val="none"/>
        </w:rPr>
        <w:t>63.81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万元，占基本支出的86.33%,主要包括基本工资、津贴补贴、奖金、机关事业单位基本养老保险缴费、职工基本医疗保险缴费、其他社会保障缴费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、生活补助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。</w:t>
      </w:r>
    </w:p>
    <w:p w14:paraId="37B2A0EF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b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</w:rPr>
        <w:t>公用经费</w:t>
      </w:r>
      <w:r>
        <w:rPr>
          <w:rFonts w:ascii="Times New Roman" w:hAnsi="Times New Roman" w:eastAsia="仿宋_GB2312"/>
          <w:sz w:val="32"/>
          <w:szCs w:val="32"/>
          <w:highlight w:val="none"/>
        </w:rPr>
        <w:t>10.09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万元，占基本支出的13.67%，主要包括办公费、劳务费、工会经费、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福利费、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其他交通费用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、其他商品和服务支出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。</w:t>
      </w:r>
    </w:p>
    <w:p w14:paraId="5BA3D9DD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b/>
          <w:sz w:val="32"/>
          <w:szCs w:val="32"/>
          <w:highlight w:val="none"/>
        </w:rPr>
      </w:pPr>
      <w:r>
        <w:rPr>
          <w:rFonts w:hint="eastAsia" w:hAnsi="黑体"/>
          <w:bCs/>
          <w:sz w:val="32"/>
          <w:szCs w:val="32"/>
          <w:highlight w:val="none"/>
        </w:rPr>
        <w:t>七、财政拨款三公经费支出决算情况说明</w:t>
      </w:r>
    </w:p>
    <w:p w14:paraId="332A9B81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</w:rPr>
        <w:t>（一）“三公”经费财政拨款支出决算总体情况说明</w:t>
      </w:r>
    </w:p>
    <w:p w14:paraId="73756A8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“三公”经费财政拨款支出预算为</w:t>
      </w:r>
      <w:r>
        <w:rPr>
          <w:rFonts w:ascii="Times New Roman" w:hAnsi="Times New Roman" w:eastAsia="仿宋_GB2312"/>
          <w:sz w:val="32"/>
          <w:szCs w:val="32"/>
          <w:highlight w:val="none"/>
        </w:rPr>
        <w:t>4.58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万元，支出决算为</w:t>
      </w:r>
      <w:r>
        <w:rPr>
          <w:rFonts w:ascii="Times New Roman" w:hAnsi="Times New Roman" w:eastAsia="仿宋_GB2312"/>
          <w:sz w:val="32"/>
          <w:szCs w:val="32"/>
          <w:highlight w:val="none"/>
        </w:rPr>
        <w:t>0.33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万元，完成预算的7.20%，决算数小于预算数的主要原因是</w:t>
      </w:r>
      <w:r>
        <w:rPr>
          <w:rFonts w:hint="eastAsia" w:ascii="仿宋" w:hAnsi="仿宋" w:eastAsia="仿宋"/>
          <w:sz w:val="32"/>
          <w:szCs w:val="32"/>
          <w:highlight w:val="none"/>
        </w:rPr>
        <w:t>落实过“紧日子”要求，严格执行开支标准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厉行节约；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与上年相比增加0.23万元，增长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230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%，增长的主要原因是2022年民主监督民主调研公务交流较多。其中：</w:t>
      </w:r>
    </w:p>
    <w:p w14:paraId="78B3DD2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因公出国(境)费支出预算为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万元，支出决算为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万元，预算决算金额均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为0万元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，无法计算完成百分比，主要原因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是单位未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因公出国（境），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与上年相比持平均为0万元，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无法计算完成百分比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主要原因是单位未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因公出国（境）。</w:t>
      </w:r>
    </w:p>
    <w:p w14:paraId="2BCBD8C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公务接待费支出预算为</w:t>
      </w:r>
      <w:r>
        <w:rPr>
          <w:rFonts w:ascii="Times New Roman" w:hAnsi="Times New Roman" w:eastAsia="仿宋_GB2312"/>
          <w:sz w:val="32"/>
          <w:szCs w:val="32"/>
          <w:highlight w:val="none"/>
        </w:rPr>
        <w:t>2.06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万元，支出决算为0.33万元，完成预算的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16.02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%，决算数小于预算数的主要原因是严格控制公务接待费用，厉行节约，与上年相比增加0.23万元，增长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230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%，增长的主要原因是2022年民主监督民主调研公务交流较多。</w:t>
      </w:r>
    </w:p>
    <w:p w14:paraId="25795303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公务用车购置费支出预算为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万元，支出决算为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万元，预算决算金额均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为0万元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，无法计算完成百分比，主要原因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是未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购置公务用车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与上年相比持平均为0万元，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无法计算完成百分比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主要原因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是未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购置公务用车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0E5F035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公务用车运行维护费支出预算为</w:t>
      </w:r>
      <w:r>
        <w:rPr>
          <w:rFonts w:ascii="Times New Roman" w:hAnsi="Times New Roman" w:eastAsia="仿宋_GB2312"/>
          <w:sz w:val="32"/>
          <w:szCs w:val="32"/>
          <w:highlight w:val="none"/>
        </w:rPr>
        <w:t>2.52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万元，支出决算为0万元，完成预算的0%，决算数小于预算数的主要原因是未开支相关费用，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与上年数持平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，主要原因是本单位无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公务用车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。</w:t>
      </w:r>
    </w:p>
    <w:p w14:paraId="761C2FB7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</w:rPr>
        <w:t>（二）“三公”经费财政拨款支出决算具体情况说明</w:t>
      </w:r>
    </w:p>
    <w:p w14:paraId="13D81B40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2022年度“三公”经费财政拨款支出决算中，公务接待费支出决算0.3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万元，占100%,因公出国（境）费支出决算0万元，公务用车购置费及运行维护费支出决算0万元。其中：</w:t>
      </w:r>
    </w:p>
    <w:p w14:paraId="3D24403F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1、因公出国（境）费支出决算为0万元，全年安排因公出国（境）团组0个，累计团组</w:t>
      </w:r>
      <w:bookmarkStart w:id="0" w:name="THERR_YGCGJFY_TZRS"/>
      <w:r>
        <w:rPr>
          <w:rFonts w:hint="eastAsia" w:ascii="Times New Roman" w:hAnsi="Times New Roman" w:eastAsia="仿宋_GB2312"/>
          <w:sz w:val="32"/>
          <w:szCs w:val="32"/>
          <w:highlight w:val="none"/>
        </w:rPr>
        <w:t>0</w:t>
      </w:r>
      <w:bookmarkEnd w:id="0"/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人次，主要是</w:t>
      </w:r>
      <w:bookmarkStart w:id="1" w:name="THERR_YGCGJFY_ZYYY"/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2022年我单位没有因公出国（境）费支出</w:t>
      </w:r>
      <w:bookmarkEnd w:id="1"/>
      <w:bookmarkStart w:id="2" w:name="END_THERR_YGCGJFY_AMT"/>
      <w:bookmarkEnd w:id="2"/>
      <w:r>
        <w:rPr>
          <w:rFonts w:hint="eastAsia" w:ascii="Times New Roman" w:hAnsi="Times New Roman" w:eastAsia="仿宋_GB2312"/>
          <w:sz w:val="32"/>
          <w:szCs w:val="32"/>
          <w:highlight w:val="none"/>
        </w:rPr>
        <w:t>。</w:t>
      </w:r>
    </w:p>
    <w:p w14:paraId="5F7A2010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2、公务接待费支出决算为0.33万元，全年共接待来访团组4个、来宾33人次，主要是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民主监督调研、产业调研及民间公益组织调研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发生的接待支出。</w:t>
      </w:r>
    </w:p>
    <w:p w14:paraId="582968C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楷体" w:hAnsi="楷体" w:eastAsia="楷体" w:cs="楷体"/>
          <w:b/>
          <w:bCs/>
          <w:i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3、公务用车购置费及运行维护费支出决算为0万元，其中：公务用车购置费0万元，单位本级更新公务用车0辆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公务用车运行维护费0万元，截止2022年12月31日，我单位开支财政拨款的公务用车保有量为0辆。</w:t>
      </w:r>
    </w:p>
    <w:p w14:paraId="057CB901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hAnsi="黑体" w:eastAsia="黑体"/>
          <w:bCs/>
          <w:sz w:val="32"/>
          <w:szCs w:val="32"/>
          <w:highlight w:val="none"/>
          <w:lang w:val="en-US" w:eastAsia="zh-CN"/>
        </w:rPr>
      </w:pPr>
      <w:r>
        <w:rPr>
          <w:rFonts w:hint="eastAsia" w:hAnsi="黑体"/>
          <w:bCs/>
          <w:sz w:val="32"/>
          <w:szCs w:val="32"/>
          <w:highlight w:val="none"/>
        </w:rPr>
        <w:t>八、政府性基金预算收入支出决算情况</w:t>
      </w:r>
      <w:r>
        <w:rPr>
          <w:rFonts w:hint="eastAsia" w:hAnsi="黑体"/>
          <w:bCs/>
          <w:sz w:val="32"/>
          <w:szCs w:val="32"/>
          <w:highlight w:val="none"/>
          <w:lang w:val="en-US" w:eastAsia="zh-CN"/>
        </w:rPr>
        <w:t>说明</w:t>
      </w:r>
    </w:p>
    <w:p w14:paraId="1790C127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theme="minorBidi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theme="minorBidi"/>
          <w:color w:val="auto"/>
          <w:kern w:val="2"/>
          <w:sz w:val="32"/>
          <w:szCs w:val="32"/>
          <w:highlight w:val="none"/>
          <w:lang w:val="en-US" w:eastAsia="zh-CN"/>
        </w:rPr>
        <w:t>2022年度</w:t>
      </w:r>
      <w:r>
        <w:rPr>
          <w:rFonts w:hint="eastAsia" w:ascii="Times New Roman" w:hAnsi="Times New Roman" w:eastAsia="仿宋_GB2312" w:cstheme="minorBidi"/>
          <w:color w:val="auto"/>
          <w:kern w:val="2"/>
          <w:sz w:val="32"/>
          <w:szCs w:val="32"/>
          <w:highlight w:val="none"/>
        </w:rPr>
        <w:t>本单位无政府性基金收支。</w:t>
      </w:r>
    </w:p>
    <w:p w14:paraId="006A6844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Ansi="黑体"/>
          <w:bCs/>
          <w:sz w:val="32"/>
          <w:szCs w:val="32"/>
          <w:highlight w:val="none"/>
        </w:rPr>
      </w:pPr>
      <w:r>
        <w:rPr>
          <w:rFonts w:hint="eastAsia" w:hAnsi="黑体"/>
          <w:bCs/>
          <w:sz w:val="32"/>
          <w:szCs w:val="32"/>
          <w:highlight w:val="none"/>
        </w:rPr>
        <w:t>九、国有资本经营预算财政拨款支出决算情况说明</w:t>
      </w:r>
    </w:p>
    <w:p w14:paraId="248594B6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theme="minorBidi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theme="minorBidi"/>
          <w:color w:val="auto"/>
          <w:kern w:val="2"/>
          <w:sz w:val="32"/>
          <w:szCs w:val="32"/>
          <w:highlight w:val="none"/>
          <w:lang w:val="en-US" w:eastAsia="zh-CN"/>
        </w:rPr>
        <w:t>2022年度</w:t>
      </w:r>
      <w:r>
        <w:rPr>
          <w:rFonts w:hint="eastAsia" w:ascii="Times New Roman" w:hAnsi="Times New Roman" w:eastAsia="仿宋_GB2312" w:cstheme="minorBidi"/>
          <w:color w:val="auto"/>
          <w:kern w:val="2"/>
          <w:sz w:val="32"/>
          <w:szCs w:val="32"/>
          <w:highlight w:val="none"/>
        </w:rPr>
        <w:t>本单位无国有资本经营预算财政拨款支出。</w:t>
      </w:r>
    </w:p>
    <w:p w14:paraId="0D91A9ED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hAnsi="黑体"/>
          <w:bCs/>
          <w:sz w:val="32"/>
          <w:szCs w:val="32"/>
          <w:highlight w:val="none"/>
        </w:rPr>
      </w:pPr>
      <w:r>
        <w:rPr>
          <w:rFonts w:hint="eastAsia" w:hAnsi="黑体"/>
          <w:bCs/>
          <w:sz w:val="32"/>
          <w:szCs w:val="32"/>
          <w:highlight w:val="none"/>
        </w:rPr>
        <w:t>十、关于机关运行经费支出说明</w:t>
      </w:r>
    </w:p>
    <w:p w14:paraId="187CCCA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2022年度本部门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机关运行经费支出10.09万元，比年初预算数增加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4.79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增长90.38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%。主要原因是：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本年度决算中车补计入其他交通费用，增加了机关运行经费支出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。</w:t>
      </w:r>
    </w:p>
    <w:p w14:paraId="63B8B18B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Ansi="黑体"/>
          <w:bCs/>
          <w:sz w:val="32"/>
          <w:szCs w:val="32"/>
          <w:highlight w:val="none"/>
        </w:rPr>
      </w:pPr>
      <w:r>
        <w:rPr>
          <w:rFonts w:hint="eastAsia" w:hAnsi="黑体"/>
          <w:bCs/>
          <w:sz w:val="32"/>
          <w:szCs w:val="32"/>
          <w:highlight w:val="none"/>
        </w:rPr>
        <w:t>十一、一般性支出情况说明</w:t>
      </w:r>
    </w:p>
    <w:p w14:paraId="24E276C7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2022年本部门开支会议费6.05万元，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其中：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1.51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用于召开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怀化市第四届委员会第二次会员代表大会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，人数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68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0.33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用于召开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民建怀化市委会支部主委和专委会工作暨培训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会议，人数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0.53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用于召开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民建怀化市政协委员履职工作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会议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和民建怀化市委法律工作委员会第一次会议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0.05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用于召开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民建市委会沅江生态环境和民主监督工作培训会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议，人数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0.03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用于召开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民建怀化市委会委员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会议，人数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0.05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用于召开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民主监督调研动员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会，人数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0.06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用于召开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民主监督工作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会议，人数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0.05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用于召开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沅江生态环境和民主监督工作座谈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会，人数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0.02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用于召开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民建怀化市委会四届八次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会议，人数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0.11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政协委员工作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会议，人数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29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0.14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用于召开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民建省委关于长江生态环境保护民主监督工作座谈会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1.40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用于召开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民建市委会沅江生态环境和民主监督能力提升培训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会议，人数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101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0.88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用于召开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民主监督讨论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会，人数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55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0.88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用于召开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2022年民主监督“四不两直”部署会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会议，人数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55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。</w:t>
      </w:r>
    </w:p>
    <w:p w14:paraId="09E14CFA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2022年本部门开支培训费0万元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。</w:t>
      </w:r>
    </w:p>
    <w:p w14:paraId="4CCFDA90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楷体" w:hAnsi="楷体" w:eastAsia="楷体" w:cs="楷体"/>
          <w:b/>
          <w:bCs/>
          <w:i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2022年本部门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未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举办节庆、晚会、论坛、赛事活动。</w:t>
      </w:r>
    </w:p>
    <w:p w14:paraId="2A9F025F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Ansi="黑体"/>
          <w:bCs/>
          <w:sz w:val="32"/>
          <w:szCs w:val="32"/>
          <w:highlight w:val="none"/>
        </w:rPr>
      </w:pPr>
      <w:r>
        <w:rPr>
          <w:rFonts w:hint="eastAsia" w:hAnsi="黑体"/>
          <w:bCs/>
          <w:sz w:val="32"/>
          <w:szCs w:val="32"/>
          <w:highlight w:val="none"/>
        </w:rPr>
        <w:t>十二、关于政府采购支出说明</w:t>
      </w:r>
    </w:p>
    <w:p w14:paraId="2B1CC5AF">
      <w:pPr>
        <w:ind w:firstLine="640" w:firstLineChars="200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32"/>
          <w:szCs w:val="32"/>
        </w:rPr>
        <w:t>本部门202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/>
          <w:sz w:val="32"/>
          <w:szCs w:val="32"/>
        </w:rPr>
        <w:t>年度政府采购支出总额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  <w:szCs w:val="32"/>
        </w:rPr>
        <w:t>万元，其中：政府采购货物支出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  <w:szCs w:val="32"/>
        </w:rPr>
        <w:t>万元、政府采购工程支出</w:t>
      </w:r>
      <w:r>
        <w:rPr>
          <w:rFonts w:hint="default" w:ascii="仿宋_GB2312" w:hAnsi="仿宋_GB2312" w:eastAsia="仿宋_GB2312"/>
          <w:sz w:val="32"/>
          <w:szCs w:val="32"/>
        </w:rPr>
        <w:t>0</w:t>
      </w:r>
      <w:r>
        <w:rPr>
          <w:rFonts w:hint="eastAsia" w:ascii="仿宋_GB2312" w:hAnsi="仿宋_GB2312" w:eastAsia="仿宋_GB2312"/>
          <w:sz w:val="32"/>
          <w:szCs w:val="32"/>
        </w:rPr>
        <w:t>万元、政府采购服务支出</w:t>
      </w:r>
      <w:r>
        <w:rPr>
          <w:rFonts w:hint="default" w:ascii="仿宋_GB2312" w:hAnsi="仿宋_GB2312" w:eastAsia="仿宋_GB2312"/>
          <w:sz w:val="32"/>
          <w:szCs w:val="32"/>
        </w:rPr>
        <w:t>0</w:t>
      </w:r>
      <w:r>
        <w:rPr>
          <w:rFonts w:hint="eastAsia" w:ascii="仿宋_GB2312" w:hAnsi="仿宋_GB2312" w:eastAsia="仿宋_GB2312"/>
          <w:sz w:val="32"/>
          <w:szCs w:val="32"/>
        </w:rPr>
        <w:t>万元。授予中小企业合同金额</w:t>
      </w:r>
      <w:r>
        <w:rPr>
          <w:rFonts w:hint="default" w:ascii="仿宋_GB2312" w:hAnsi="仿宋_GB2312" w:eastAsia="仿宋_GB2312"/>
          <w:sz w:val="32"/>
          <w:szCs w:val="32"/>
        </w:rPr>
        <w:t>0</w:t>
      </w:r>
      <w:r>
        <w:rPr>
          <w:rFonts w:hint="eastAsia" w:ascii="仿宋_GB2312" w:hAnsi="仿宋_GB2312" w:eastAsia="仿宋_GB2312"/>
          <w:sz w:val="32"/>
          <w:szCs w:val="32"/>
        </w:rPr>
        <w:t>万元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无法计算授予中小企业合同金额占政府采购支出总额的百分比</w:t>
      </w:r>
      <w:r>
        <w:rPr>
          <w:rFonts w:hint="eastAsia" w:ascii="仿宋_GB2312" w:hAnsi="仿宋_GB2312" w:eastAsia="仿宋_GB2312"/>
          <w:sz w:val="32"/>
          <w:szCs w:val="32"/>
        </w:rPr>
        <w:t>。</w:t>
      </w:r>
      <w:bookmarkStart w:id="3" w:name="DIS_MARK_GP_BGT_CGHW_AMT"/>
      <w:r>
        <w:rPr>
          <w:rFonts w:hint="eastAsia" w:ascii="仿宋_GB2312" w:hAnsi="仿宋_GB2312" w:eastAsia="仿宋_GB2312"/>
          <w:sz w:val="32"/>
          <w:szCs w:val="32"/>
        </w:rPr>
        <w:t>其中：授予小微企业合同金额0万元，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无法计算授予</w:t>
      </w:r>
      <w:r>
        <w:rPr>
          <w:rFonts w:hint="eastAsia" w:ascii="仿宋_GB2312" w:hAnsi="仿宋_GB2312" w:eastAsia="仿宋_GB2312"/>
          <w:sz w:val="32"/>
          <w:szCs w:val="32"/>
        </w:rPr>
        <w:t>小微企业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合同金额占政府采购支出总额的百分比</w:t>
      </w:r>
      <w:r>
        <w:rPr>
          <w:rFonts w:hint="eastAsia" w:ascii="仿宋_GB2312" w:hAnsi="仿宋_GB2312" w:eastAsia="仿宋_GB2312"/>
          <w:sz w:val="32"/>
          <w:szCs w:val="32"/>
        </w:rPr>
        <w:t>。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由于</w:t>
      </w:r>
      <w:r>
        <w:rPr>
          <w:rFonts w:hint="eastAsia" w:ascii="仿宋_GB2312" w:hAnsi="仿宋_GB2312" w:eastAsia="仿宋_GB2312"/>
          <w:sz w:val="32"/>
          <w:szCs w:val="32"/>
        </w:rPr>
        <w:t>货物采购授予中小企业合同金额占货物支出金额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0万元</w:t>
      </w:r>
      <w:bookmarkEnd w:id="3"/>
      <w:bookmarkStart w:id="4" w:name="DIS_MARK_GP_BGT_CGHW_AMT_1"/>
      <w:bookmarkEnd w:id="4"/>
      <w:bookmarkStart w:id="5" w:name="DIS_MARK_GP_BGT_CGGC_AMT"/>
      <w:bookmarkEnd w:id="5"/>
      <w:bookmarkStart w:id="6" w:name="END_GP_BGT_CGHW_AMT_1"/>
      <w:bookmarkEnd w:id="6"/>
      <w:bookmarkStart w:id="7" w:name="START_GP_BGT_CGHW_AMT_1"/>
      <w:bookmarkEnd w:id="7"/>
      <w:bookmarkStart w:id="8" w:name="END_GP_BGT_CGHW_AMT"/>
      <w:bookmarkEnd w:id="8"/>
      <w:bookmarkStart w:id="9" w:name="START_GP_BGT_CGGC_AMT"/>
      <w:bookmarkEnd w:id="9"/>
      <w:bookmarkStart w:id="10" w:name="START_GP_BGT_CGGC_AMT_1"/>
      <w:bookmarkEnd w:id="10"/>
      <w:bookmarkStart w:id="11" w:name="END_GP_BGT_CGGC_AMT"/>
      <w:bookmarkEnd w:id="11"/>
      <w:bookmarkStart w:id="12" w:name="DIS_MARK_GP_BGT_CGGC_AMT_1"/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/>
          <w:sz w:val="32"/>
          <w:szCs w:val="32"/>
        </w:rPr>
        <w:t>无法计算货物采购授予中小企业合同金额占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货物</w:t>
      </w:r>
      <w:r>
        <w:rPr>
          <w:rFonts w:hint="eastAsia" w:ascii="仿宋_GB2312" w:hAnsi="仿宋_GB2312" w:eastAsia="仿宋_GB2312"/>
          <w:sz w:val="32"/>
          <w:szCs w:val="32"/>
        </w:rPr>
        <w:t>支出金额的百分比；由于工程支出金额为0万元，无法计算工程采购授予中小企业合同金额占工程支出金额的百分比；</w:t>
      </w:r>
      <w:bookmarkEnd w:id="12"/>
      <w:bookmarkStart w:id="13" w:name="START_GP_BGT_CGFW_AMT"/>
      <w:bookmarkEnd w:id="13"/>
      <w:bookmarkStart w:id="14" w:name="END_GP_BGT_CGGC_AMT_1"/>
      <w:bookmarkEnd w:id="14"/>
      <w:bookmarkStart w:id="15" w:name="DIS_MARK_GP_BGT_CGFW_AMT"/>
      <w:r>
        <w:rPr>
          <w:rFonts w:hint="eastAsia" w:ascii="仿宋_GB2312" w:hAnsi="仿宋_GB2312" w:eastAsia="仿宋_GB2312"/>
          <w:sz w:val="32"/>
          <w:szCs w:val="32"/>
        </w:rPr>
        <w:t>由于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/>
          <w:sz w:val="32"/>
          <w:szCs w:val="32"/>
        </w:rPr>
        <w:t>支出金额为0万元，无法计算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/>
          <w:sz w:val="32"/>
          <w:szCs w:val="32"/>
        </w:rPr>
        <w:t>采购授予中小企业合同金额占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/>
          <w:sz w:val="32"/>
          <w:szCs w:val="32"/>
        </w:rPr>
        <w:t>支出金额的百分比</w:t>
      </w:r>
      <w:bookmarkEnd w:id="15"/>
      <w:r>
        <w:rPr>
          <w:rFonts w:hint="eastAsia" w:ascii="仿宋_GB2312" w:hAnsi="仿宋_GB2312" w:eastAsia="仿宋_GB2312"/>
          <w:sz w:val="32"/>
          <w:szCs w:val="32"/>
          <w:lang w:eastAsia="zh-CN"/>
        </w:rPr>
        <w:t>。</w:t>
      </w:r>
    </w:p>
    <w:p w14:paraId="5B50C09D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Ansi="黑体"/>
          <w:bCs/>
          <w:sz w:val="32"/>
          <w:szCs w:val="32"/>
          <w:highlight w:val="none"/>
        </w:rPr>
      </w:pPr>
      <w:r>
        <w:rPr>
          <w:rFonts w:hint="eastAsia" w:hAnsi="黑体"/>
          <w:bCs/>
          <w:sz w:val="32"/>
          <w:szCs w:val="32"/>
          <w:highlight w:val="none"/>
        </w:rPr>
        <w:t>十三、关于国有资产占用情况说明</w:t>
      </w:r>
    </w:p>
    <w:p w14:paraId="270D6FA6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截至2022年12月31日，本单位共有车辆0辆，其中，主要领导干部用车0辆，机要通信用车0辆、应急保障用车0辆、执法执勤用车0辆、特种专业技术用车0辆、其他用车0辆；单位价值50万元以上通用设备0台（套）；单位价值100万元以上专用设备0台（套）。</w:t>
      </w:r>
    </w:p>
    <w:p w14:paraId="244CA550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Ansi="黑体"/>
          <w:bCs/>
          <w:sz w:val="32"/>
          <w:szCs w:val="32"/>
          <w:highlight w:val="none"/>
        </w:rPr>
      </w:pPr>
      <w:r>
        <w:rPr>
          <w:rFonts w:hint="eastAsia" w:hAnsi="黑体"/>
          <w:bCs/>
          <w:sz w:val="32"/>
          <w:szCs w:val="32"/>
          <w:highlight w:val="none"/>
        </w:rPr>
        <w:t>十四、关于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2022</w:t>
      </w:r>
      <w:r>
        <w:rPr>
          <w:rFonts w:hint="eastAsia" w:hAnsi="黑体"/>
          <w:bCs/>
          <w:sz w:val="32"/>
          <w:szCs w:val="32"/>
          <w:highlight w:val="none"/>
        </w:rPr>
        <w:t>年度预算绩效情况的说明</w:t>
      </w:r>
    </w:p>
    <w:p w14:paraId="06E6E11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val="en-US" w:eastAsia="zh-CN"/>
        </w:rPr>
        <w:t>（一）部门整体支出绩效情况</w:t>
      </w:r>
    </w:p>
    <w:p w14:paraId="4456601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  <w:lang w:val="en-US" w:eastAsia="zh-CN"/>
        </w:rPr>
        <w:t>根据预算绩效管理要求，我单位组织开展整体支出绩效评价，涉及一般公共预算支出110.14万元，政府性基金预算支出0万元。我单位按财政局要求认真开展落实绩效管理工作，从评价情况来看，切实完成年度绩效目标，发挥了资金使用效益，绩效自评报告见附件。</w:t>
      </w:r>
    </w:p>
    <w:p w14:paraId="3FD2463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val="en-US" w:eastAsia="zh-CN"/>
        </w:rPr>
        <w:t>（二）存在的问题及原因分析</w:t>
      </w:r>
    </w:p>
    <w:p w14:paraId="35BE9D0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  <w:lang w:val="en-US" w:eastAsia="zh-CN"/>
        </w:rPr>
        <w:t>需要加强对预算安排的精细化管理。主要原因是年度工作安排难以定量，且存在突发性任务导致打乱经费开支计划。</w:t>
      </w:r>
    </w:p>
    <w:p w14:paraId="76099D9B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/>
          <w:spacing w:val="-2"/>
          <w:sz w:val="32"/>
          <w:szCs w:val="32"/>
          <w:highlight w:val="none"/>
        </w:rPr>
      </w:pPr>
    </w:p>
    <w:p w14:paraId="13ED1A30">
      <w:pPr>
        <w:pStyle w:val="9"/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70"/>
          <w:szCs w:val="70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highlight w:val="none"/>
        </w:rPr>
        <w:t>第四部分</w:t>
      </w:r>
    </w:p>
    <w:p w14:paraId="3DB38F0A">
      <w:pPr>
        <w:pStyle w:val="9"/>
        <w:jc w:val="center"/>
        <w:rPr>
          <w:rFonts w:hint="eastAsia" w:ascii="黑体" w:hAnsi="黑体" w:eastAsia="黑体" w:cs="黑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highlight w:val="none"/>
        </w:rPr>
        <w:t>名词解释</w:t>
      </w:r>
    </w:p>
    <w:p w14:paraId="751F2690">
      <w:pPr>
        <w:widowControl/>
        <w:jc w:val="left"/>
        <w:rPr>
          <w:rFonts w:cs="黑体" w:asciiTheme="minorEastAsia" w:hAnsiTheme="minorEastAsia"/>
          <w:color w:val="000000"/>
          <w:kern w:val="0"/>
          <w:sz w:val="32"/>
          <w:szCs w:val="32"/>
          <w:highlight w:val="none"/>
        </w:rPr>
      </w:pPr>
    </w:p>
    <w:p w14:paraId="59F0551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val="en-US" w:eastAsia="zh-CN"/>
        </w:rPr>
        <w:t>一、机关运行经费：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4214B33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val="en-US" w:eastAsia="zh-CN"/>
        </w:rPr>
        <w:t>二、“三公”经费：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纳入财政预算管理的“三公“经费，是指用财政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469B5C31">
      <w:pPr>
        <w:pStyle w:val="9"/>
        <w:jc w:val="center"/>
        <w:rPr>
          <w:sz w:val="72"/>
          <w:szCs w:val="72"/>
          <w:highlight w:val="none"/>
        </w:rPr>
      </w:pPr>
    </w:p>
    <w:p w14:paraId="4FF721D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0" w:firstLineChars="0"/>
        <w:jc w:val="center"/>
        <w:textAlignment w:val="auto"/>
        <w:rPr>
          <w:rFonts w:hint="eastAsia" w:hAnsi="黑体" w:cs="黑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hAnsi="黑体" w:cs="黑体"/>
          <w:b/>
          <w:bCs/>
          <w:sz w:val="44"/>
          <w:szCs w:val="44"/>
          <w:highlight w:val="none"/>
          <w:lang w:val="en-US" w:eastAsia="zh-CN"/>
        </w:rPr>
        <w:t>第五部分</w:t>
      </w:r>
    </w:p>
    <w:p w14:paraId="74B7175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0" w:firstLineChars="0"/>
        <w:jc w:val="center"/>
        <w:textAlignment w:val="auto"/>
        <w:rPr>
          <w:rFonts w:hint="eastAsia" w:hAnsi="黑体" w:cs="黑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hAnsi="黑体" w:cs="黑体"/>
          <w:b/>
          <w:bCs/>
          <w:sz w:val="44"/>
          <w:szCs w:val="44"/>
          <w:highlight w:val="none"/>
          <w:lang w:val="en-US" w:eastAsia="zh-CN"/>
        </w:rPr>
        <w:t>附件</w:t>
      </w:r>
    </w:p>
    <w:p w14:paraId="2E7B1E3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0" w:firstLineChars="0"/>
        <w:jc w:val="center"/>
        <w:textAlignment w:val="auto"/>
        <w:rPr>
          <w:rFonts w:hint="eastAsia" w:hAnsi="黑体" w:cs="黑体"/>
          <w:b/>
          <w:bCs/>
          <w:sz w:val="44"/>
          <w:szCs w:val="44"/>
          <w:highlight w:val="none"/>
          <w:lang w:val="en-US" w:eastAsia="zh-CN"/>
        </w:rPr>
      </w:pPr>
    </w:p>
    <w:p w14:paraId="419406C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1、2022年度部门决算表</w:t>
      </w:r>
    </w:p>
    <w:p w14:paraId="694715B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2、2022年度部门整体支出绩效评价报告</w:t>
      </w:r>
    </w:p>
    <w:p w14:paraId="57C20F42">
      <w:pPr>
        <w:ind w:firstLine="640" w:firstLineChars="200"/>
        <w:jc w:val="left"/>
        <w:rPr>
          <w:rFonts w:cs="黑体" w:asciiTheme="minorEastAsia" w:hAnsiTheme="minorEastAsia"/>
          <w:color w:val="000000"/>
          <w:kern w:val="0"/>
          <w:sz w:val="32"/>
          <w:szCs w:val="32"/>
          <w:highlight w:val="none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6508FA-8F7A-408C-B8B5-BB2A0ABF553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9561480F-AACD-49FB-BE5F-89E8591B2CD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398C986-F79C-40D2-A8CB-C78C31B17BF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192FA0A-581D-47AC-84A6-0B9CC9371CF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CBEA73E-B351-43D4-89C3-80D04EFA9F9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kZmVlZWE1YThmOTUxYzdmMmU4OWMyMmJiMWY5ZTgifQ=="/>
  </w:docVars>
  <w:rsids>
    <w:rsidRoot w:val="004506F9"/>
    <w:rsid w:val="000012C0"/>
    <w:rsid w:val="0002229B"/>
    <w:rsid w:val="000273BD"/>
    <w:rsid w:val="00040CBC"/>
    <w:rsid w:val="000415B7"/>
    <w:rsid w:val="00041E3F"/>
    <w:rsid w:val="00055DAA"/>
    <w:rsid w:val="00061F7B"/>
    <w:rsid w:val="000658A3"/>
    <w:rsid w:val="00074155"/>
    <w:rsid w:val="000A3F69"/>
    <w:rsid w:val="00103957"/>
    <w:rsid w:val="00152C6D"/>
    <w:rsid w:val="00162D39"/>
    <w:rsid w:val="001678BD"/>
    <w:rsid w:val="00182373"/>
    <w:rsid w:val="00192007"/>
    <w:rsid w:val="001A67DB"/>
    <w:rsid w:val="001C3C29"/>
    <w:rsid w:val="001D51E5"/>
    <w:rsid w:val="001E080D"/>
    <w:rsid w:val="001E53D0"/>
    <w:rsid w:val="001F0C3B"/>
    <w:rsid w:val="00202C82"/>
    <w:rsid w:val="00214427"/>
    <w:rsid w:val="00226CB7"/>
    <w:rsid w:val="00264552"/>
    <w:rsid w:val="00264EF9"/>
    <w:rsid w:val="00265724"/>
    <w:rsid w:val="0027426B"/>
    <w:rsid w:val="002E0A30"/>
    <w:rsid w:val="003130C4"/>
    <w:rsid w:val="00316C4B"/>
    <w:rsid w:val="0032192B"/>
    <w:rsid w:val="003479BD"/>
    <w:rsid w:val="00355C42"/>
    <w:rsid w:val="0037197D"/>
    <w:rsid w:val="003768D5"/>
    <w:rsid w:val="003926B9"/>
    <w:rsid w:val="003B4C9A"/>
    <w:rsid w:val="003C47E6"/>
    <w:rsid w:val="003C4FC2"/>
    <w:rsid w:val="00416E61"/>
    <w:rsid w:val="0042790C"/>
    <w:rsid w:val="00432041"/>
    <w:rsid w:val="004506F9"/>
    <w:rsid w:val="004717A2"/>
    <w:rsid w:val="00473DF3"/>
    <w:rsid w:val="00487911"/>
    <w:rsid w:val="00491741"/>
    <w:rsid w:val="004B0CEE"/>
    <w:rsid w:val="00500E5F"/>
    <w:rsid w:val="005122EF"/>
    <w:rsid w:val="0051441A"/>
    <w:rsid w:val="00517C33"/>
    <w:rsid w:val="00517D5F"/>
    <w:rsid w:val="00523644"/>
    <w:rsid w:val="0054069E"/>
    <w:rsid w:val="00544866"/>
    <w:rsid w:val="0055458E"/>
    <w:rsid w:val="005767CC"/>
    <w:rsid w:val="00590D9F"/>
    <w:rsid w:val="00595D26"/>
    <w:rsid w:val="00596246"/>
    <w:rsid w:val="005A74E6"/>
    <w:rsid w:val="005B404E"/>
    <w:rsid w:val="005D4D55"/>
    <w:rsid w:val="005E2CFB"/>
    <w:rsid w:val="005E45A6"/>
    <w:rsid w:val="005F2103"/>
    <w:rsid w:val="005F3D1C"/>
    <w:rsid w:val="0062378F"/>
    <w:rsid w:val="00641842"/>
    <w:rsid w:val="00651EEC"/>
    <w:rsid w:val="00686673"/>
    <w:rsid w:val="00691E8C"/>
    <w:rsid w:val="006A22C4"/>
    <w:rsid w:val="006A351B"/>
    <w:rsid w:val="006B0422"/>
    <w:rsid w:val="006C1B53"/>
    <w:rsid w:val="006D7730"/>
    <w:rsid w:val="006E5284"/>
    <w:rsid w:val="006F3EB5"/>
    <w:rsid w:val="00702E34"/>
    <w:rsid w:val="00704395"/>
    <w:rsid w:val="00710FE7"/>
    <w:rsid w:val="00717621"/>
    <w:rsid w:val="00720FF1"/>
    <w:rsid w:val="00727A53"/>
    <w:rsid w:val="00787B42"/>
    <w:rsid w:val="007A2AC6"/>
    <w:rsid w:val="007C4539"/>
    <w:rsid w:val="007F3657"/>
    <w:rsid w:val="00812ED5"/>
    <w:rsid w:val="008277D9"/>
    <w:rsid w:val="0084478C"/>
    <w:rsid w:val="0086638C"/>
    <w:rsid w:val="008A3E8D"/>
    <w:rsid w:val="009157FB"/>
    <w:rsid w:val="009237C4"/>
    <w:rsid w:val="00944C48"/>
    <w:rsid w:val="00950252"/>
    <w:rsid w:val="00967F5D"/>
    <w:rsid w:val="0098056A"/>
    <w:rsid w:val="009A02D6"/>
    <w:rsid w:val="009A0F95"/>
    <w:rsid w:val="009B3ADF"/>
    <w:rsid w:val="009C3B52"/>
    <w:rsid w:val="009E6817"/>
    <w:rsid w:val="009E6E9A"/>
    <w:rsid w:val="00A01D2B"/>
    <w:rsid w:val="00A42218"/>
    <w:rsid w:val="00A70249"/>
    <w:rsid w:val="00A70B02"/>
    <w:rsid w:val="00A71D9F"/>
    <w:rsid w:val="00A92E9F"/>
    <w:rsid w:val="00AB18FF"/>
    <w:rsid w:val="00B33BEA"/>
    <w:rsid w:val="00B57C9F"/>
    <w:rsid w:val="00B63572"/>
    <w:rsid w:val="00B845B3"/>
    <w:rsid w:val="00B85D8B"/>
    <w:rsid w:val="00BB4A40"/>
    <w:rsid w:val="00BD6C3E"/>
    <w:rsid w:val="00BE3674"/>
    <w:rsid w:val="00C10681"/>
    <w:rsid w:val="00C3049A"/>
    <w:rsid w:val="00C31B1E"/>
    <w:rsid w:val="00C77645"/>
    <w:rsid w:val="00CD2F78"/>
    <w:rsid w:val="00CE04C3"/>
    <w:rsid w:val="00CE76A0"/>
    <w:rsid w:val="00D148C6"/>
    <w:rsid w:val="00D17A8A"/>
    <w:rsid w:val="00D415BA"/>
    <w:rsid w:val="00D63780"/>
    <w:rsid w:val="00D644EE"/>
    <w:rsid w:val="00DD06FF"/>
    <w:rsid w:val="00DD5FE9"/>
    <w:rsid w:val="00E00C7A"/>
    <w:rsid w:val="00E171BE"/>
    <w:rsid w:val="00E23AEA"/>
    <w:rsid w:val="00E37D6C"/>
    <w:rsid w:val="00E55B68"/>
    <w:rsid w:val="00E561AE"/>
    <w:rsid w:val="00E67BE6"/>
    <w:rsid w:val="00E8683C"/>
    <w:rsid w:val="00EA2B72"/>
    <w:rsid w:val="00F74360"/>
    <w:rsid w:val="00F95AFE"/>
    <w:rsid w:val="00FB462F"/>
    <w:rsid w:val="00FE16FA"/>
    <w:rsid w:val="00FE328A"/>
    <w:rsid w:val="00FE6269"/>
    <w:rsid w:val="00FF5CD6"/>
    <w:rsid w:val="040F0039"/>
    <w:rsid w:val="044C7042"/>
    <w:rsid w:val="0D690A8B"/>
    <w:rsid w:val="117E1620"/>
    <w:rsid w:val="142B7436"/>
    <w:rsid w:val="1F7C1A84"/>
    <w:rsid w:val="1FBB607B"/>
    <w:rsid w:val="1FE32BAD"/>
    <w:rsid w:val="1FF75517"/>
    <w:rsid w:val="2112296A"/>
    <w:rsid w:val="23C33F63"/>
    <w:rsid w:val="24A64E3C"/>
    <w:rsid w:val="252E0CA0"/>
    <w:rsid w:val="2A5519C1"/>
    <w:rsid w:val="2BA64014"/>
    <w:rsid w:val="2D91318F"/>
    <w:rsid w:val="30D740DC"/>
    <w:rsid w:val="356066EE"/>
    <w:rsid w:val="3A930597"/>
    <w:rsid w:val="3D967008"/>
    <w:rsid w:val="4A6F69D9"/>
    <w:rsid w:val="516A7EFA"/>
    <w:rsid w:val="536A62C2"/>
    <w:rsid w:val="5777D4F5"/>
    <w:rsid w:val="5FC6BB1E"/>
    <w:rsid w:val="5FF720F1"/>
    <w:rsid w:val="6029359A"/>
    <w:rsid w:val="61572984"/>
    <w:rsid w:val="65346E5E"/>
    <w:rsid w:val="68FD5787"/>
    <w:rsid w:val="6E253092"/>
    <w:rsid w:val="6EC233E1"/>
    <w:rsid w:val="6F6E72F6"/>
    <w:rsid w:val="737D59BA"/>
    <w:rsid w:val="76E2388D"/>
    <w:rsid w:val="77C37683"/>
    <w:rsid w:val="79FF515B"/>
    <w:rsid w:val="7A2F5316"/>
    <w:rsid w:val="7DEC3FAD"/>
    <w:rsid w:val="7E9F11B4"/>
    <w:rsid w:val="7FC69637"/>
    <w:rsid w:val="7FFDB408"/>
    <w:rsid w:val="CBFF70E0"/>
    <w:rsid w:val="EEABED75"/>
    <w:rsid w:val="FB36E1A6"/>
    <w:rsid w:val="FF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2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4733</Words>
  <Characters>5135</Characters>
  <Lines>31</Lines>
  <Paragraphs>8</Paragraphs>
  <TotalTime>6</TotalTime>
  <ScaleCrop>false</ScaleCrop>
  <LinksUpToDate>false</LinksUpToDate>
  <CharactersWithSpaces>5135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2023-09-14T02:53:00Z</dcterms:created>
  <dc:creator>李航 null</dc:creator>
  <cp:lastModifiedBy>WPS_1668149522</cp:lastModifiedBy>
  <cp:lastPrinted>2023-08-15T09:28:00Z</cp:lastPrinted>
  <dcterms:modified xsi:type="dcterms:W3CDTF">2024-10-15T13:18:21Z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E9B1DB026C46482BB01E340835D6CE3D_12</vt:lpwstr>
  </property>
</Properties>
</file>