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pPr>
        <w:pStyle w:val="13"/>
        <w:jc w:val="center"/>
        <w:rPr>
          <w:sz w:val="56"/>
          <w:szCs w:val="56"/>
        </w:rPr>
      </w:pPr>
    </w:p>
    <w:p>
      <w:pPr>
        <w:pStyle w:val="13"/>
        <w:jc w:val="center"/>
        <w:rPr>
          <w:sz w:val="84"/>
          <w:szCs w:val="84"/>
        </w:rPr>
      </w:pPr>
    </w:p>
    <w:p>
      <w:pPr>
        <w:pStyle w:val="13"/>
        <w:jc w:val="center"/>
        <w:rPr>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pPr>
        <w:pStyle w:val="13"/>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中共怀化市委机构编制</w:t>
      </w:r>
    </w:p>
    <w:p>
      <w:pPr>
        <w:pStyle w:val="13"/>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委员会办公室</w:t>
      </w: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pPr>
        <w:pStyle w:val="13"/>
        <w:jc w:val="center"/>
        <w:rPr>
          <w:rFonts w:hint="eastAsia" w:ascii="方正小标宋_GBK" w:hAnsi="方正小标宋_GBK" w:eastAsia="方正小标宋_GBK" w:cs="方正小标宋_GBK"/>
          <w:sz w:val="56"/>
          <w:szCs w:val="56"/>
        </w:rPr>
      </w:pPr>
    </w:p>
    <w:p>
      <w:pPr>
        <w:pStyle w:val="13"/>
        <w:jc w:val="center"/>
        <w:rPr>
          <w:sz w:val="56"/>
          <w:szCs w:val="56"/>
        </w:rPr>
      </w:pPr>
    </w:p>
    <w:p>
      <w:pPr>
        <w:pStyle w:val="13"/>
        <w:jc w:val="center"/>
        <w:rPr>
          <w:sz w:val="56"/>
          <w:szCs w:val="56"/>
        </w:rPr>
      </w:pPr>
    </w:p>
    <w:p>
      <w:pPr>
        <w:pStyle w:val="13"/>
        <w:jc w:val="both"/>
        <w:rPr>
          <w:sz w:val="32"/>
          <w:szCs w:val="32"/>
        </w:rPr>
      </w:pPr>
    </w:p>
    <w:p>
      <w:pPr>
        <w:pStyle w:val="13"/>
        <w:spacing w:line="500" w:lineRule="exact"/>
        <w:jc w:val="both"/>
        <w:rPr>
          <w:b/>
          <w:sz w:val="36"/>
          <w:szCs w:val="28"/>
        </w:rPr>
      </w:pPr>
    </w:p>
    <w:p>
      <w:pPr>
        <w:pStyle w:val="13"/>
        <w:spacing w:line="500" w:lineRule="exact"/>
        <w:jc w:val="both"/>
        <w:rPr>
          <w:b/>
          <w:sz w:val="36"/>
          <w:szCs w:val="28"/>
        </w:rPr>
      </w:pPr>
    </w:p>
    <w:p>
      <w:pPr>
        <w:pStyle w:val="13"/>
        <w:keepNext w:val="0"/>
        <w:keepLines w:val="0"/>
        <w:pageBreakBefore w:val="0"/>
        <w:widowControl w:val="0"/>
        <w:kinsoku/>
        <w:wordWrap/>
        <w:overflowPunct/>
        <w:topLinePunct w:val="0"/>
        <w:bidi w:val="0"/>
        <w:snapToGrid/>
        <w:spacing w:line="240" w:lineRule="auto"/>
        <w:jc w:val="center"/>
        <w:textAlignment w:val="auto"/>
        <w:rPr>
          <w:b/>
          <w:sz w:val="28"/>
          <w:szCs w:val="28"/>
        </w:rPr>
      </w:pPr>
      <w:r>
        <w:rPr>
          <w:rFonts w:hint="eastAsia"/>
          <w:b/>
          <w:sz w:val="28"/>
          <w:szCs w:val="28"/>
        </w:rPr>
        <w:t>目录</w:t>
      </w:r>
    </w:p>
    <w:p>
      <w:pPr>
        <w:pStyle w:val="13"/>
        <w:keepNext w:val="0"/>
        <w:keepLines w:val="0"/>
        <w:pageBreakBefore w:val="0"/>
        <w:widowControl w:val="0"/>
        <w:kinsoku/>
        <w:wordWrap/>
        <w:overflowPunct/>
        <w:topLinePunct w:val="0"/>
        <w:bidi w:val="0"/>
        <w:snapToGrid/>
        <w:spacing w:line="240" w:lineRule="auto"/>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单位概况</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3"/>
        <w:keepNext w:val="0"/>
        <w:keepLines w:val="0"/>
        <w:pageBreakBefore w:val="0"/>
        <w:widowControl w:val="0"/>
        <w:kinsoku/>
        <w:wordWrap/>
        <w:overflowPunct/>
        <w:topLinePunct w:val="0"/>
        <w:bidi w:val="0"/>
        <w:snapToGrid/>
        <w:spacing w:line="240" w:lineRule="auto"/>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3"/>
        <w:keepNext w:val="0"/>
        <w:keepLines w:val="0"/>
        <w:pageBreakBefore w:val="0"/>
        <w:widowControl w:val="0"/>
        <w:kinsoku/>
        <w:wordWrap/>
        <w:overflowPunct/>
        <w:topLinePunct w:val="0"/>
        <w:bidi w:val="0"/>
        <w:snapToGrid/>
        <w:spacing w:line="240" w:lineRule="auto"/>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keepNext w:val="0"/>
        <w:keepLines w:val="0"/>
        <w:pageBreakBefore w:val="0"/>
        <w:widowControl w:val="0"/>
        <w:kinsoku/>
        <w:wordWrap/>
        <w:overflowPunct/>
        <w:topLinePunct w:val="0"/>
        <w:bidi w:val="0"/>
        <w:snapToGrid/>
        <w:spacing w:line="240" w:lineRule="auto"/>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keepNext w:val="0"/>
        <w:keepLines w:val="0"/>
        <w:pageBreakBefore w:val="0"/>
        <w:widowControl w:val="0"/>
        <w:kinsoku/>
        <w:wordWrap/>
        <w:overflowPunct/>
        <w:topLinePunct w:val="0"/>
        <w:autoSpaceDE w:val="0"/>
        <w:autoSpaceDN w:val="0"/>
        <w:bidi w:val="0"/>
        <w:adjustRightInd w:val="0"/>
        <w:snapToGrid/>
        <w:spacing w:line="240" w:lineRule="auto"/>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keepNext w:val="0"/>
        <w:keepLines w:val="0"/>
        <w:pageBreakBefore w:val="0"/>
        <w:widowControl w:val="0"/>
        <w:kinsoku/>
        <w:wordWrap/>
        <w:overflowPunct/>
        <w:topLinePunct w:val="0"/>
        <w:autoSpaceDE w:val="0"/>
        <w:autoSpaceDN w:val="0"/>
        <w:bidi w:val="0"/>
        <w:adjustRightInd w:val="0"/>
        <w:snapToGrid/>
        <w:spacing w:line="240" w:lineRule="auto"/>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240" w:lineRule="auto"/>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240" w:lineRule="auto"/>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val="0"/>
        <w:snapToGrid/>
        <w:spacing w:line="240" w:lineRule="auto"/>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pPr>
        <w:keepNext w:val="0"/>
        <w:keepLines w:val="0"/>
        <w:pageBreakBefore w:val="0"/>
        <w:widowControl w:val="0"/>
        <w:kinsoku/>
        <w:wordWrap/>
        <w:overflowPunct/>
        <w:topLinePunct w:val="0"/>
        <w:autoSpaceDE w:val="0"/>
        <w:autoSpaceDN w:val="0"/>
        <w:bidi w:val="0"/>
        <w:adjustRightInd w:val="0"/>
        <w:snapToGrid/>
        <w:spacing w:line="240" w:lineRule="auto"/>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keepNext w:val="0"/>
        <w:keepLines w:val="0"/>
        <w:pageBreakBefore w:val="0"/>
        <w:widowControl w:val="0"/>
        <w:kinsoku/>
        <w:wordWrap/>
        <w:overflowPunct/>
        <w:topLinePunct w:val="0"/>
        <w:autoSpaceDE w:val="0"/>
        <w:autoSpaceDN w:val="0"/>
        <w:bidi w:val="0"/>
        <w:adjustRightInd w:val="0"/>
        <w:snapToGrid/>
        <w:spacing w:line="240" w:lineRule="auto"/>
        <w:ind w:firstLine="700" w:firstLineChars="250"/>
        <w:jc w:val="left"/>
        <w:textAlignment w:val="auto"/>
        <w:rPr>
          <w:rFonts w:ascii="仿宋_GB2312" w:hAnsi="宋体" w:eastAsia="仿宋_GB2312" w:cs="仿宋_GB2312"/>
          <w:i w:val="0"/>
          <w:iCs w:val="0"/>
          <w:caps w:val="0"/>
          <w:color w:val="000000"/>
          <w:spacing w:val="0"/>
          <w:sz w:val="28"/>
          <w:szCs w:val="28"/>
          <w:shd w:val="clear" w:fill="FFFFFF"/>
        </w:rPr>
      </w:pPr>
      <w:r>
        <w:rPr>
          <w:rFonts w:hint="eastAsia" w:ascii="仿宋_GB2312" w:hAnsi="仿宋_GB2312" w:eastAsia="仿宋_GB2312" w:cs="仿宋_GB2312"/>
          <w:color w:val="000000"/>
          <w:kern w:val="0"/>
          <w:sz w:val="28"/>
          <w:szCs w:val="28"/>
        </w:rPr>
        <w:t>九、</w:t>
      </w:r>
      <w:r>
        <w:rPr>
          <w:rFonts w:ascii="仿宋_GB2312" w:hAnsi="宋体" w:eastAsia="仿宋_GB2312" w:cs="仿宋_GB2312"/>
          <w:i w:val="0"/>
          <w:iCs w:val="0"/>
          <w:caps w:val="0"/>
          <w:color w:val="000000"/>
          <w:spacing w:val="0"/>
          <w:sz w:val="28"/>
          <w:szCs w:val="28"/>
          <w:shd w:val="clear" w:fill="FFFFFF"/>
        </w:rPr>
        <w:t>国有资本经营预算财政拨款支出决算</w:t>
      </w:r>
    </w:p>
    <w:p>
      <w:pPr>
        <w:keepNext w:val="0"/>
        <w:keepLines w:val="0"/>
        <w:pageBreakBefore w:val="0"/>
        <w:widowControl w:val="0"/>
        <w:kinsoku/>
        <w:wordWrap/>
        <w:overflowPunct/>
        <w:topLinePunct w:val="0"/>
        <w:autoSpaceDE w:val="0"/>
        <w:autoSpaceDN w:val="0"/>
        <w:bidi w:val="0"/>
        <w:adjustRightInd w:val="0"/>
        <w:snapToGrid/>
        <w:spacing w:line="240" w:lineRule="auto"/>
        <w:ind w:firstLine="700" w:firstLineChars="250"/>
        <w:jc w:val="left"/>
        <w:textAlignment w:val="auto"/>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十、关于机关运行经费支出说明</w:t>
      </w:r>
    </w:p>
    <w:p>
      <w:pPr>
        <w:keepNext w:val="0"/>
        <w:keepLines w:val="0"/>
        <w:pageBreakBefore w:val="0"/>
        <w:widowControl w:val="0"/>
        <w:kinsoku/>
        <w:wordWrap/>
        <w:overflowPunct/>
        <w:topLinePunct w:val="0"/>
        <w:autoSpaceDE w:val="0"/>
        <w:autoSpaceDN w:val="0"/>
        <w:bidi w:val="0"/>
        <w:adjustRightInd w:val="0"/>
        <w:snapToGrid/>
        <w:spacing w:line="240" w:lineRule="auto"/>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pPr>
        <w:keepNext w:val="0"/>
        <w:keepLines w:val="0"/>
        <w:pageBreakBefore w:val="0"/>
        <w:widowControl w:val="0"/>
        <w:kinsoku/>
        <w:wordWrap/>
        <w:overflowPunct/>
        <w:topLinePunct w:val="0"/>
        <w:autoSpaceDE w:val="0"/>
        <w:autoSpaceDN w:val="0"/>
        <w:bidi w:val="0"/>
        <w:adjustRightInd w:val="0"/>
        <w:snapToGrid/>
        <w:spacing w:line="240" w:lineRule="auto"/>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十二、</w:t>
      </w:r>
      <w:r>
        <w:rPr>
          <w:rFonts w:hint="eastAsia" w:ascii="仿宋_GB2312" w:hAnsi="仿宋_GB2312" w:eastAsia="仿宋_GB2312" w:cs="仿宋_GB2312"/>
          <w:color w:val="000000"/>
          <w:kern w:val="0"/>
          <w:sz w:val="28"/>
          <w:szCs w:val="28"/>
        </w:rPr>
        <w:t>关于政府采购支出说明</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十四、关于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pPr>
        <w:pStyle w:val="13"/>
        <w:keepNext w:val="0"/>
        <w:keepLines w:val="0"/>
        <w:pageBreakBefore w:val="0"/>
        <w:widowControl w:val="0"/>
        <w:kinsoku/>
        <w:wordWrap/>
        <w:overflowPunct/>
        <w:topLinePunct w:val="0"/>
        <w:bidi w:val="0"/>
        <w:snapToGrid/>
        <w:spacing w:line="240" w:lineRule="auto"/>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pStyle w:val="13"/>
        <w:keepNext w:val="0"/>
        <w:keepLines w:val="0"/>
        <w:pageBreakBefore w:val="0"/>
        <w:widowControl w:val="0"/>
        <w:kinsoku/>
        <w:wordWrap/>
        <w:overflowPunct/>
        <w:topLinePunct w:val="0"/>
        <w:bidi w:val="0"/>
        <w:snapToGrid/>
        <w:spacing w:line="240" w:lineRule="auto"/>
        <w:textAlignment w:val="auto"/>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pPr>
        <w:pStyle w:val="13"/>
        <w:spacing w:line="500" w:lineRule="exact"/>
        <w:rPr>
          <w:rFonts w:hint="eastAsia" w:ascii="黑体" w:hAnsi="黑体" w:eastAsia="黑体" w:cs="黑体"/>
          <w:b w:val="0"/>
          <w:bCs/>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2"/>
        <w:rPr>
          <w:sz w:val="72"/>
          <w:szCs w:val="72"/>
        </w:rPr>
      </w:pPr>
    </w:p>
    <w:p>
      <w:pPr>
        <w:pStyle w:val="3"/>
        <w:rPr>
          <w:sz w:val="72"/>
          <w:szCs w:val="72"/>
        </w:rPr>
      </w:pPr>
    </w:p>
    <w:p>
      <w:pPr>
        <w:rPr>
          <w:sz w:val="72"/>
          <w:szCs w:val="72"/>
        </w:rPr>
      </w:pPr>
    </w:p>
    <w:p>
      <w:pPr>
        <w:pStyle w:val="2"/>
        <w:rPr>
          <w:sz w:val="72"/>
          <w:szCs w:val="72"/>
        </w:rPr>
      </w:pPr>
    </w:p>
    <w:p>
      <w:pPr>
        <w:pStyle w:val="3"/>
        <w:rPr>
          <w:sz w:val="72"/>
          <w:szCs w:val="72"/>
        </w:rPr>
      </w:pPr>
    </w:p>
    <w:p/>
    <w:p>
      <w:pP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单位概况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jc w:val="center"/>
        <w:rPr>
          <w:sz w:val="72"/>
          <w:szCs w:val="72"/>
        </w:rPr>
      </w:pPr>
    </w:p>
    <w:p>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widowControl/>
        <w:spacing w:line="600" w:lineRule="exact"/>
        <w:ind w:firstLine="640" w:firstLineChars="200"/>
        <w:rPr>
          <w:rFonts w:ascii="仿宋" w:hAnsi="仿宋" w:eastAsia="仿宋" w:cs="仿宋"/>
          <w:i w:val="0"/>
          <w:iCs w:val="0"/>
          <w:caps w:val="0"/>
          <w:color w:val="3D3D3D"/>
          <w:spacing w:val="0"/>
          <w:sz w:val="32"/>
          <w:szCs w:val="32"/>
          <w:shd w:val="clear" w:fill="FFFFFF"/>
        </w:rPr>
      </w:pPr>
      <w:r>
        <w:rPr>
          <w:rFonts w:ascii="仿宋" w:hAnsi="仿宋" w:eastAsia="仿宋" w:cs="仿宋"/>
          <w:i w:val="0"/>
          <w:iCs w:val="0"/>
          <w:caps w:val="0"/>
          <w:color w:val="3D3D3D"/>
          <w:spacing w:val="0"/>
          <w:sz w:val="32"/>
          <w:szCs w:val="32"/>
          <w:shd w:val="clear" w:fill="FFFFFF"/>
        </w:rPr>
        <w:t>自2019年机构改革后，市委编办职能职责为涉密内容，略。</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2"/>
        <w:jc w:val="both"/>
        <w:rPr>
          <w:rFonts w:ascii="Calibri" w:hAnsi="Calibri" w:cs="Calibri"/>
          <w:i w:val="0"/>
          <w:iCs w:val="0"/>
          <w:caps w:val="0"/>
          <w:color w:val="3D3D3D"/>
          <w:spacing w:val="0"/>
          <w:sz w:val="27"/>
          <w:szCs w:val="27"/>
        </w:rPr>
      </w:pPr>
      <w:r>
        <w:rPr>
          <w:rFonts w:ascii="仿宋" w:hAnsi="仿宋" w:eastAsia="仿宋" w:cs="仿宋"/>
          <w:b/>
          <w:bCs/>
          <w:i w:val="0"/>
          <w:iCs w:val="0"/>
          <w:caps w:val="0"/>
          <w:color w:val="3D3D3D"/>
          <w:spacing w:val="0"/>
          <w:kern w:val="0"/>
          <w:sz w:val="32"/>
          <w:szCs w:val="32"/>
          <w:bdr w:val="none" w:color="auto" w:sz="0" w:space="0"/>
          <w:shd w:val="clear" w:fill="FFFFFF"/>
          <w:lang w:val="en-US" w:eastAsia="zh-CN" w:bidi="ar"/>
        </w:rPr>
        <w:t>（一）内设机构设置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default" w:ascii="Calibri" w:hAnsi="Calibri" w:cs="Calibri"/>
          <w:i w:val="0"/>
          <w:iCs w:val="0"/>
          <w:caps w:val="0"/>
          <w:color w:val="3D3D3D"/>
          <w:spacing w:val="0"/>
          <w:sz w:val="27"/>
          <w:szCs w:val="27"/>
        </w:rPr>
      </w:pPr>
      <w:r>
        <w:rPr>
          <w:rFonts w:hint="eastAsia" w:ascii="仿宋" w:hAnsi="仿宋" w:eastAsia="仿宋" w:cs="仿宋"/>
          <w:i w:val="0"/>
          <w:iCs w:val="0"/>
          <w:caps w:val="0"/>
          <w:color w:val="3D3D3D"/>
          <w:spacing w:val="0"/>
          <w:kern w:val="0"/>
          <w:sz w:val="32"/>
          <w:szCs w:val="32"/>
          <w:bdr w:val="none" w:color="auto" w:sz="0" w:space="0"/>
          <w:shd w:val="clear" w:fill="FFFFFF"/>
          <w:lang w:val="en-US" w:eastAsia="zh-CN" w:bidi="ar"/>
        </w:rPr>
        <w:t>自2019年机构改革后，市委编办机构设置为涉密内容，略。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2"/>
        <w:jc w:val="both"/>
        <w:rPr>
          <w:rFonts w:hint="default" w:ascii="Calibri" w:hAnsi="Calibri" w:cs="Calibri"/>
          <w:i w:val="0"/>
          <w:iCs w:val="0"/>
          <w:caps w:val="0"/>
          <w:color w:val="3D3D3D"/>
          <w:spacing w:val="0"/>
          <w:sz w:val="27"/>
          <w:szCs w:val="27"/>
        </w:rPr>
      </w:pPr>
      <w:r>
        <w:rPr>
          <w:rFonts w:hint="eastAsia" w:ascii="仿宋" w:hAnsi="仿宋" w:eastAsia="仿宋" w:cs="仿宋"/>
          <w:b/>
          <w:bCs/>
          <w:i w:val="0"/>
          <w:iCs w:val="0"/>
          <w:caps w:val="0"/>
          <w:color w:val="3D3D3D"/>
          <w:spacing w:val="0"/>
          <w:kern w:val="0"/>
          <w:sz w:val="32"/>
          <w:szCs w:val="32"/>
          <w:bdr w:val="none" w:color="auto" w:sz="0" w:space="0"/>
          <w:shd w:val="clear" w:fill="FFFFFF"/>
          <w:lang w:val="en-US" w:eastAsia="zh-CN" w:bidi="ar"/>
        </w:rPr>
        <w:t>（二）决算单位构成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default" w:ascii="Calibri" w:hAnsi="Calibri" w:cs="Calibri"/>
          <w:i w:val="0"/>
          <w:iCs w:val="0"/>
          <w:caps w:val="0"/>
          <w:color w:val="3D3D3D"/>
          <w:spacing w:val="0"/>
          <w:sz w:val="27"/>
          <w:szCs w:val="27"/>
        </w:rPr>
      </w:pPr>
      <w:r>
        <w:rPr>
          <w:rFonts w:hint="eastAsia" w:ascii="仿宋" w:hAnsi="仿宋" w:eastAsia="仿宋" w:cs="仿宋"/>
          <w:i w:val="0"/>
          <w:iCs w:val="0"/>
          <w:caps w:val="0"/>
          <w:color w:val="3D3D3D"/>
          <w:spacing w:val="0"/>
          <w:kern w:val="0"/>
          <w:sz w:val="32"/>
          <w:szCs w:val="32"/>
          <w:bdr w:val="none" w:color="auto" w:sz="0" w:space="0"/>
          <w:shd w:val="clear" w:fill="FFFFFF"/>
          <w:lang w:val="en-US" w:eastAsia="zh-CN" w:bidi="ar"/>
        </w:rPr>
        <w:t>怀化市委编办2023年部门决算汇总公开单位构成包括：怀化市委编办本级。</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3"/>
        <w:jc w:val="center"/>
        <w:rPr>
          <w:rFonts w:hint="eastAsia" w:ascii="方正小标宋_GBK" w:hAnsi="方正小标宋_GBK" w:eastAsia="方正小标宋_GBK" w:cs="方正小标宋_GBK"/>
          <w:sz w:val="84"/>
          <w:szCs w:val="84"/>
        </w:rPr>
      </w:pPr>
    </w:p>
    <w:p>
      <w:pPr>
        <w:pStyle w:val="13"/>
        <w:jc w:val="center"/>
        <w:rPr>
          <w:rFonts w:hint="default"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rPr>
        <w:t>部门决算表</w:t>
      </w:r>
      <w:r>
        <w:rPr>
          <w:rFonts w:hint="eastAsia" w:ascii="方正小标宋_GBK" w:hAnsi="方正小标宋_GBK" w:eastAsia="方正小标宋_GBK" w:cs="方正小标宋_GBK"/>
          <w:sz w:val="84"/>
          <w:szCs w:val="84"/>
          <w:lang w:eastAsia="zh-CN"/>
        </w:rPr>
        <w:t>（</w:t>
      </w:r>
      <w:r>
        <w:rPr>
          <w:rFonts w:hint="eastAsia" w:ascii="方正小标宋_GBK" w:hAnsi="方正小标宋_GBK" w:eastAsia="方正小标宋_GBK" w:cs="方正小标宋_GBK"/>
          <w:sz w:val="84"/>
          <w:szCs w:val="84"/>
          <w:lang w:val="en-US" w:eastAsia="zh-CN"/>
        </w:rPr>
        <w:t>见附件）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pPr>
        <w:autoSpaceDE w:val="0"/>
        <w:autoSpaceDN w:val="0"/>
        <w:adjustRightInd w:val="0"/>
        <w:jc w:val="left"/>
        <w:rPr>
          <w:rFonts w:ascii="宋体" w:eastAsia="宋体" w:cs="宋体"/>
          <w:kern w:val="0"/>
          <w:sz w:val="24"/>
          <w:szCs w:val="24"/>
        </w:rPr>
      </w:pPr>
    </w:p>
    <w:p>
      <w:pPr>
        <w:widowControl/>
        <w:jc w:val="both"/>
        <w:rPr>
          <w:sz w:val="72"/>
          <w:szCs w:val="72"/>
        </w:rPr>
      </w:pPr>
    </w:p>
    <w:p>
      <w:pPr>
        <w:pStyle w:val="13"/>
        <w:jc w:val="center"/>
        <w:rPr>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3"/>
        <w:jc w:val="center"/>
        <w:rPr>
          <w:rFonts w:hint="eastAsia" w:ascii="方正小标宋_GBK" w:hAnsi="方正小标宋_GBK" w:eastAsia="方正小标宋_GBK" w:cs="方正小标宋_GBK"/>
          <w:sz w:val="70"/>
          <w:szCs w:val="70"/>
        </w:rPr>
      </w:pPr>
    </w:p>
    <w:p>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490.74</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34.75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6.6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人员减少。</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490.74</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478.09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97.42</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12.65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2.58</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490.74</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460.39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3"/>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490.74</w:t>
      </w:r>
      <w:r>
        <w:rPr>
          <w:rFonts w:hint="eastAsia" w:ascii="Times New Roman" w:hAnsi="Times New Roman" w:eastAsia="仿宋_GB2312"/>
          <w:sz w:val="32"/>
          <w:szCs w:val="32"/>
        </w:rPr>
        <w:t>万元，与上年相比，增加（减少）</w:t>
      </w:r>
      <w:r>
        <w:rPr>
          <w:rFonts w:hint="eastAsia" w:ascii="Times New Roman" w:hAnsi="Times New Roman" w:eastAsia="仿宋_GB2312"/>
          <w:sz w:val="32"/>
          <w:szCs w:val="32"/>
          <w:lang w:val="en-US" w:eastAsia="zh-CN"/>
        </w:rPr>
        <w:t>34.75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6.6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人员减少，经费减少。</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490.74</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34.75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6.6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人员减少，经费减少。</w:t>
      </w:r>
    </w:p>
    <w:p>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490.74</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400.86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81.68</w:t>
      </w:r>
      <w:r>
        <w:rPr>
          <w:rFonts w:hint="eastAsia" w:ascii="Times New Roman" w:hAnsi="Times New Roman" w:eastAsia="仿宋_GB2312"/>
          <w:sz w:val="32"/>
          <w:szCs w:val="32"/>
        </w:rPr>
        <w:t>%；</w:t>
      </w:r>
      <w:r>
        <w:rPr>
          <w:rFonts w:ascii="仿宋" w:hAnsi="仿宋" w:eastAsia="仿宋" w:cs="仿宋"/>
          <w:i w:val="0"/>
          <w:iCs w:val="0"/>
          <w:caps w:val="0"/>
          <w:color w:val="000000"/>
          <w:spacing w:val="0"/>
          <w:sz w:val="32"/>
          <w:szCs w:val="32"/>
          <w:shd w:val="clear" w:fill="FFFFFF"/>
        </w:rPr>
        <w:t>社会保障和就业支出</w:t>
      </w:r>
      <w:r>
        <w:rPr>
          <w:rFonts w:hint="eastAsia" w:ascii="仿宋" w:hAnsi="仿宋" w:eastAsia="仿宋" w:cs="仿宋"/>
          <w:i w:val="0"/>
          <w:iCs w:val="0"/>
          <w:caps w:val="0"/>
          <w:color w:val="000000"/>
          <w:spacing w:val="0"/>
          <w:sz w:val="32"/>
          <w:szCs w:val="32"/>
          <w:shd w:val="clear" w:fill="FFFFFF"/>
          <w:lang w:val="en-US" w:eastAsia="zh-CN"/>
        </w:rPr>
        <w:t>3</w:t>
      </w:r>
      <w:r>
        <w:rPr>
          <w:rFonts w:hint="eastAsia" w:ascii="仿宋" w:hAnsi="仿宋" w:eastAsia="仿宋" w:cs="仿宋"/>
          <w:b/>
          <w:bCs/>
          <w:i w:val="0"/>
          <w:iCs w:val="0"/>
          <w:caps w:val="0"/>
          <w:color w:val="000000"/>
          <w:spacing w:val="0"/>
          <w:sz w:val="32"/>
          <w:szCs w:val="32"/>
          <w:shd w:val="clear" w:fill="FFFFFF"/>
        </w:rPr>
        <w:t>9.88</w:t>
      </w:r>
      <w:r>
        <w:rPr>
          <w:rFonts w:hint="eastAsia" w:ascii="仿宋" w:hAnsi="仿宋" w:eastAsia="仿宋" w:cs="仿宋"/>
          <w:i w:val="0"/>
          <w:iCs w:val="0"/>
          <w:caps w:val="0"/>
          <w:color w:val="000000"/>
          <w:spacing w:val="0"/>
          <w:sz w:val="32"/>
          <w:szCs w:val="32"/>
          <w:shd w:val="clear" w:fill="FFFFFF"/>
        </w:rPr>
        <w:t>万元，占</w:t>
      </w:r>
      <w:r>
        <w:rPr>
          <w:rFonts w:hint="eastAsia" w:ascii="仿宋" w:hAnsi="仿宋" w:eastAsia="仿宋" w:cs="仿宋"/>
          <w:i w:val="0"/>
          <w:iCs w:val="0"/>
          <w:caps w:val="0"/>
          <w:color w:val="000000"/>
          <w:spacing w:val="0"/>
          <w:sz w:val="32"/>
          <w:szCs w:val="32"/>
          <w:shd w:val="clear" w:fill="FFFFFF"/>
          <w:lang w:val="en-US" w:eastAsia="zh-CN"/>
        </w:rPr>
        <w:t>8.13</w:t>
      </w:r>
      <w:r>
        <w:rPr>
          <w:rFonts w:hint="eastAsia" w:ascii="仿宋" w:hAnsi="仿宋" w:eastAsia="仿宋" w:cs="仿宋"/>
          <w:i w:val="0"/>
          <w:iCs w:val="0"/>
          <w:caps w:val="0"/>
          <w:color w:val="000000"/>
          <w:spacing w:val="0"/>
          <w:sz w:val="32"/>
          <w:szCs w:val="32"/>
          <w:shd w:val="clear" w:fill="FFFFFF"/>
        </w:rPr>
        <w:t>%；卫生健康支出</w:t>
      </w:r>
      <w:r>
        <w:rPr>
          <w:rFonts w:hint="eastAsia" w:ascii="仿宋" w:hAnsi="仿宋" w:eastAsia="仿宋" w:cs="仿宋"/>
          <w:b/>
          <w:bCs/>
          <w:i w:val="0"/>
          <w:iCs w:val="0"/>
          <w:caps w:val="0"/>
          <w:color w:val="000000"/>
          <w:spacing w:val="0"/>
          <w:sz w:val="32"/>
          <w:szCs w:val="32"/>
          <w:shd w:val="clear" w:fill="FFFFFF"/>
          <w:lang w:val="en-US" w:eastAsia="zh-CN"/>
        </w:rPr>
        <w:t>37.35</w:t>
      </w:r>
      <w:r>
        <w:rPr>
          <w:rFonts w:hint="eastAsia" w:ascii="仿宋" w:hAnsi="仿宋" w:eastAsia="仿宋" w:cs="仿宋"/>
          <w:i w:val="0"/>
          <w:iCs w:val="0"/>
          <w:caps w:val="0"/>
          <w:color w:val="000000"/>
          <w:spacing w:val="0"/>
          <w:sz w:val="32"/>
          <w:szCs w:val="32"/>
          <w:shd w:val="clear" w:fill="FFFFFF"/>
        </w:rPr>
        <w:t>万元，占</w:t>
      </w:r>
      <w:r>
        <w:rPr>
          <w:rFonts w:hint="eastAsia" w:ascii="仿宋" w:hAnsi="仿宋" w:eastAsia="仿宋" w:cs="仿宋"/>
          <w:i w:val="0"/>
          <w:iCs w:val="0"/>
          <w:caps w:val="0"/>
          <w:color w:val="000000"/>
          <w:spacing w:val="0"/>
          <w:sz w:val="32"/>
          <w:szCs w:val="32"/>
          <w:shd w:val="clear" w:fill="FFFFFF"/>
          <w:lang w:val="en-US" w:eastAsia="zh-CN"/>
        </w:rPr>
        <w:t>7.61</w:t>
      </w:r>
      <w:r>
        <w:rPr>
          <w:rFonts w:hint="eastAsia"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其他支出12.65</w:t>
      </w:r>
      <w:r>
        <w:rPr>
          <w:rFonts w:hint="eastAsia" w:ascii="仿宋" w:hAnsi="仿宋" w:eastAsia="仿宋" w:cs="仿宋"/>
          <w:i w:val="0"/>
          <w:iCs w:val="0"/>
          <w:caps w:val="0"/>
          <w:color w:val="000000"/>
          <w:spacing w:val="0"/>
          <w:sz w:val="32"/>
          <w:szCs w:val="32"/>
          <w:shd w:val="clear" w:fill="FFFFFF"/>
        </w:rPr>
        <w:t>万元，占</w:t>
      </w:r>
      <w:r>
        <w:rPr>
          <w:rFonts w:hint="eastAsia" w:ascii="仿宋" w:hAnsi="仿宋" w:eastAsia="仿宋" w:cs="仿宋"/>
          <w:i w:val="0"/>
          <w:iCs w:val="0"/>
          <w:caps w:val="0"/>
          <w:color w:val="000000"/>
          <w:spacing w:val="0"/>
          <w:sz w:val="32"/>
          <w:szCs w:val="32"/>
          <w:shd w:val="clear" w:fill="FFFFFF"/>
          <w:lang w:val="en-US" w:eastAsia="zh-CN"/>
        </w:rPr>
        <w:t>2.58</w:t>
      </w:r>
      <w:r>
        <w:rPr>
          <w:rFonts w:hint="eastAsia" w:ascii="仿宋" w:hAnsi="仿宋" w:eastAsia="仿宋" w:cs="仿宋"/>
          <w:i w:val="0"/>
          <w:iCs w:val="0"/>
          <w:caps w:val="0"/>
          <w:color w:val="000000"/>
          <w:spacing w:val="0"/>
          <w:sz w:val="32"/>
          <w:szCs w:val="32"/>
          <w:shd w:val="clear" w:fill="FFFFFF"/>
        </w:rPr>
        <w:t>%。</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460.30</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490.74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106.61</w:t>
      </w:r>
      <w:r>
        <w:rPr>
          <w:rFonts w:hint="eastAsia" w:ascii="Times New Roman" w:hAnsi="Times New Roman" w:eastAsia="仿宋_GB2312"/>
          <w:sz w:val="32"/>
          <w:szCs w:val="32"/>
        </w:rPr>
        <w:t>%，其中：</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800"/>
        <w:rPr>
          <w:rFonts w:ascii="微软雅黑" w:hAnsi="微软雅黑" w:eastAsia="微软雅黑" w:cs="微软雅黑"/>
          <w:i w:val="0"/>
          <w:iCs w:val="0"/>
          <w:caps w:val="0"/>
          <w:color w:val="3D3D3D"/>
          <w:spacing w:val="0"/>
          <w:sz w:val="27"/>
          <w:szCs w:val="27"/>
        </w:rPr>
      </w:pPr>
      <w:r>
        <w:rPr>
          <w:rFonts w:hint="eastAsia" w:ascii="Times New Roman" w:hAnsi="Times New Roman" w:eastAsia="仿宋_GB2312"/>
          <w:sz w:val="32"/>
          <w:szCs w:val="32"/>
        </w:rPr>
        <w:t>1、</w:t>
      </w:r>
      <w:r>
        <w:rPr>
          <w:rFonts w:ascii="仿宋_GB2312" w:hAnsi="微软雅黑" w:eastAsia="仿宋_GB2312" w:cs="仿宋_GB2312"/>
          <w:i w:val="0"/>
          <w:iCs w:val="0"/>
          <w:caps w:val="0"/>
          <w:color w:val="000000"/>
          <w:spacing w:val="0"/>
          <w:sz w:val="32"/>
          <w:szCs w:val="32"/>
          <w:bdr w:val="none" w:color="auto" w:sz="0" w:space="0"/>
          <w:shd w:val="clear" w:fill="FFFFFF"/>
        </w:rPr>
        <w:t>一般公共服务（</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201</w:t>
      </w:r>
      <w:r>
        <w:rPr>
          <w:rFonts w:hint="default" w:ascii="仿宋_GB2312" w:hAnsi="微软雅黑" w:eastAsia="仿宋_GB2312" w:cs="仿宋_GB2312"/>
          <w:i w:val="0"/>
          <w:iCs w:val="0"/>
          <w:caps w:val="0"/>
          <w:color w:val="000000"/>
          <w:spacing w:val="0"/>
          <w:sz w:val="32"/>
          <w:szCs w:val="32"/>
          <w:bdr w:val="none" w:color="auto" w:sz="0" w:space="0"/>
          <w:shd w:val="clear" w:fill="FFFFFF"/>
        </w:rPr>
        <w:t>）组织事务（</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32</w:t>
      </w:r>
      <w:r>
        <w:rPr>
          <w:rFonts w:hint="default" w:ascii="仿宋_GB2312" w:hAnsi="微软雅黑" w:eastAsia="仿宋_GB2312" w:cs="仿宋_GB2312"/>
          <w:i w:val="0"/>
          <w:iCs w:val="0"/>
          <w:caps w:val="0"/>
          <w:color w:val="000000"/>
          <w:spacing w:val="0"/>
          <w:sz w:val="32"/>
          <w:szCs w:val="32"/>
          <w:bdr w:val="none" w:color="auto" w:sz="0" w:space="0"/>
          <w:shd w:val="clear" w:fill="FFFFFF"/>
        </w:rPr>
        <w:t>）</w:t>
      </w:r>
      <w:r>
        <w:rPr>
          <w:rFonts w:ascii="仿宋" w:hAnsi="仿宋" w:eastAsia="仿宋" w:cs="仿宋"/>
          <w:i w:val="0"/>
          <w:iCs w:val="0"/>
          <w:caps w:val="0"/>
          <w:color w:val="000000"/>
          <w:spacing w:val="0"/>
          <w:sz w:val="32"/>
          <w:szCs w:val="32"/>
          <w:bdr w:val="none" w:color="auto" w:sz="0" w:space="0"/>
          <w:shd w:val="clear" w:fill="FFFFFF"/>
        </w:rPr>
        <w:t>行政运行</w:t>
      </w:r>
      <w:r>
        <w:rPr>
          <w:rFonts w:hint="default" w:ascii="仿宋_GB2312" w:hAnsi="微软雅黑"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01</w:t>
      </w:r>
      <w:r>
        <w:rPr>
          <w:rFonts w:hint="default" w:ascii="仿宋_GB2312" w:hAnsi="微软雅黑" w:eastAsia="仿宋_GB2312" w:cs="仿宋_GB2312"/>
          <w:i w:val="0"/>
          <w:iCs w:val="0"/>
          <w:caps w:val="0"/>
          <w:color w:val="000000"/>
          <w:spacing w:val="0"/>
          <w:sz w:val="32"/>
          <w:szCs w:val="32"/>
          <w:bdr w:val="none" w:color="auto" w:sz="0" w:space="0"/>
          <w:shd w:val="clear" w:fill="FFFFFF"/>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800"/>
        <w:rPr>
          <w:rFonts w:ascii="Times New Roman" w:hAnsi="Times New Roman" w:eastAsia="仿宋_GB2312"/>
          <w:sz w:val="32"/>
          <w:szCs w:val="32"/>
        </w:rPr>
      </w:pPr>
      <w:r>
        <w:rPr>
          <w:rFonts w:hint="default" w:ascii="仿宋_GB2312" w:hAnsi="微软雅黑" w:eastAsia="仿宋_GB2312" w:cs="仿宋_GB2312"/>
          <w:i w:val="0"/>
          <w:iCs w:val="0"/>
          <w:caps w:val="0"/>
          <w:color w:val="000000"/>
          <w:spacing w:val="0"/>
          <w:sz w:val="32"/>
          <w:szCs w:val="32"/>
          <w:bdr w:val="none" w:color="auto" w:sz="0" w:space="0"/>
          <w:shd w:val="clear" w:fill="FFFFFF"/>
        </w:rPr>
        <w:t>年初预算为</w:t>
      </w:r>
      <w:r>
        <w:rPr>
          <w:rFonts w:hint="default" w:ascii="Times New Roman" w:hAnsi="Times New Roman" w:eastAsia="宋体" w:cs="Times New Roman"/>
          <w:i w:val="0"/>
          <w:iCs w:val="0"/>
          <w:caps w:val="0"/>
          <w:color w:val="3D3D3D"/>
          <w:spacing w:val="0"/>
          <w:sz w:val="32"/>
          <w:szCs w:val="32"/>
          <w:shd w:val="clear" w:fill="FFFFFF"/>
        </w:rPr>
        <w:t>429.95</w:t>
      </w:r>
      <w:r>
        <w:rPr>
          <w:rFonts w:hint="default" w:ascii="仿宋_GB2312" w:hAnsi="微软雅黑" w:eastAsia="仿宋_GB2312" w:cs="仿宋_GB2312"/>
          <w:i w:val="0"/>
          <w:iCs w:val="0"/>
          <w:caps w:val="0"/>
          <w:color w:val="000000"/>
          <w:spacing w:val="0"/>
          <w:sz w:val="32"/>
          <w:szCs w:val="32"/>
          <w:bdr w:val="none" w:color="auto" w:sz="0" w:space="0"/>
          <w:shd w:val="clear" w:fill="FFFFFF"/>
        </w:rPr>
        <w:t>万元，支出决算为</w:t>
      </w:r>
      <w:r>
        <w:rPr>
          <w:rFonts w:hint="eastAsia" w:ascii="仿宋_GB2312" w:hAnsi="微软雅黑" w:eastAsia="仿宋_GB2312" w:cs="仿宋_GB2312"/>
          <w:i w:val="0"/>
          <w:iCs w:val="0"/>
          <w:caps w:val="0"/>
          <w:color w:val="000000"/>
          <w:spacing w:val="0"/>
          <w:sz w:val="32"/>
          <w:szCs w:val="32"/>
          <w:bdr w:val="none" w:color="auto" w:sz="0" w:space="0"/>
          <w:shd w:val="clear" w:fill="FFFFFF"/>
          <w:lang w:val="en-US" w:eastAsia="zh-CN"/>
        </w:rPr>
        <w:t>389.95</w:t>
      </w:r>
      <w:r>
        <w:rPr>
          <w:rFonts w:hint="default" w:ascii="仿宋_GB2312" w:hAnsi="微软雅黑" w:eastAsia="仿宋_GB2312" w:cs="仿宋_GB2312"/>
          <w:i w:val="0"/>
          <w:iCs w:val="0"/>
          <w:caps w:val="0"/>
          <w:color w:val="000000"/>
          <w:spacing w:val="0"/>
          <w:sz w:val="32"/>
          <w:szCs w:val="32"/>
          <w:bdr w:val="none" w:color="auto" w:sz="0" w:space="0"/>
          <w:shd w:val="clear" w:fill="FFFFFF"/>
        </w:rPr>
        <w:t>万元，完成年初预算的</w:t>
      </w:r>
      <w:r>
        <w:rPr>
          <w:rFonts w:hint="eastAsia" w:ascii="Times New Roman" w:hAnsi="Times New Roman" w:eastAsia="微软雅黑" w:cs="Times New Roman"/>
          <w:i w:val="0"/>
          <w:iCs w:val="0"/>
          <w:caps w:val="0"/>
          <w:color w:val="000000"/>
          <w:spacing w:val="0"/>
          <w:sz w:val="32"/>
          <w:szCs w:val="32"/>
          <w:bdr w:val="none" w:color="auto" w:sz="0" w:space="0"/>
          <w:shd w:val="clear" w:fill="FFFFFF"/>
          <w:lang w:val="en-US" w:eastAsia="zh-CN"/>
        </w:rPr>
        <w:t>90.69</w:t>
      </w:r>
      <w:r>
        <w:rPr>
          <w:rFonts w:hint="default" w:ascii="Times New Roman" w:hAnsi="Times New Roman" w:eastAsia="仿宋_GB2312" w:cs="Times New Roman"/>
          <w:i w:val="0"/>
          <w:iCs w:val="0"/>
          <w:caps w:val="0"/>
          <w:color w:val="000000"/>
          <w:spacing w:val="0"/>
          <w:sz w:val="32"/>
          <w:szCs w:val="32"/>
          <w:bdr w:val="none" w:color="auto" w:sz="0" w:space="0"/>
          <w:shd w:val="clear" w:fill="FFFFFF"/>
        </w:rPr>
        <w:t>%</w:t>
      </w:r>
      <w:r>
        <w:rPr>
          <w:rFonts w:hint="default" w:ascii="仿宋_GB2312" w:hAnsi="微软雅黑" w:eastAsia="仿宋_GB2312" w:cs="仿宋_GB2312"/>
          <w:i w:val="0"/>
          <w:iCs w:val="0"/>
          <w:caps w:val="0"/>
          <w:color w:val="000000"/>
          <w:spacing w:val="0"/>
          <w:sz w:val="32"/>
          <w:szCs w:val="32"/>
          <w:bdr w:val="none" w:color="auto" w:sz="0" w:space="0"/>
          <w:shd w:val="clear" w:fill="FFFFFF"/>
        </w:rPr>
        <w:t>，决算数</w:t>
      </w:r>
      <w:r>
        <w:rPr>
          <w:rFonts w:hint="eastAsia" w:ascii="仿宋_GB2312" w:hAnsi="微软雅黑" w:eastAsia="仿宋_GB2312" w:cs="仿宋_GB2312"/>
          <w:i w:val="0"/>
          <w:iCs w:val="0"/>
          <w:caps w:val="0"/>
          <w:color w:val="000000"/>
          <w:spacing w:val="0"/>
          <w:sz w:val="32"/>
          <w:szCs w:val="32"/>
          <w:bdr w:val="none" w:color="auto" w:sz="0" w:space="0"/>
          <w:shd w:val="clear" w:fill="FFFFFF"/>
          <w:lang w:val="en-US" w:eastAsia="zh-CN"/>
        </w:rPr>
        <w:t>小</w:t>
      </w:r>
      <w:r>
        <w:rPr>
          <w:rFonts w:hint="default" w:ascii="仿宋_GB2312" w:hAnsi="微软雅黑" w:eastAsia="仿宋_GB2312" w:cs="仿宋_GB2312"/>
          <w:i w:val="0"/>
          <w:iCs w:val="0"/>
          <w:caps w:val="0"/>
          <w:color w:val="000000"/>
          <w:spacing w:val="0"/>
          <w:sz w:val="32"/>
          <w:szCs w:val="32"/>
          <w:bdr w:val="none" w:color="auto" w:sz="0" w:space="0"/>
          <w:shd w:val="clear" w:fill="FFFFFF"/>
        </w:rPr>
        <w:t>于年初预算数的主要原因是：</w:t>
      </w:r>
      <w:r>
        <w:rPr>
          <w:rFonts w:hint="eastAsia" w:ascii="仿宋_GB2312" w:hAnsi="微软雅黑" w:eastAsia="仿宋_GB2312" w:cs="仿宋_GB2312"/>
          <w:i w:val="0"/>
          <w:iCs w:val="0"/>
          <w:caps w:val="0"/>
          <w:color w:val="000000"/>
          <w:spacing w:val="0"/>
          <w:sz w:val="32"/>
          <w:szCs w:val="32"/>
          <w:bdr w:val="none" w:color="auto" w:sz="0" w:space="0"/>
          <w:shd w:val="clear" w:fill="FFFFFF"/>
          <w:lang w:val="en-US" w:eastAsia="zh-CN"/>
        </w:rPr>
        <w:t>统计口径不一致</w:t>
      </w:r>
      <w:r>
        <w:rPr>
          <w:rFonts w:hint="eastAsia" w:ascii="仿宋" w:hAnsi="仿宋" w:eastAsia="仿宋" w:cs="仿宋"/>
          <w:i w:val="0"/>
          <w:iCs w:val="0"/>
          <w:caps w:val="0"/>
          <w:color w:val="000000"/>
          <w:spacing w:val="0"/>
          <w:sz w:val="32"/>
          <w:szCs w:val="32"/>
          <w:bdr w:val="none" w:color="auto" w:sz="0" w:space="0"/>
          <w:shd w:val="clear" w:fill="FFFFFF"/>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478.09</w:t>
      </w:r>
      <w:r>
        <w:rPr>
          <w:rFonts w:hint="eastAsia" w:ascii="Times New Roman" w:hAnsi="Times New Roman" w:eastAsia="仿宋_GB2312"/>
          <w:sz w:val="32"/>
          <w:szCs w:val="32"/>
        </w:rPr>
        <w:t>万元，其中：</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378.86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77.20</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val="en-US" w:eastAsia="zh-CN"/>
        </w:rPr>
        <w:t>82.46万元</w:t>
      </w:r>
      <w:r>
        <w:rPr>
          <w:rFonts w:hint="eastAsia" w:ascii="Times New Roman" w:hAnsi="Times New Roman" w:eastAsia="仿宋_GB2312"/>
          <w:sz w:val="32"/>
          <w:szCs w:val="32"/>
        </w:rPr>
        <w:t>、津贴补贴</w:t>
      </w:r>
      <w:r>
        <w:rPr>
          <w:rFonts w:hint="eastAsia" w:ascii="Times New Roman" w:hAnsi="Times New Roman" w:eastAsia="仿宋_GB2312"/>
          <w:sz w:val="32"/>
          <w:szCs w:val="32"/>
          <w:lang w:val="en-US" w:eastAsia="zh-CN"/>
        </w:rPr>
        <w:t>60.54万元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val="en-US" w:eastAsia="zh-CN"/>
        </w:rPr>
        <w:t>84.87万元等</w:t>
      </w:r>
      <w:r>
        <w:rPr>
          <w:rFonts w:hint="eastAsia" w:ascii="Times New Roman" w:hAnsi="Times New Roman" w:eastAsia="仿宋_GB2312"/>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99.22</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20.21</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25.65万元</w:t>
      </w:r>
      <w:r>
        <w:rPr>
          <w:rFonts w:hint="eastAsia" w:ascii="Times New Roman" w:hAnsi="Times New Roman" w:eastAsia="仿宋_GB2312"/>
          <w:sz w:val="32"/>
          <w:szCs w:val="32"/>
        </w:rPr>
        <w:t>、印刷费</w:t>
      </w:r>
      <w:r>
        <w:rPr>
          <w:rFonts w:hint="eastAsia" w:ascii="Times New Roman" w:hAnsi="Times New Roman" w:eastAsia="仿宋_GB2312"/>
          <w:sz w:val="32"/>
          <w:szCs w:val="32"/>
          <w:lang w:val="en-US" w:eastAsia="zh-CN"/>
        </w:rPr>
        <w:t>2.87万元等</w:t>
      </w:r>
      <w:r>
        <w:rPr>
          <w:rFonts w:hint="eastAsia" w:ascii="Times New Roman" w:hAnsi="Times New Roman" w:eastAsia="仿宋_GB2312"/>
          <w:sz w:val="32"/>
          <w:szCs w:val="32"/>
          <w:lang w:eastAsia="zh-CN"/>
        </w:rPr>
        <w:t>。</w:t>
      </w:r>
    </w:p>
    <w:p>
      <w:pPr>
        <w:pStyle w:val="13"/>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pPr>
        <w:pStyle w:val="13"/>
        <w:keepNext w:val="0"/>
        <w:keepLines w:val="0"/>
        <w:pageBreakBefore w:val="0"/>
        <w:widowControl w:val="0"/>
        <w:numPr>
          <w:numId w:val="0"/>
        </w:numPr>
        <w:kinsoku/>
        <w:wordWrap/>
        <w:overflowPunct/>
        <w:topLinePunct w:val="0"/>
        <w:bidi w:val="0"/>
        <w:snapToGrid/>
        <w:spacing w:line="600" w:lineRule="exact"/>
        <w:ind w:firstLine="320" w:firstLineChars="1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2.40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2.37</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98.75</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厉行节俭</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0.22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9.17</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厉行节俭</w:t>
      </w:r>
      <w:r>
        <w:rPr>
          <w:rFonts w:hint="eastAsia" w:ascii="Times New Roman" w:hAnsi="Times New Roman" w:eastAsia="仿宋_GB2312"/>
          <w:sz w:val="32"/>
          <w:szCs w:val="32"/>
        </w:rPr>
        <w:t>。其中：</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87.5</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于预算数的主要原因是</w:t>
      </w:r>
      <w:r>
        <w:rPr>
          <w:rFonts w:hint="eastAsia" w:ascii="Times New Roman" w:hAnsi="Times New Roman" w:eastAsia="仿宋_GB2312"/>
          <w:sz w:val="32"/>
          <w:szCs w:val="32"/>
          <w:lang w:val="en-US" w:eastAsia="zh-CN"/>
        </w:rPr>
        <w:t>接待人次增加</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增加0.27</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34.61</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val="en-US" w:eastAsia="zh-CN"/>
        </w:rPr>
        <w:t>接待人次增加</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1.17</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97.5</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w:t>
      </w:r>
      <w:r>
        <w:rPr>
          <w:rFonts w:hint="eastAsia" w:ascii="Times New Roman" w:hAnsi="Times New Roman" w:eastAsia="仿宋_GB2312"/>
          <w:sz w:val="32"/>
          <w:szCs w:val="32"/>
        </w:rPr>
        <w:t>于预算数的主要原因是</w:t>
      </w:r>
      <w:r>
        <w:rPr>
          <w:rFonts w:hint="eastAsia" w:ascii="Times New Roman" w:hAnsi="Times New Roman" w:eastAsia="仿宋_GB2312"/>
          <w:sz w:val="32"/>
          <w:szCs w:val="32"/>
          <w:lang w:val="en-US" w:eastAsia="zh-CN"/>
        </w:rPr>
        <w:t>厉行节俭</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0.61</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32.45</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厉行节俭</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1.05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47.29</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万元,公务用车购置费及运行维护费支出决算</w:t>
      </w:r>
      <w:r>
        <w:rPr>
          <w:rFonts w:hint="eastAsia" w:ascii="Times New Roman" w:hAnsi="Times New Roman" w:eastAsia="仿宋_GB2312"/>
          <w:sz w:val="32"/>
          <w:szCs w:val="32"/>
          <w:lang w:val="en-US" w:eastAsia="zh-CN"/>
        </w:rPr>
        <w:t>1.17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52.71</w:t>
      </w:r>
      <w:r>
        <w:rPr>
          <w:rFonts w:hint="eastAsia" w:ascii="Times New Roman" w:hAnsi="Times New Roman" w:eastAsia="仿宋_GB2312"/>
          <w:sz w:val="32"/>
          <w:szCs w:val="32"/>
        </w:rPr>
        <w:t>%。其中：</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1.05</w:t>
      </w:r>
      <w:r>
        <w:rPr>
          <w:rFonts w:hint="eastAsia" w:ascii="Times New Roman" w:hAnsi="Times New Roman" w:eastAsia="仿宋_GB2312"/>
          <w:sz w:val="32"/>
          <w:szCs w:val="32"/>
        </w:rPr>
        <w:t>万元。</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1.17</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万元，公务用车运行维护费</w:t>
      </w:r>
      <w:r>
        <w:rPr>
          <w:rFonts w:hint="eastAsia" w:ascii="Times New Roman" w:hAnsi="Times New Roman" w:eastAsia="仿宋_GB2312"/>
          <w:sz w:val="32"/>
          <w:szCs w:val="32"/>
          <w:lang w:val="en-US" w:eastAsia="zh-CN"/>
        </w:rPr>
        <w:t>1.17</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val="en-US" w:eastAsia="zh-CN"/>
        </w:rPr>
        <w:t>燃油、保养维修、车辆保险</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3"/>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99.22</w:t>
      </w:r>
      <w:r>
        <w:rPr>
          <w:rFonts w:hint="eastAsia" w:ascii="Times New Roman" w:hAnsi="Times New Roman" w:eastAsia="仿宋_GB2312"/>
          <w:sz w:val="32"/>
          <w:szCs w:val="32"/>
        </w:rPr>
        <w:t>万元，比年初预算数（或者上年决算数）减少</w:t>
      </w:r>
      <w:r>
        <w:rPr>
          <w:rFonts w:hint="eastAsia" w:ascii="Times New Roman" w:hAnsi="Times New Roman" w:eastAsia="仿宋_GB2312"/>
          <w:sz w:val="32"/>
          <w:szCs w:val="32"/>
          <w:lang w:val="en-US" w:eastAsia="zh-CN"/>
        </w:rPr>
        <w:t>0.97</w:t>
      </w:r>
      <w:r>
        <w:rPr>
          <w:rFonts w:hint="eastAsia" w:ascii="Times New Roman" w:hAnsi="Times New Roman" w:eastAsia="仿宋_GB2312"/>
          <w:sz w:val="32"/>
          <w:szCs w:val="32"/>
        </w:rPr>
        <w:t xml:space="preserve"> 万元，降低</w:t>
      </w:r>
      <w:r>
        <w:rPr>
          <w:rFonts w:hint="eastAsia" w:ascii="Times New Roman" w:hAnsi="Times New Roman" w:eastAsia="仿宋_GB2312"/>
          <w:sz w:val="32"/>
          <w:szCs w:val="32"/>
          <w:lang w:val="en-US" w:eastAsia="zh-CN"/>
        </w:rPr>
        <w:t>0.96</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厉行节俭。</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仿宋_GB2312" w:hAnsi="宋体" w:eastAsia="仿宋_GB2312" w:cs="仿宋_GB2312"/>
          <w:i w:val="0"/>
          <w:iCs w:val="0"/>
          <w:caps w:val="0"/>
          <w:color w:val="000000"/>
          <w:spacing w:val="0"/>
          <w:sz w:val="32"/>
          <w:szCs w:val="32"/>
          <w:shd w:val="clear" w:fill="FFFFFF"/>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0.63</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val="en-US" w:eastAsia="zh-CN"/>
        </w:rPr>
        <w:t>全市编办主任</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55</w:t>
      </w:r>
      <w:r>
        <w:rPr>
          <w:rFonts w:hint="eastAsia" w:ascii="Times New Roman" w:hAnsi="Times New Roman" w:eastAsia="仿宋_GB2312"/>
          <w:sz w:val="32"/>
          <w:szCs w:val="32"/>
        </w:rPr>
        <w:t>人，内容为</w:t>
      </w:r>
      <w:r>
        <w:rPr>
          <w:rFonts w:ascii="仿宋_GB2312" w:hAnsi="宋体" w:eastAsia="仿宋_GB2312" w:cs="仿宋_GB2312"/>
          <w:i w:val="0"/>
          <w:iCs w:val="0"/>
          <w:caps w:val="0"/>
          <w:color w:val="000000"/>
          <w:spacing w:val="0"/>
          <w:sz w:val="32"/>
          <w:szCs w:val="32"/>
          <w:shd w:val="clear" w:fill="FFFFFF"/>
        </w:rPr>
        <w:t>研究部署</w:t>
      </w:r>
      <w:r>
        <w:rPr>
          <w:rFonts w:hint="default" w:ascii="Times New Roman" w:hAnsi="Times New Roman" w:eastAsia="仿宋_GB2312" w:cs="Times New Roman"/>
          <w:i w:val="0"/>
          <w:iCs w:val="0"/>
          <w:caps w:val="0"/>
          <w:color w:val="000000"/>
          <w:spacing w:val="0"/>
          <w:sz w:val="32"/>
          <w:szCs w:val="32"/>
          <w:shd w:val="clear" w:fill="FFFFFF"/>
        </w:rPr>
        <w:t>202</w:t>
      </w:r>
      <w:r>
        <w:rPr>
          <w:rFonts w:hint="eastAsia" w:ascii="Times New Roman" w:hAnsi="Times New Roman" w:eastAsia="仿宋_GB2312" w:cs="Times New Roman"/>
          <w:i w:val="0"/>
          <w:iCs w:val="0"/>
          <w:caps w:val="0"/>
          <w:color w:val="000000"/>
          <w:spacing w:val="0"/>
          <w:sz w:val="32"/>
          <w:szCs w:val="32"/>
          <w:shd w:val="clear" w:fill="FFFFFF"/>
          <w:lang w:val="en-US" w:eastAsia="zh-CN"/>
        </w:rPr>
        <w:t>3</w:t>
      </w:r>
      <w:r>
        <w:rPr>
          <w:rFonts w:hint="default" w:ascii="仿宋_GB2312" w:hAnsi="宋体" w:eastAsia="仿宋_GB2312" w:cs="仿宋_GB2312"/>
          <w:i w:val="0"/>
          <w:iCs w:val="0"/>
          <w:caps w:val="0"/>
          <w:color w:val="000000"/>
          <w:spacing w:val="0"/>
          <w:sz w:val="32"/>
          <w:szCs w:val="32"/>
          <w:shd w:val="clear" w:fill="FFFFFF"/>
        </w:rPr>
        <w:t>年全市机构编制工作</w:t>
      </w:r>
      <w:r>
        <w:rPr>
          <w:rFonts w:hint="default" w:ascii="仿宋_GB2312" w:hAnsi="Times New Roman" w:eastAsia="仿宋_GB2312" w:cs="仿宋_GB2312"/>
          <w:i w:val="0"/>
          <w:iCs w:val="0"/>
          <w:caps w:val="0"/>
          <w:color w:val="000000"/>
          <w:spacing w:val="0"/>
          <w:sz w:val="32"/>
          <w:szCs w:val="32"/>
          <w:shd w:val="clear" w:fill="FFFFFF"/>
        </w:rPr>
        <w:t>，</w:t>
      </w:r>
      <w:r>
        <w:rPr>
          <w:rFonts w:hint="default" w:ascii="仿宋_GB2312" w:hAnsi="宋体" w:eastAsia="仿宋_GB2312" w:cs="仿宋_GB2312"/>
          <w:i w:val="0"/>
          <w:iCs w:val="0"/>
          <w:caps w:val="0"/>
          <w:color w:val="000000"/>
          <w:spacing w:val="0"/>
          <w:sz w:val="32"/>
          <w:szCs w:val="32"/>
          <w:shd w:val="clear" w:fill="FFFFFF"/>
        </w:rPr>
        <w:t>无培训费支出</w:t>
      </w:r>
      <w:r>
        <w:rPr>
          <w:rFonts w:hint="default" w:ascii="仿宋_GB2312" w:hAnsi="Times New Roman" w:eastAsia="仿宋_GB2312" w:cs="仿宋_GB2312"/>
          <w:i w:val="0"/>
          <w:iCs w:val="0"/>
          <w:caps w:val="0"/>
          <w:color w:val="000000"/>
          <w:spacing w:val="0"/>
          <w:sz w:val="32"/>
          <w:szCs w:val="32"/>
          <w:shd w:val="clear" w:fill="FFFFFF"/>
        </w:rPr>
        <w:t>，</w:t>
      </w:r>
      <w:r>
        <w:rPr>
          <w:rFonts w:hint="default" w:ascii="仿宋_GB2312" w:hAnsi="宋体" w:eastAsia="仿宋_GB2312" w:cs="仿宋_GB2312"/>
          <w:i w:val="0"/>
          <w:iCs w:val="0"/>
          <w:caps w:val="0"/>
          <w:color w:val="000000"/>
          <w:spacing w:val="0"/>
          <w:sz w:val="32"/>
          <w:szCs w:val="32"/>
          <w:shd w:val="clear" w:fill="FFFFFF"/>
        </w:rPr>
        <w:t>无活动等支出。</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val="en-US" w:eastAsia="zh-CN"/>
        </w:rPr>
        <w:t>我单位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val="en-US" w:eastAsia="zh-CN"/>
        </w:rPr>
        <w:t>无</w:t>
      </w:r>
      <w:r>
        <w:rPr>
          <w:rFonts w:hint="eastAsia" w:ascii="Times New Roman" w:hAnsi="Times New Roman" w:eastAsia="仿宋_GB2312"/>
          <w:color w:val="auto"/>
          <w:sz w:val="32"/>
          <w:szCs w:val="32"/>
        </w:rPr>
        <w:t>单位价值100万元以上设备。</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仿宋_GB2312" w:hAnsi="Calibri" w:eastAsia="仿宋_GB2312" w:cs="仿宋_GB2312"/>
          <w:i w:val="0"/>
          <w:iCs w:val="0"/>
          <w:caps w:val="0"/>
          <w:color w:val="000000"/>
          <w:spacing w:val="0"/>
          <w:kern w:val="0"/>
          <w:sz w:val="32"/>
          <w:szCs w:val="32"/>
          <w:shd w:val="clear" w:fill="FFFFFF"/>
          <w:lang w:val="en-US" w:eastAsia="zh-CN" w:bidi="ar"/>
        </w:rPr>
      </w:pPr>
      <w:r>
        <w:rPr>
          <w:rFonts w:hint="eastAsia" w:ascii="仿宋_GB2312" w:hAnsi="Calibri" w:eastAsia="仿宋_GB2312" w:cs="仿宋_GB2312"/>
          <w:i w:val="0"/>
          <w:iCs w:val="0"/>
          <w:caps w:val="0"/>
          <w:color w:val="000000"/>
          <w:spacing w:val="0"/>
          <w:kern w:val="0"/>
          <w:sz w:val="32"/>
          <w:szCs w:val="32"/>
          <w:shd w:val="clear" w:fill="FFFFFF"/>
          <w:lang w:val="en-US" w:eastAsia="zh-CN" w:bidi="ar"/>
        </w:rPr>
        <w:t>我单位严格按照财政局要求开展绩效管理工作。</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ascii="Calibri" w:hAnsi="Calibri" w:cs="Calibri"/>
          <w:i w:val="0"/>
          <w:iCs w:val="0"/>
          <w:caps w:val="0"/>
          <w:color w:val="3D3D3D"/>
          <w:spacing w:val="0"/>
          <w:sz w:val="27"/>
          <w:szCs w:val="27"/>
        </w:rPr>
      </w:pP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202</w:t>
      </w:r>
      <w:r>
        <w:rPr>
          <w:rFonts w:hint="eastAsia"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3</w:t>
      </w:r>
      <w:r>
        <w:rPr>
          <w:rFonts w:hint="default"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年，市委编办在市委、市委编委和省委编办的正确领导下，以党的二十大精神和习近平新时代中国特色社会主义思想为指引，坚决贯彻落实党管机构编制原则，紧紧围绕市委“五新四城”战略，认真抓好各项改革工作，较好的完成了全年工作任务。现将今年工作情况汇报如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hint="default" w:ascii="Calibri" w:hAnsi="Calibri" w:cs="Calibri"/>
          <w:i w:val="0"/>
          <w:iCs w:val="0"/>
          <w:caps w:val="0"/>
          <w:color w:val="3D3D3D"/>
          <w:spacing w:val="0"/>
          <w:sz w:val="27"/>
          <w:szCs w:val="27"/>
        </w:rPr>
      </w:pP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一</w:t>
      </w: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矢志不渝坚持党建引领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736"/>
        <w:jc w:val="both"/>
        <w:rPr>
          <w:rFonts w:hint="default" w:ascii="Calibri" w:hAnsi="Calibri" w:cs="Calibri"/>
          <w:i w:val="0"/>
          <w:iCs w:val="0"/>
          <w:caps w:val="0"/>
          <w:color w:val="3D3D3D"/>
          <w:spacing w:val="0"/>
          <w:sz w:val="27"/>
          <w:szCs w:val="27"/>
        </w:rPr>
      </w:pPr>
      <w:r>
        <w:rPr>
          <w:rFonts w:hint="default"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时刻把讲政治摆在首位，对上级党委召开的重要会议、作出的重大决策部署坚持第一时间学习贯彻落实。不断强化党要管党、从严治党意识，抓紧抓牢机关党建各项工作。一是抓细抓深党的二十大精神学习。二是抓牢抓实意识形态。三是抓长抓常组织建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hint="default" w:ascii="Calibri" w:hAnsi="Calibri" w:cs="Calibri"/>
          <w:i w:val="0"/>
          <w:iCs w:val="0"/>
          <w:caps w:val="0"/>
          <w:color w:val="3D3D3D"/>
          <w:spacing w:val="0"/>
          <w:sz w:val="27"/>
          <w:szCs w:val="27"/>
        </w:rPr>
      </w:pP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二</w:t>
      </w: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围绕中心谋划业务工作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hint="default" w:ascii="Calibri" w:hAnsi="Calibri" w:cs="Calibri"/>
          <w:i w:val="0"/>
          <w:iCs w:val="0"/>
          <w:caps w:val="0"/>
          <w:color w:val="3D3D3D"/>
          <w:spacing w:val="0"/>
          <w:sz w:val="27"/>
          <w:szCs w:val="27"/>
        </w:rPr>
      </w:pPr>
      <w:r>
        <w:rPr>
          <w:rFonts w:hint="default"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不断强化政治担当、历史担当，紧紧围绕市委“五新四城”战略，主动作为，稳中求进，增强系统观念，统筹优化机构编制资源配置，不断提升资源使用效益。一是全力助推经济发展。二是盘活用好编制资源。三是加强文物保护和考古工作机构编制保障。四是扎实开展调查研究。五是优质办理提案建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hint="default" w:ascii="Calibri" w:hAnsi="Calibri" w:cs="Calibri"/>
          <w:i w:val="0"/>
          <w:iCs w:val="0"/>
          <w:caps w:val="0"/>
          <w:color w:val="3D3D3D"/>
          <w:spacing w:val="0"/>
          <w:sz w:val="27"/>
          <w:szCs w:val="27"/>
        </w:rPr>
      </w:pP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三</w:t>
      </w: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凝心聚力统筹各类改革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hint="default" w:ascii="Calibri" w:hAnsi="Calibri" w:cs="Calibri"/>
          <w:i w:val="0"/>
          <w:iCs w:val="0"/>
          <w:caps w:val="0"/>
          <w:color w:val="3D3D3D"/>
          <w:spacing w:val="0"/>
          <w:sz w:val="27"/>
          <w:szCs w:val="27"/>
        </w:rPr>
      </w:pPr>
      <w:r>
        <w:rPr>
          <w:rFonts w:hint="default"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以深化机构改革为重点，通过改革破难题、增活力，不断创新机构编制管理思路办法。根据统一部署安排，已完成国安体制、绩效体制调整，完成了行政复议、疾病预防、国防动员体制改革工作。同时，着力推进应急、自然资源等行政执法改革。一是推进市县应急管理综合行政执法改革。二是推进市县自然资源行政执法改革。三是进一步理顺调优了市区征拆体制。四是开展党政机关内设机构优化。五是推进涉改人员转隶</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left"/>
        <w:rPr>
          <w:rFonts w:hint="default" w:ascii="Calibri" w:hAnsi="Calibri" w:cs="Calibri"/>
          <w:i w:val="0"/>
          <w:iCs w:val="0"/>
          <w:caps w:val="0"/>
          <w:color w:val="3D3D3D"/>
          <w:spacing w:val="0"/>
          <w:sz w:val="27"/>
          <w:szCs w:val="27"/>
        </w:rPr>
      </w:pP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四</w:t>
      </w: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主动作为梳理安全生产职责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hint="default" w:ascii="Calibri" w:hAnsi="Calibri" w:cs="Calibri"/>
          <w:i w:val="0"/>
          <w:iCs w:val="0"/>
          <w:caps w:val="0"/>
          <w:color w:val="3D3D3D"/>
          <w:spacing w:val="0"/>
          <w:sz w:val="27"/>
          <w:szCs w:val="27"/>
        </w:rPr>
      </w:pPr>
      <w:r>
        <w:rPr>
          <w:rFonts w:hint="default"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紧盯安全生产这个重中之重，主动对市安委会成员单位、市政府工作部门承担的安全生产职责进行全面梳理、明晰，确保责任落实落地</w:t>
      </w: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这一做法得到了省政府、省委编办、省安委会的肯定和推介。一是全面梳理职能职责。二是全面厘清职责边界。三是全面落实职责分工。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hint="default" w:ascii="Calibri" w:hAnsi="Calibri" w:cs="Calibri"/>
          <w:i w:val="0"/>
          <w:iCs w:val="0"/>
          <w:caps w:val="0"/>
          <w:color w:val="3D3D3D"/>
          <w:spacing w:val="0"/>
          <w:sz w:val="27"/>
          <w:szCs w:val="27"/>
        </w:rPr>
      </w:pP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五</w:t>
      </w: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坚持不懈抓实监督检查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hint="default" w:ascii="Calibri" w:hAnsi="Calibri" w:cs="Calibri"/>
          <w:i w:val="0"/>
          <w:iCs w:val="0"/>
          <w:caps w:val="0"/>
          <w:color w:val="3D3D3D"/>
          <w:spacing w:val="0"/>
          <w:sz w:val="27"/>
          <w:szCs w:val="27"/>
        </w:rPr>
      </w:pPr>
      <w:r>
        <w:rPr>
          <w:rFonts w:hint="default"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认真学习贯彻《中国共产党机构编制工作条例》及相关法规制度，以专项整治为抓手，狠抓问题整改，进一步增强机构编制刚性约束。一是抓好巡视问题整改落实。二是紧盯违纪违规违法问题清理整治工作。三是有序推进行政编制超编专项整治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hint="default" w:ascii="Calibri" w:hAnsi="Calibri" w:cs="Calibri"/>
          <w:i w:val="0"/>
          <w:iCs w:val="0"/>
          <w:caps w:val="0"/>
          <w:color w:val="3D3D3D"/>
          <w:spacing w:val="0"/>
          <w:sz w:val="27"/>
          <w:szCs w:val="27"/>
        </w:rPr>
      </w:pP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六</w:t>
      </w: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久久为功规范日常管理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hint="default" w:ascii="Calibri" w:hAnsi="Calibri" w:cs="Calibri"/>
          <w:i w:val="0"/>
          <w:iCs w:val="0"/>
          <w:caps w:val="0"/>
          <w:color w:val="3D3D3D"/>
          <w:spacing w:val="0"/>
          <w:sz w:val="27"/>
          <w:szCs w:val="27"/>
        </w:rPr>
      </w:pPr>
      <w:r>
        <w:rPr>
          <w:rFonts w:hint="default"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创新资源配置思路和方式，健全机构编制管理动态调整机制，加大统筹使用各类编制资源力度，全面加强机构编制实名制管理，充分发挥在管理全流程中的基础性作用。一是规范实名制管理。二是认真做好登记工作。三是扎实推进乡村振兴工作。四是做好综合管理平台相关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left"/>
        <w:rPr>
          <w:rFonts w:hint="default" w:ascii="Calibri" w:hAnsi="Calibri" w:cs="Calibri"/>
          <w:i w:val="0"/>
          <w:iCs w:val="0"/>
          <w:caps w:val="0"/>
          <w:color w:val="3D3D3D"/>
          <w:spacing w:val="0"/>
          <w:sz w:val="27"/>
          <w:szCs w:val="27"/>
        </w:rPr>
      </w:pP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w:t>
      </w:r>
      <w:r>
        <w:rPr>
          <w:rFonts w:hint="eastAsia"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七</w:t>
      </w: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坚定不移抓好队伍建设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hint="default" w:ascii="Calibri" w:hAnsi="Calibri" w:cs="Calibri"/>
          <w:i w:val="0"/>
          <w:iCs w:val="0"/>
          <w:caps w:val="0"/>
          <w:color w:val="3D3D3D"/>
          <w:spacing w:val="0"/>
          <w:sz w:val="27"/>
          <w:szCs w:val="27"/>
        </w:rPr>
      </w:pPr>
      <w:r>
        <w:rPr>
          <w:rFonts w:hint="default"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着力打造一支高素质专业化的机构编制队伍，努力建设讲政治、守纪律、负责任、有效率的模范机关，树立正确用人导向</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广大干部群众对市委编办的满意度不断提升。一是紧抓党风廉政建设。二是严格机关日常管理。三是创建学习型机关</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ascii="Calibri" w:hAnsi="Calibri" w:cs="Calibri"/>
          <w:i w:val="0"/>
          <w:iCs w:val="0"/>
          <w:caps w:val="0"/>
          <w:color w:val="3D3D3D"/>
          <w:spacing w:val="0"/>
          <w:sz w:val="27"/>
          <w:szCs w:val="27"/>
        </w:rPr>
      </w:pPr>
      <w:r>
        <w:rPr>
          <w:rFonts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（一）科学编制年度预算。应进一步提高工作预见性及工作效率，提升预算准确度，降低预决算差异率，提高资金使用效益。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hint="default" w:ascii="Calibri" w:hAnsi="Calibri" w:cs="Calibri"/>
          <w:i w:val="0"/>
          <w:iCs w:val="0"/>
          <w:caps w:val="0"/>
          <w:color w:val="3D3D3D"/>
          <w:spacing w:val="0"/>
          <w:sz w:val="27"/>
          <w:szCs w:val="27"/>
        </w:rPr>
      </w:pPr>
      <w:r>
        <w:rPr>
          <w:rFonts w:hint="default"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（二）加强财务管理，严格财务审核。在费用报账支付时，按照预算规定的费用项目和用途进行资金使用审核。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hint="default" w:ascii="Calibri" w:hAnsi="Calibri" w:cs="Calibri"/>
          <w:i w:val="0"/>
          <w:iCs w:val="0"/>
          <w:caps w:val="0"/>
          <w:color w:val="3D3D3D"/>
          <w:spacing w:val="0"/>
          <w:sz w:val="27"/>
          <w:szCs w:val="27"/>
        </w:rPr>
      </w:pPr>
      <w:r>
        <w:rPr>
          <w:rFonts w:hint="default"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（三）继续抓好“三公”经费控制管理。严格按制“三公”经费的规模和比例</w:t>
      </w: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 </w:t>
      </w:r>
      <w:r>
        <w:rPr>
          <w:rFonts w:hint="default"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，把好“三公经费支出的审核、审批关。</w:t>
      </w:r>
    </w:p>
    <w:p>
      <w:pPr>
        <w:pStyle w:val="13"/>
        <w:jc w:val="both"/>
        <w:rPr>
          <w:sz w:val="72"/>
          <w:szCs w:val="72"/>
        </w:rPr>
      </w:pPr>
    </w:p>
    <w:p>
      <w:pPr>
        <w:pStyle w:val="13"/>
        <w:jc w:val="both"/>
        <w:rPr>
          <w:sz w:val="72"/>
          <w:szCs w:val="72"/>
        </w:rPr>
      </w:pPr>
    </w:p>
    <w:p>
      <w:pPr>
        <w:pStyle w:val="13"/>
        <w:jc w:val="both"/>
        <w:rPr>
          <w:sz w:val="72"/>
          <w:szCs w:val="72"/>
        </w:rPr>
      </w:pPr>
    </w:p>
    <w:p>
      <w:pPr>
        <w:pStyle w:val="13"/>
        <w:jc w:val="both"/>
        <w:rPr>
          <w:sz w:val="72"/>
          <w:szCs w:val="72"/>
        </w:rPr>
      </w:pPr>
    </w:p>
    <w:p>
      <w:pPr>
        <w:pStyle w:val="13"/>
        <w:jc w:val="both"/>
        <w:rPr>
          <w:sz w:val="72"/>
          <w:szCs w:val="72"/>
        </w:rPr>
      </w:pPr>
    </w:p>
    <w:p>
      <w:pPr>
        <w:pStyle w:val="13"/>
        <w:jc w:val="center"/>
        <w:rPr>
          <w:sz w:val="72"/>
          <w:szCs w:val="72"/>
        </w:rPr>
      </w:pPr>
    </w:p>
    <w:p>
      <w:pPr>
        <w:pStyle w:val="13"/>
        <w:jc w:val="center"/>
        <w:rPr>
          <w:sz w:val="72"/>
          <w:szCs w:val="72"/>
        </w:rPr>
      </w:pPr>
    </w:p>
    <w:p>
      <w:pPr>
        <w:pStyle w:val="13"/>
        <w:jc w:val="both"/>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left"/>
        <w:rPr>
          <w:rFonts w:ascii="Calibri" w:hAnsi="Calibri" w:cs="Calibri"/>
          <w:i w:val="0"/>
          <w:iCs w:val="0"/>
          <w:caps w:val="0"/>
          <w:color w:val="3D3D3D"/>
          <w:spacing w:val="0"/>
          <w:sz w:val="27"/>
          <w:szCs w:val="27"/>
        </w:rPr>
      </w:pPr>
      <w:r>
        <w:rPr>
          <w:rFonts w:ascii="仿宋" w:hAnsi="仿宋" w:eastAsia="仿宋" w:cs="仿宋"/>
          <w:i w:val="0"/>
          <w:iCs w:val="0"/>
          <w:caps w:val="0"/>
          <w:color w:val="000000"/>
          <w:spacing w:val="0"/>
          <w:sz w:val="32"/>
          <w:szCs w:val="32"/>
          <w:bdr w:val="none" w:color="auto" w:sz="0" w:space="0"/>
          <w:shd w:val="clear" w:fill="FFFFFF"/>
        </w:rPr>
        <w:t>一、机关运行经费：为保障行政单位（包括参照公务员法管理的事业单位）运行，用一般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left"/>
        <w:rPr>
          <w:rFonts w:hint="default" w:ascii="Calibri" w:hAnsi="Calibri" w:cs="Calibri"/>
          <w:i w:val="0"/>
          <w:iCs w:val="0"/>
          <w:caps w:val="0"/>
          <w:color w:val="3D3D3D"/>
          <w:spacing w:val="0"/>
          <w:sz w:val="27"/>
          <w:szCs w:val="27"/>
        </w:rPr>
      </w:pPr>
      <w:r>
        <w:rPr>
          <w:rFonts w:hint="eastAsia" w:ascii="仿宋" w:hAnsi="仿宋" w:eastAsia="仿宋" w:cs="仿宋"/>
          <w:i w:val="0"/>
          <w:iCs w:val="0"/>
          <w:caps w:val="0"/>
          <w:color w:val="000000"/>
          <w:spacing w:val="0"/>
          <w:sz w:val="32"/>
          <w:szCs w:val="32"/>
          <w:bdr w:val="none" w:color="auto" w:sz="0" w:space="0"/>
          <w:shd w:val="clear" w:fill="FFFFFF"/>
        </w:rPr>
        <w:t>二、“三公”经费：纳入财政预算管理的“三公”经费，是指用一般公共预算拨款安排的公务接待费、公务用车购置及运行维护费和因公出国（境）费。其中，公务接待费反映单位按规定开支的各类公务接待支出；公务用车购置运行费反映单位公务用车车辆购置支出（含车辆购置税），以及燃料费、维修费、保险费等支出；因公出国（境）费反映单位公务出国（境）的国际旅费、国外城市间交通费、食宿费等支出。</w:t>
      </w: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rPr>
          <w:sz w:val="72"/>
          <w:szCs w:val="72"/>
        </w:rPr>
      </w:pPr>
      <w:r>
        <w:rPr>
          <w:sz w:val="72"/>
          <w:szCs w:val="72"/>
        </w:rPr>
        <w:br w:type="page"/>
      </w: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pPr>
        <w:pStyle w:val="13"/>
        <w:jc w:val="center"/>
        <w:rPr>
          <w:rFonts w:hint="eastAsia" w:ascii="方正小标宋_GBK" w:hAnsi="方正小标宋_GBK" w:eastAsia="方正小标宋_GBK" w:cs="方正小标宋_GBK"/>
          <w:sz w:val="70"/>
          <w:szCs w:val="70"/>
        </w:rPr>
      </w:pPr>
    </w:p>
    <w:p>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pPr>
        <w:rPr>
          <w:sz w:val="72"/>
          <w:szCs w:val="72"/>
        </w:rPr>
      </w:pPr>
      <w:r>
        <w:rPr>
          <w:sz w:val="72"/>
          <w:szCs w:val="72"/>
        </w:rPr>
        <w:br w:type="page"/>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2023年度部门(单位)整体支出绩效自评报告。</w:t>
      </w:r>
    </w:p>
    <w:p>
      <w:pPr>
        <w:pStyle w:val="13"/>
        <w:ind w:firstLine="1280" w:firstLineChars="400"/>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pPr>
        <w:pStyle w:val="13"/>
        <w:jc w:val="center"/>
        <w:rPr>
          <w:sz w:val="72"/>
          <w:szCs w:val="72"/>
        </w:rPr>
      </w:pPr>
    </w:p>
    <w:p>
      <w:pPr>
        <w:pStyle w:val="13"/>
        <w:jc w:val="center"/>
        <w:rPr>
          <w:sz w:val="72"/>
          <w:szCs w:val="72"/>
        </w:rPr>
      </w:pPr>
      <w:bookmarkStart w:id="0" w:name="_GoBack"/>
      <w:bookmarkEnd w:id="0"/>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91CA6D"/>
    <w:multiLevelType w:val="singleLevel"/>
    <w:tmpl w:val="8491CA6D"/>
    <w:lvl w:ilvl="0" w:tentative="0">
      <w:start w:val="7"/>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3OTRjMzA3MWY1ZDRiNDI3NjE0ZDIyZDA3N2MzYjY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D5B35B7"/>
    <w:rsid w:val="16994D72"/>
    <w:rsid w:val="1D97DEFF"/>
    <w:rsid w:val="1DFF72E5"/>
    <w:rsid w:val="1EFC6F07"/>
    <w:rsid w:val="229A48AD"/>
    <w:rsid w:val="232C1EE7"/>
    <w:rsid w:val="28E15521"/>
    <w:rsid w:val="2F5F655C"/>
    <w:rsid w:val="2FDF85B8"/>
    <w:rsid w:val="2FFFEE04"/>
    <w:rsid w:val="34DF85B0"/>
    <w:rsid w:val="3B8F36BC"/>
    <w:rsid w:val="3C4E2A76"/>
    <w:rsid w:val="3D2E25C3"/>
    <w:rsid w:val="430F5721"/>
    <w:rsid w:val="491FF225"/>
    <w:rsid w:val="4FFD214C"/>
    <w:rsid w:val="5777D4F5"/>
    <w:rsid w:val="59DD8326"/>
    <w:rsid w:val="5DEF592A"/>
    <w:rsid w:val="5F0C4EEA"/>
    <w:rsid w:val="5FC6BB1E"/>
    <w:rsid w:val="5FF720F1"/>
    <w:rsid w:val="65C74ED2"/>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Pages>
  <Words>3924</Words>
  <Characters>4299</Characters>
  <Lines>63</Lines>
  <Paragraphs>18</Paragraphs>
  <TotalTime>11</TotalTime>
  <ScaleCrop>false</ScaleCrop>
  <LinksUpToDate>false</LinksUpToDate>
  <CharactersWithSpaces>4316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Administrator</cp:lastModifiedBy>
  <cp:lastPrinted>2024-08-08T10:20:00Z</cp:lastPrinted>
  <dcterms:modified xsi:type="dcterms:W3CDTF">2024-09-24T10:50:03Z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C044B71CD4EB4CB9BB5BCDB6403E4402_13</vt:lpwstr>
  </property>
</Properties>
</file>