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21987">
      <w:pPr>
        <w:pStyle w:val="13"/>
        <w:jc w:val="center"/>
        <w:rPr>
          <w:sz w:val="56"/>
          <w:szCs w:val="56"/>
          <w:highlight w:val="none"/>
        </w:rPr>
      </w:pPr>
    </w:p>
    <w:p w14:paraId="11D18DA9">
      <w:pPr>
        <w:pStyle w:val="13"/>
        <w:jc w:val="center"/>
        <w:rPr>
          <w:sz w:val="56"/>
          <w:szCs w:val="56"/>
          <w:highlight w:val="none"/>
        </w:rPr>
      </w:pPr>
    </w:p>
    <w:p w14:paraId="429E69A8">
      <w:pPr>
        <w:pStyle w:val="13"/>
        <w:jc w:val="center"/>
        <w:rPr>
          <w:sz w:val="84"/>
          <w:szCs w:val="84"/>
          <w:highlight w:val="none"/>
        </w:rPr>
      </w:pPr>
    </w:p>
    <w:p w14:paraId="74530FDC">
      <w:pPr>
        <w:pStyle w:val="13"/>
        <w:jc w:val="center"/>
        <w:rPr>
          <w:sz w:val="84"/>
          <w:szCs w:val="84"/>
          <w:highlight w:val="none"/>
        </w:rPr>
      </w:pPr>
    </w:p>
    <w:p w14:paraId="204ACD9F">
      <w:pPr>
        <w:pStyle w:val="13"/>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w:t>
      </w:r>
    </w:p>
    <w:p w14:paraId="321D0F2A">
      <w:pPr>
        <w:pStyle w:val="13"/>
        <w:jc w:val="center"/>
        <w:rPr>
          <w:rFonts w:hint="default" w:ascii="黑体" w:hAnsi="黑体" w:eastAsia="黑体" w:cs="黑体"/>
          <w:sz w:val="84"/>
          <w:szCs w:val="84"/>
          <w:highlight w:val="none"/>
          <w:lang w:val="en-US" w:eastAsia="zh-CN"/>
        </w:rPr>
      </w:pPr>
      <w:r>
        <w:rPr>
          <w:rFonts w:hint="eastAsia" w:hAnsi="黑体" w:cs="黑体"/>
          <w:sz w:val="84"/>
          <w:szCs w:val="84"/>
          <w:highlight w:val="none"/>
          <w:lang w:eastAsia="zh-CN"/>
        </w:rPr>
        <w:t>中共怀化市纪律检查委员会</w:t>
      </w:r>
      <w:r>
        <w:rPr>
          <w:rFonts w:hint="eastAsia" w:ascii="黑体" w:hAnsi="黑体" w:eastAsia="黑体" w:cs="黑体"/>
          <w:sz w:val="84"/>
          <w:szCs w:val="84"/>
          <w:highlight w:val="none"/>
        </w:rPr>
        <w:t>部门决算</w:t>
      </w:r>
      <w:r>
        <w:rPr>
          <w:rFonts w:hint="eastAsia" w:hAnsi="黑体" w:cs="黑体"/>
          <w:sz w:val="84"/>
          <w:szCs w:val="84"/>
          <w:highlight w:val="none"/>
          <w:lang w:val="en-US" w:eastAsia="zh-CN"/>
        </w:rPr>
        <w:t>公开说明</w:t>
      </w:r>
    </w:p>
    <w:p w14:paraId="5570EC54">
      <w:pPr>
        <w:pStyle w:val="13"/>
        <w:jc w:val="center"/>
        <w:rPr>
          <w:rFonts w:hint="eastAsia" w:ascii="方正小标宋_GBK" w:hAnsi="方正小标宋_GBK" w:eastAsia="方正小标宋_GBK" w:cs="方正小标宋_GBK"/>
          <w:sz w:val="56"/>
          <w:szCs w:val="56"/>
          <w:highlight w:val="none"/>
        </w:rPr>
      </w:pPr>
    </w:p>
    <w:p w14:paraId="21A44D97">
      <w:pPr>
        <w:pStyle w:val="13"/>
        <w:jc w:val="center"/>
        <w:rPr>
          <w:sz w:val="56"/>
          <w:szCs w:val="56"/>
          <w:highlight w:val="none"/>
        </w:rPr>
      </w:pPr>
    </w:p>
    <w:p w14:paraId="57CAA933">
      <w:pPr>
        <w:pStyle w:val="13"/>
        <w:jc w:val="center"/>
        <w:rPr>
          <w:sz w:val="56"/>
          <w:szCs w:val="56"/>
          <w:highlight w:val="none"/>
        </w:rPr>
      </w:pPr>
    </w:p>
    <w:p w14:paraId="3CF3EFEB">
      <w:pPr>
        <w:pStyle w:val="13"/>
        <w:jc w:val="center"/>
        <w:rPr>
          <w:sz w:val="56"/>
          <w:szCs w:val="56"/>
          <w:highlight w:val="none"/>
        </w:rPr>
      </w:pPr>
    </w:p>
    <w:p w14:paraId="494647D0">
      <w:pPr>
        <w:pStyle w:val="13"/>
        <w:jc w:val="center"/>
        <w:rPr>
          <w:sz w:val="32"/>
          <w:szCs w:val="32"/>
          <w:highlight w:val="none"/>
        </w:rPr>
      </w:pPr>
    </w:p>
    <w:p w14:paraId="7665D0F1">
      <w:pPr>
        <w:pStyle w:val="13"/>
        <w:jc w:val="center"/>
        <w:rPr>
          <w:sz w:val="32"/>
          <w:szCs w:val="32"/>
          <w:highlight w:val="none"/>
        </w:rPr>
      </w:pPr>
    </w:p>
    <w:p w14:paraId="7F7FBD9D">
      <w:pPr>
        <w:pStyle w:val="13"/>
        <w:spacing w:line="540" w:lineRule="exact"/>
        <w:jc w:val="both"/>
        <w:rPr>
          <w:sz w:val="56"/>
          <w:szCs w:val="56"/>
          <w:highlight w:val="none"/>
        </w:rPr>
      </w:pPr>
    </w:p>
    <w:p w14:paraId="5A5E3EF2">
      <w:pPr>
        <w:pStyle w:val="13"/>
        <w:spacing w:line="500" w:lineRule="exact"/>
        <w:jc w:val="both"/>
        <w:rPr>
          <w:b/>
          <w:sz w:val="36"/>
          <w:szCs w:val="28"/>
          <w:highlight w:val="none"/>
        </w:rPr>
      </w:pPr>
    </w:p>
    <w:p w14:paraId="25180011">
      <w:pPr>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br w:type="page"/>
      </w:r>
    </w:p>
    <w:p w14:paraId="2B7C3E60">
      <w:pPr>
        <w:pStyle w:val="13"/>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t>目录</w:t>
      </w:r>
    </w:p>
    <w:p w14:paraId="4299E45C">
      <w:pPr>
        <w:pStyle w:val="13"/>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p>
    <w:p w14:paraId="41C6527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第一部分</w:t>
      </w:r>
      <w:r>
        <w:rPr>
          <w:rFonts w:hint="eastAsia" w:ascii="仿宋_GB2312" w:hAnsi="黑体" w:eastAsia="仿宋_GB2312"/>
          <w:b/>
          <w:bCs w:val="0"/>
          <w:sz w:val="32"/>
          <w:szCs w:val="32"/>
          <w:highlight w:val="none"/>
          <w:lang w:eastAsia="zh-CN"/>
        </w:rPr>
        <w:t>中共怀化市纪律检查委员会</w:t>
      </w:r>
      <w:r>
        <w:rPr>
          <w:rFonts w:hint="eastAsia" w:ascii="仿宋_GB2312" w:hAnsi="黑体" w:eastAsia="仿宋_GB2312"/>
          <w:b/>
          <w:bCs w:val="0"/>
          <w:sz w:val="32"/>
          <w:szCs w:val="32"/>
          <w:highlight w:val="none"/>
        </w:rPr>
        <w:t>部门概况</w:t>
      </w:r>
    </w:p>
    <w:p w14:paraId="74E4453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0084A45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75FA76E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第二部分部门决算表</w:t>
      </w:r>
    </w:p>
    <w:p w14:paraId="72ADC19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6B3F758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523CE5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7B3E162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D43800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0E52051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50C3BA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6774D86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06B2E7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1075AB6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第三部分部门决算情况说明</w:t>
      </w:r>
    </w:p>
    <w:p w14:paraId="7E5578D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4E184C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2728A5A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0301F8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29D667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CB57FC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ED627DC">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0D27B8E9">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八、政府性基金预算收入支出决算情况说明</w:t>
      </w:r>
    </w:p>
    <w:p w14:paraId="6A04BC9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w:t>
      </w:r>
    </w:p>
    <w:p w14:paraId="040ADF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0A3E794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310432B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252CE8E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十三、关于国有资产占用情况说明</w:t>
      </w:r>
    </w:p>
    <w:p w14:paraId="17580AF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十四、关于预算绩效情况的说明</w:t>
      </w:r>
    </w:p>
    <w:p w14:paraId="639E72A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第四部分名词解释</w:t>
      </w:r>
    </w:p>
    <w:p w14:paraId="48F6A40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第五部分附件</w:t>
      </w:r>
    </w:p>
    <w:p w14:paraId="6539DCD8">
      <w:pPr>
        <w:jc w:val="center"/>
        <w:rPr>
          <w:sz w:val="72"/>
          <w:szCs w:val="72"/>
          <w:highlight w:val="none"/>
        </w:rPr>
      </w:pPr>
    </w:p>
    <w:p w14:paraId="20ACD873">
      <w:pPr>
        <w:jc w:val="center"/>
        <w:rPr>
          <w:sz w:val="72"/>
          <w:szCs w:val="72"/>
          <w:highlight w:val="none"/>
        </w:rPr>
      </w:pPr>
    </w:p>
    <w:p w14:paraId="066443F2">
      <w:pPr>
        <w:jc w:val="both"/>
        <w:rPr>
          <w:sz w:val="72"/>
          <w:szCs w:val="72"/>
          <w:highlight w:val="none"/>
        </w:rPr>
      </w:pPr>
    </w:p>
    <w:p w14:paraId="2E475752">
      <w:pPr>
        <w:rPr>
          <w:rFonts w:hint="eastAsia" w:ascii="方正小标宋_GBK" w:hAnsi="方正小标宋_GBK" w:eastAsia="方正小标宋_GBK" w:cs="方正小标宋_GBK"/>
          <w:sz w:val="72"/>
          <w:szCs w:val="72"/>
          <w:highlight w:val="none"/>
        </w:rPr>
      </w:pPr>
    </w:p>
    <w:p w14:paraId="1C095CBE">
      <w:pPr>
        <w:rPr>
          <w:rFonts w:hint="eastAsia" w:ascii="黑体" w:hAnsi="黑体" w:eastAsia="黑体" w:cs="黑体"/>
          <w:sz w:val="44"/>
          <w:szCs w:val="44"/>
          <w:highlight w:val="none"/>
        </w:rPr>
      </w:pPr>
      <w:r>
        <w:rPr>
          <w:rFonts w:hint="eastAsia" w:ascii="黑体" w:hAnsi="黑体" w:eastAsia="黑体" w:cs="黑体"/>
          <w:sz w:val="44"/>
          <w:szCs w:val="44"/>
          <w:highlight w:val="none"/>
        </w:rPr>
        <w:br w:type="page"/>
      </w:r>
    </w:p>
    <w:p w14:paraId="192E3377">
      <w:pPr>
        <w:pStyle w:val="13"/>
        <w:jc w:val="center"/>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rPr>
        <w:t>第一部分</w:t>
      </w:r>
    </w:p>
    <w:p w14:paraId="03D30CC1">
      <w:pPr>
        <w:pStyle w:val="13"/>
        <w:jc w:val="center"/>
        <w:rPr>
          <w:sz w:val="72"/>
          <w:szCs w:val="72"/>
          <w:highlight w:val="none"/>
        </w:rPr>
      </w:pPr>
      <w:r>
        <w:rPr>
          <w:rFonts w:hint="eastAsia" w:hAnsi="黑体" w:cs="黑体"/>
          <w:sz w:val="44"/>
          <w:szCs w:val="44"/>
          <w:highlight w:val="none"/>
          <w:lang w:eastAsia="zh-CN"/>
        </w:rPr>
        <w:t>中共怀化市纪律检查委员会</w:t>
      </w:r>
      <w:r>
        <w:rPr>
          <w:rFonts w:hint="eastAsia" w:ascii="黑体" w:hAnsi="黑体" w:eastAsia="黑体" w:cs="黑体"/>
          <w:sz w:val="44"/>
          <w:szCs w:val="44"/>
          <w:highlight w:val="none"/>
        </w:rPr>
        <w:t>概况</w:t>
      </w:r>
    </w:p>
    <w:p w14:paraId="391D218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黑体" w:hAnsi="黑体" w:eastAsia="黑体" w:cs="黑体"/>
          <w:sz w:val="32"/>
          <w:szCs w:val="32"/>
          <w:highlight w:val="none"/>
          <w:shd w:val="clear" w:fill="FFFFFF"/>
        </w:rPr>
      </w:pPr>
    </w:p>
    <w:p w14:paraId="45B1BF4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shd w:val="clear" w:fill="FFFFFF"/>
        </w:rPr>
        <w:t>一、</w:t>
      </w:r>
      <w:r>
        <w:rPr>
          <w:rFonts w:hint="eastAsia" w:ascii="黑体" w:hAnsi="黑体" w:eastAsia="黑体" w:cs="黑体"/>
          <w:caps w:val="0"/>
          <w:color w:val="auto"/>
          <w:sz w:val="32"/>
          <w:szCs w:val="32"/>
          <w:highlight w:val="none"/>
          <w:shd w:val="clear" w:fill="FFFFFF"/>
          <w:vertAlign w:val="baseline"/>
        </w:rPr>
        <w:t>部门职责</w:t>
      </w:r>
    </w:p>
    <w:p w14:paraId="2C71357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负责全市党的纪律检查工作。贯彻落实党中央、中央纪委、省委、省纪委和市委关于纪律检查工作的决定，维护党的章程和其他党内法规，检查党的路线方针政策和决议的执行情况，协助市委推进全面从严治党、加强党风建设和组织协调反腐败工作。</w:t>
      </w:r>
    </w:p>
    <w:p w14:paraId="21882A37">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依照党的章程和其他党内法规履行监督、执纪、问责职责。负责经常对党员进行遵守纪律的教育，作出关于维护党纪的决定；对市委工作部门、市委批准设立的党组（党委），各县市区党委、纪委等党的组织和市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14:paraId="3E07BBC2">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3、在市委领导下组织开展巡察工作。配合市委巡察工作领导小组指导县市区党委巡察工作。</w:t>
      </w:r>
    </w:p>
    <w:p w14:paraId="1426B60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4、负责全市监察工作。贯彻落实党中央、中央纪委国家监委、省委、省纪委省监委和市委关于监察工作的决定，维护宪法法律，依法对市委管理的行使公权力的公职人员进行监察，调查职务违法和职务犯罪，开展廉政建设和反腐败工作。</w:t>
      </w:r>
    </w:p>
    <w:p w14:paraId="0FFE5C85">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5、依照法律规定履行监督、调查、处置职责。推动开展廉政教育，对市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14:paraId="3864875C">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6、负责组织协调全市全面从严治党、党风廉政建设和反腐败宣传教育工作。</w:t>
      </w:r>
    </w:p>
    <w:p w14:paraId="1E130622">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7、负责综合分析全市全面从严治党、党风廉政建设和反腐败工作情况，对纪检监察工作重要理论及实践问题进行调查研究；起草制定或者修改本市纪检监察制度规定，参与起草制定本市相关法规和规范性文件。</w:t>
      </w:r>
    </w:p>
    <w:p w14:paraId="230A746D">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8、负责协调落实省纪委省监委交办的反腐败国际交流、合作等方面事宜；加强对全市反腐败国际追逃追赃和防逃工作的组织协调，督促有关单位做好相关工作。</w:t>
      </w:r>
    </w:p>
    <w:p w14:paraId="7514B267">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9、根据干部管理权限，负责全市纪检监察系统领导班子建设、干部队伍建设和组织建设的综合规划、政策研究、制度建设和业务指导；会同有关方面做好市纪委市监委派驻机构、县市区纪检监察机关、市管企业纪检监察机构、市属大中专院校纪检监察机构领导班子建设有关工作；组织和指导全市纪检监察系统干部教育培训工作等。</w:t>
      </w:r>
    </w:p>
    <w:p w14:paraId="018A002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10、完成省纪委省监委和市委交办的其他任务。</w:t>
      </w:r>
    </w:p>
    <w:p w14:paraId="062C6FB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黑体" w:hAnsi="黑体" w:eastAsia="黑体" w:cs="黑体"/>
          <w:sz w:val="32"/>
          <w:szCs w:val="32"/>
          <w:highlight w:val="none"/>
          <w:shd w:val="clear" w:fill="FFFFFF"/>
        </w:rPr>
      </w:pPr>
      <w:r>
        <w:rPr>
          <w:rFonts w:hint="eastAsia" w:ascii="黑体" w:hAnsi="黑体" w:eastAsia="黑体" w:cs="黑体"/>
          <w:sz w:val="32"/>
          <w:szCs w:val="32"/>
          <w:highlight w:val="none"/>
          <w:shd w:val="clear" w:fill="FFFFFF"/>
        </w:rPr>
        <w:t>二、机构设置及决算单位构成</w:t>
      </w:r>
    </w:p>
    <w:p w14:paraId="7876FD7A">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b/>
          <w:bCs/>
          <w:color w:val="000000"/>
          <w:kern w:val="0"/>
          <w:sz w:val="32"/>
          <w:szCs w:val="32"/>
          <w:highlight w:val="none"/>
        </w:rPr>
        <w:t>（一）内设机构设置。</w:t>
      </w:r>
      <w:r>
        <w:rPr>
          <w:rFonts w:hint="eastAsia" w:ascii="仿宋_GB2312" w:hAnsi="仿宋_GB2312" w:eastAsia="仿宋_GB2312" w:cs="仿宋_GB2312"/>
          <w:color w:val="000000"/>
          <w:kern w:val="0"/>
          <w:sz w:val="32"/>
          <w:szCs w:val="32"/>
          <w:highlight w:val="none"/>
          <w:lang w:val="en-US" w:eastAsia="zh-CN"/>
        </w:rPr>
        <w:t>怀化市纪律检查委员会作为一级部门预算单位，内设19个部室为：办公室、组织部、宣传部、调研法规室、党风政风监督室、信访室、案件监督管理室、第一至第五监督检查室、第六至第九审查调查室、案件审理室、纪检监察干部监督室、信息技术保障</w:t>
      </w:r>
      <w:r>
        <w:rPr>
          <w:rFonts w:hint="eastAsia" w:ascii="仿宋_GB2312" w:hAnsi="仿宋_GB2312" w:eastAsia="仿宋_GB2312" w:cs="仿宋_GB2312"/>
          <w:color w:val="000000"/>
          <w:kern w:val="0"/>
          <w:sz w:val="32"/>
          <w:szCs w:val="32"/>
          <w:highlight w:val="none"/>
        </w:rPr>
        <w:t>室；3个下属事业单位</w:t>
      </w:r>
      <w:r>
        <w:rPr>
          <w:rFonts w:hint="eastAsia" w:ascii="仿宋_GB2312" w:hAnsi="仿宋_GB2312" w:eastAsia="仿宋_GB2312" w:cs="仿宋_GB2312"/>
          <w:color w:val="000000"/>
          <w:kern w:val="0"/>
          <w:sz w:val="32"/>
          <w:szCs w:val="32"/>
          <w:highlight w:val="none"/>
          <w:lang w:eastAsia="zh-CN"/>
        </w:rPr>
        <w:t>（财务未独立核算）</w:t>
      </w:r>
      <w:r>
        <w:rPr>
          <w:rFonts w:hint="eastAsia" w:ascii="仿宋_GB2312" w:hAnsi="仿宋_GB2312" w:eastAsia="仿宋_GB2312" w:cs="仿宋_GB2312"/>
          <w:color w:val="000000"/>
          <w:kern w:val="0"/>
          <w:sz w:val="32"/>
          <w:szCs w:val="32"/>
          <w:highlight w:val="none"/>
        </w:rPr>
        <w:t>：怀化市反腐倡廉教育工作站、怀化市互联网+监督办公室、怀化市纪委信息中心；1个代管机构</w:t>
      </w:r>
      <w:r>
        <w:rPr>
          <w:rFonts w:hint="eastAsia" w:ascii="仿宋_GB2312" w:hAnsi="仿宋_GB2312" w:eastAsia="仿宋_GB2312" w:cs="仿宋_GB2312"/>
          <w:color w:val="000000"/>
          <w:kern w:val="0"/>
          <w:sz w:val="32"/>
          <w:szCs w:val="32"/>
          <w:highlight w:val="none"/>
          <w:lang w:eastAsia="zh-CN"/>
        </w:rPr>
        <w:t>（财务未独立核算）</w:t>
      </w:r>
      <w:r>
        <w:rPr>
          <w:rFonts w:hint="eastAsia" w:ascii="仿宋_GB2312" w:hAnsi="仿宋_GB2312" w:eastAsia="仿宋_GB2312" w:cs="仿宋_GB2312"/>
          <w:color w:val="000000"/>
          <w:kern w:val="0"/>
          <w:sz w:val="32"/>
          <w:szCs w:val="32"/>
          <w:highlight w:val="none"/>
        </w:rPr>
        <w:t>：怀化市委巡察办。</w:t>
      </w:r>
    </w:p>
    <w:p w14:paraId="18ED4DC7">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b/>
          <w:bCs/>
          <w:color w:val="000000"/>
          <w:kern w:val="0"/>
          <w:sz w:val="32"/>
          <w:szCs w:val="32"/>
          <w:highlight w:val="none"/>
        </w:rPr>
        <w:t>（二）决算单位构成。</w:t>
      </w:r>
      <w:r>
        <w:rPr>
          <w:rFonts w:hint="eastAsia" w:ascii="仿宋_GB2312" w:hAnsi="仿宋_GB2312" w:eastAsia="仿宋_GB2312" w:cs="仿宋_GB2312"/>
          <w:color w:val="000000"/>
          <w:kern w:val="0"/>
          <w:sz w:val="32"/>
          <w:szCs w:val="32"/>
          <w:highlight w:val="none"/>
          <w:lang w:val="en-US" w:eastAsia="zh-CN"/>
        </w:rPr>
        <w:t>怀化市纪律检查委员会2022年部门决算汇总公开单位构成包括怀化市纪律检查委员会本级。</w:t>
      </w:r>
    </w:p>
    <w:p w14:paraId="75A4DCAB">
      <w:pPr>
        <w:pStyle w:val="13"/>
        <w:jc w:val="center"/>
        <w:rPr>
          <w:rFonts w:hint="eastAsia" w:ascii="黑体" w:hAnsi="黑体" w:eastAsia="黑体" w:cs="黑体"/>
          <w:sz w:val="44"/>
          <w:szCs w:val="44"/>
          <w:highlight w:val="none"/>
        </w:rPr>
      </w:pPr>
    </w:p>
    <w:p w14:paraId="4827AEDC">
      <w:pPr>
        <w:pStyle w:val="13"/>
        <w:jc w:val="center"/>
        <w:rPr>
          <w:rFonts w:hint="eastAsia" w:ascii="黑体" w:hAnsi="黑体" w:eastAsia="黑体" w:cs="黑体"/>
          <w:sz w:val="44"/>
          <w:szCs w:val="44"/>
          <w:highlight w:val="none"/>
        </w:rPr>
      </w:pPr>
      <w:r>
        <w:rPr>
          <w:rFonts w:hint="eastAsia" w:ascii="黑体" w:hAnsi="黑体" w:eastAsia="黑体" w:cs="黑体"/>
          <w:sz w:val="44"/>
          <w:szCs w:val="44"/>
          <w:highlight w:val="none"/>
          <w:lang w:val="en-US" w:eastAsia="zh-CN"/>
        </w:rPr>
        <w:t>第二部分</w:t>
      </w:r>
      <w:r>
        <w:rPr>
          <w:rFonts w:hint="eastAsia" w:ascii="黑体" w:hAnsi="黑体" w:eastAsia="黑体" w:cs="黑体"/>
          <w:sz w:val="44"/>
          <w:szCs w:val="44"/>
          <w:highlight w:val="none"/>
        </w:rPr>
        <w:t>部门决算表</w:t>
      </w:r>
    </w:p>
    <w:p w14:paraId="16EFD3A8">
      <w:pPr>
        <w:pStyle w:val="13"/>
        <w:jc w:val="center"/>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lang w:eastAsia="zh-CN"/>
        </w:rPr>
        <w:t>（</w:t>
      </w:r>
      <w:r>
        <w:rPr>
          <w:rFonts w:hint="eastAsia" w:ascii="黑体" w:hAnsi="黑体" w:eastAsia="黑体" w:cs="黑体"/>
          <w:sz w:val="44"/>
          <w:szCs w:val="44"/>
          <w:highlight w:val="none"/>
        </w:rPr>
        <w:t>见附件</w:t>
      </w:r>
      <w:r>
        <w:rPr>
          <w:rFonts w:hint="eastAsia" w:ascii="黑体" w:hAnsi="黑体" w:eastAsia="黑体" w:cs="黑体"/>
          <w:sz w:val="44"/>
          <w:szCs w:val="44"/>
          <w:highlight w:val="none"/>
          <w:lang w:eastAsia="zh-CN"/>
        </w:rPr>
        <w:t>）</w:t>
      </w:r>
    </w:p>
    <w:p w14:paraId="023B3590">
      <w:pPr>
        <w:pStyle w:val="13"/>
        <w:jc w:val="both"/>
        <w:rPr>
          <w:rFonts w:hint="eastAsia" w:ascii="黑体" w:hAnsi="黑体" w:eastAsia="黑体" w:cs="黑体"/>
          <w:sz w:val="44"/>
          <w:szCs w:val="44"/>
          <w:highlight w:val="none"/>
        </w:rPr>
      </w:pPr>
    </w:p>
    <w:p w14:paraId="72A3A794">
      <w:pPr>
        <w:pStyle w:val="13"/>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68200C2E">
      <w:pPr>
        <w:pStyle w:val="13"/>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202</w:t>
      </w:r>
      <w:r>
        <w:rPr>
          <w:rFonts w:hint="eastAsia" w:ascii="黑体" w:hAnsi="黑体" w:eastAsia="黑体" w:cs="黑体"/>
          <w:sz w:val="44"/>
          <w:szCs w:val="44"/>
          <w:highlight w:val="none"/>
          <w:lang w:val="en-US" w:eastAsia="zh-CN"/>
        </w:rPr>
        <w:t>2</w:t>
      </w:r>
      <w:r>
        <w:rPr>
          <w:rFonts w:hint="eastAsia" w:ascii="黑体" w:hAnsi="黑体" w:eastAsia="黑体" w:cs="黑体"/>
          <w:sz w:val="44"/>
          <w:szCs w:val="44"/>
          <w:highlight w:val="none"/>
        </w:rPr>
        <w:t>年度部门决算情况说明</w:t>
      </w:r>
    </w:p>
    <w:p w14:paraId="3C4C5AB5">
      <w:pPr>
        <w:widowControl/>
        <w:jc w:val="left"/>
        <w:rPr>
          <w:rFonts w:hint="eastAsia" w:ascii="黑体" w:hAnsi="黑体" w:eastAsia="黑体" w:cs="黑体"/>
          <w:b w:val="0"/>
          <w:bCs/>
          <w:sz w:val="32"/>
          <w:szCs w:val="32"/>
          <w:highlight w:val="none"/>
        </w:rPr>
      </w:pPr>
    </w:p>
    <w:p w14:paraId="1FDA6363">
      <w:pPr>
        <w:widowControl/>
        <w:jc w:val="lef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1007F0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仿宋" w:hAnsi="仿宋" w:eastAsia="仿宋" w:cs="仿宋"/>
          <w:sz w:val="32"/>
          <w:szCs w:val="32"/>
          <w:highlight w:val="none"/>
        </w:rPr>
        <w:t>均为</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1342.47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12.81</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一是本年度</w:t>
      </w:r>
      <w:r>
        <w:rPr>
          <w:rFonts w:hint="eastAsia" w:ascii="Times New Roman" w:hAnsi="Times New Roman" w:eastAsia="仿宋_GB2312"/>
          <w:sz w:val="32"/>
          <w:szCs w:val="32"/>
          <w:highlight w:val="none"/>
          <w:lang w:val="en-US" w:eastAsia="zh-CN"/>
        </w:rPr>
        <w:t>8月新增“市纪委监委留置场所（垦新园）改扩建工程”</w:t>
      </w:r>
      <w:r>
        <w:rPr>
          <w:rFonts w:hint="eastAsia" w:ascii="Times New Roman" w:hAnsi="Times New Roman" w:eastAsia="仿宋_GB2312"/>
          <w:sz w:val="32"/>
          <w:szCs w:val="32"/>
          <w:highlight w:val="none"/>
          <w:lang w:eastAsia="zh-CN"/>
        </w:rPr>
        <w:t>；二是本年度增加纪检监察系统技术服务工程工作；三是增加村级巡察工作；四是增加清廉怀化建设工作。</w:t>
      </w:r>
    </w:p>
    <w:p w14:paraId="66ABF6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2CD246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p>
    <w:p w14:paraId="41567C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1A9EB6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4729.33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7092.22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60</w:t>
      </w:r>
      <w:r>
        <w:rPr>
          <w:rFonts w:hint="eastAsia" w:ascii="Times New Roman" w:hAnsi="Times New Roman" w:eastAsia="仿宋_GB2312"/>
          <w:sz w:val="32"/>
          <w:szCs w:val="32"/>
          <w:highlight w:val="none"/>
        </w:rPr>
        <w:t>%。</w:t>
      </w:r>
    </w:p>
    <w:p w14:paraId="030EAA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226060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仿宋" w:hAnsi="仿宋" w:eastAsia="仿宋" w:cs="仿宋"/>
          <w:sz w:val="32"/>
          <w:szCs w:val="32"/>
          <w:highlight w:val="none"/>
        </w:rPr>
        <w:t>均为</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1722.47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17.06</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一是本年度</w:t>
      </w:r>
      <w:r>
        <w:rPr>
          <w:rFonts w:hint="eastAsia" w:ascii="Times New Roman" w:hAnsi="Times New Roman" w:eastAsia="仿宋_GB2312"/>
          <w:sz w:val="32"/>
          <w:szCs w:val="32"/>
          <w:highlight w:val="none"/>
          <w:lang w:val="en-US" w:eastAsia="zh-CN"/>
        </w:rPr>
        <w:t>8月新增“市纪委监委留置场所（垦新园）改扩建工程”</w:t>
      </w:r>
      <w:r>
        <w:rPr>
          <w:rFonts w:hint="eastAsia" w:ascii="Times New Roman" w:hAnsi="Times New Roman" w:eastAsia="仿宋_GB2312"/>
          <w:sz w:val="32"/>
          <w:szCs w:val="32"/>
          <w:highlight w:val="none"/>
          <w:lang w:eastAsia="zh-CN"/>
        </w:rPr>
        <w:t>；二是本年度增加纪检监察系统技术服务工程工作；三是增加村级巡察工作；四是增加清廉怀化建设工作。</w:t>
      </w:r>
    </w:p>
    <w:p w14:paraId="3D899B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77B5FD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（一）财政拨款支出决算总体情况</w:t>
      </w:r>
    </w:p>
    <w:p w14:paraId="2120D5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2594.63</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28.12</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一是本年度</w:t>
      </w:r>
      <w:r>
        <w:rPr>
          <w:rFonts w:hint="eastAsia" w:ascii="Times New Roman" w:hAnsi="Times New Roman" w:eastAsia="仿宋_GB2312"/>
          <w:sz w:val="32"/>
          <w:szCs w:val="32"/>
          <w:highlight w:val="none"/>
          <w:lang w:val="en-US" w:eastAsia="zh-CN"/>
        </w:rPr>
        <w:t>8月新增“市纪委监委留置场所（垦新园）改扩建工程”</w:t>
      </w:r>
      <w:r>
        <w:rPr>
          <w:rFonts w:hint="eastAsia" w:ascii="Times New Roman" w:hAnsi="Times New Roman" w:eastAsia="仿宋_GB2312"/>
          <w:sz w:val="32"/>
          <w:szCs w:val="32"/>
          <w:highlight w:val="none"/>
          <w:lang w:eastAsia="zh-CN"/>
        </w:rPr>
        <w:t>；二是本年度增加纪检监察系统技术服务工程工作；三是增加村级巡察工作；四是增加清廉怀化建设工作。</w:t>
      </w:r>
    </w:p>
    <w:p w14:paraId="6FEE78F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（二）财政拨款支出决算结构情况</w:t>
      </w:r>
    </w:p>
    <w:p w14:paraId="3E128B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eastAsia="zh-CN"/>
        </w:rPr>
        <w:t>11321.20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95.77</w:t>
      </w:r>
      <w:r>
        <w:rPr>
          <w:rFonts w:hint="eastAsia" w:ascii="Times New Roman" w:hAnsi="Times New Roman" w:eastAsia="仿宋_GB2312"/>
          <w:sz w:val="32"/>
          <w:szCs w:val="32"/>
          <w:highlight w:val="none"/>
        </w:rPr>
        <w:t>%；</w:t>
      </w:r>
      <w:r>
        <w:rPr>
          <w:rFonts w:hint="eastAsia" w:asciiTheme="minorEastAsia" w:hAnsiTheme="minorEastAsia" w:eastAsiaTheme="minorEastAsia" w:cstheme="minorEastAsia"/>
          <w:sz w:val="32"/>
          <w:szCs w:val="32"/>
          <w:highlight w:val="none"/>
          <w:lang w:val="en-US" w:eastAsia="zh-CN"/>
        </w:rPr>
        <w:t>社会保障和就业（类）支出343.64万元，占2.91%；卫生健康（类）支出156.71万元，占1.32%</w:t>
      </w:r>
    </w:p>
    <w:p w14:paraId="415E1B8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Times New Roman" w:hAnsi="Times New Roman" w:eastAsia="仿宋_GB2312"/>
          <w:b/>
          <w:bCs/>
          <w:sz w:val="32"/>
          <w:szCs w:val="32"/>
          <w:highlight w:val="none"/>
        </w:rPr>
        <w:t>（三）财政拨款支出决算具体情况</w:t>
      </w:r>
    </w:p>
    <w:p w14:paraId="14875B7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9289.49</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11821.56</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127.26</w:t>
      </w:r>
      <w:r>
        <w:rPr>
          <w:rFonts w:hint="eastAsia" w:ascii="Times New Roman" w:hAnsi="Times New Roman" w:eastAsia="仿宋_GB2312"/>
          <w:sz w:val="32"/>
          <w:szCs w:val="32"/>
          <w:highlight w:val="none"/>
        </w:rPr>
        <w:t>%，其中：</w:t>
      </w:r>
    </w:p>
    <w:p w14:paraId="6323338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w:t>
      </w:r>
      <w:r>
        <w:rPr>
          <w:rFonts w:hint="eastAsia" w:ascii="Times New Roman" w:hAnsi="Times New Roman" w:eastAsia="仿宋_GB2312"/>
          <w:sz w:val="32"/>
          <w:szCs w:val="32"/>
          <w:highlight w:val="none"/>
          <w:lang w:eastAsia="zh-CN"/>
        </w:rPr>
        <w:t>纪检监察事务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p>
    <w:p w14:paraId="3E74755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3742.49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3523.70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94.15</w:t>
      </w:r>
      <w:r>
        <w:rPr>
          <w:rFonts w:hint="eastAsia" w:ascii="Times New Roman" w:hAnsi="Times New Roman" w:eastAsia="仿宋_GB2312"/>
          <w:sz w:val="32"/>
          <w:szCs w:val="32"/>
          <w:highlight w:val="none"/>
        </w:rPr>
        <w:t>%，决算数小</w:t>
      </w:r>
      <w:r>
        <w:rPr>
          <w:rFonts w:hint="eastAsia" w:ascii="Times New Roman" w:hAnsi="Times New Roman" w:eastAsia="仿宋_GB2312"/>
          <w:sz w:val="32"/>
          <w:szCs w:val="32"/>
          <w:highlight w:val="none"/>
          <w:lang w:eastAsia="zh-CN"/>
        </w:rPr>
        <w:t>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eastAsia="zh-CN"/>
        </w:rPr>
        <w:t>厉行节约，缩减开支</w:t>
      </w:r>
    </w:p>
    <w:p w14:paraId="670B018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w:t>
      </w:r>
      <w:r>
        <w:rPr>
          <w:rFonts w:hint="eastAsia" w:ascii="Times New Roman" w:hAnsi="Times New Roman" w:eastAsia="仿宋_GB2312"/>
          <w:sz w:val="32"/>
          <w:szCs w:val="32"/>
          <w:highlight w:val="none"/>
          <w:lang w:eastAsia="zh-CN"/>
        </w:rPr>
        <w:t>纪检监察事务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一般行政管理事务</w:t>
      </w:r>
      <w:r>
        <w:rPr>
          <w:rFonts w:hint="eastAsia" w:ascii="Times New Roman" w:hAnsi="Times New Roman" w:eastAsia="仿宋_GB2312"/>
          <w:sz w:val="32"/>
          <w:szCs w:val="32"/>
          <w:highlight w:val="none"/>
        </w:rPr>
        <w:t>（项）。</w:t>
      </w:r>
    </w:p>
    <w:p w14:paraId="6680C30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1507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1046.70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69.46</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一是厉行节约，缩减开支；二是“电子数据实验室”项目因“</w:t>
      </w:r>
      <w:r>
        <w:rPr>
          <w:rFonts w:hint="eastAsia" w:ascii="Times New Roman" w:hAnsi="Times New Roman" w:eastAsia="仿宋_GB2312"/>
          <w:sz w:val="32"/>
          <w:szCs w:val="32"/>
          <w:highlight w:val="none"/>
          <w:lang w:val="en-US" w:eastAsia="zh-CN"/>
        </w:rPr>
        <w:t>市纪委监委留置场所（垦新园）改扩建工程</w:t>
      </w:r>
      <w:r>
        <w:rPr>
          <w:rFonts w:hint="eastAsia" w:ascii="Times New Roman" w:hAnsi="Times New Roman" w:eastAsia="仿宋_GB2312"/>
          <w:sz w:val="32"/>
          <w:szCs w:val="32"/>
          <w:highlight w:val="none"/>
          <w:lang w:eastAsia="zh-CN"/>
        </w:rPr>
        <w:t>”暂停建设。</w:t>
      </w:r>
    </w:p>
    <w:p w14:paraId="1215261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eastAsia="zh-CN"/>
        </w:rPr>
        <w:t>纪检监察事务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大案要案查处</w:t>
      </w:r>
      <w:r>
        <w:rPr>
          <w:rFonts w:hint="eastAsia" w:ascii="Times New Roman" w:hAnsi="Times New Roman" w:eastAsia="仿宋_GB2312"/>
          <w:sz w:val="32"/>
          <w:szCs w:val="32"/>
          <w:highlight w:val="none"/>
        </w:rPr>
        <w:t>（项）。</w:t>
      </w:r>
    </w:p>
    <w:p w14:paraId="560F08B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3600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3562.58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98.96</w:t>
      </w:r>
      <w:r>
        <w:rPr>
          <w:rFonts w:hint="eastAsia" w:ascii="Times New Roman" w:hAnsi="Times New Roman" w:eastAsia="仿宋_GB2312"/>
          <w:sz w:val="32"/>
          <w:szCs w:val="32"/>
          <w:highlight w:val="none"/>
        </w:rPr>
        <w:t>%，决算数小</w:t>
      </w:r>
      <w:r>
        <w:rPr>
          <w:rFonts w:hint="eastAsia" w:ascii="Times New Roman" w:hAnsi="Times New Roman" w:eastAsia="仿宋_GB2312"/>
          <w:sz w:val="32"/>
          <w:szCs w:val="32"/>
          <w:highlight w:val="none"/>
          <w:lang w:eastAsia="zh-CN"/>
        </w:rPr>
        <w:t>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eastAsia="zh-CN"/>
        </w:rPr>
        <w:t>本年</w:t>
      </w:r>
      <w:r>
        <w:rPr>
          <w:rFonts w:hint="eastAsia" w:ascii="Times New Roman" w:hAnsi="Times New Roman" w:eastAsia="仿宋_GB2312"/>
          <w:sz w:val="32"/>
          <w:szCs w:val="32"/>
          <w:highlight w:val="none"/>
          <w:lang w:val="en-US" w:eastAsia="zh-CN"/>
        </w:rPr>
        <w:t>11-12月部分支出未及时报账。</w:t>
      </w:r>
    </w:p>
    <w:p w14:paraId="259E57B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eastAsia="zh-CN"/>
        </w:rPr>
        <w:t>纪检监察事务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巡视工作</w:t>
      </w:r>
      <w:r>
        <w:rPr>
          <w:rFonts w:hint="eastAsia" w:ascii="Times New Roman" w:hAnsi="Times New Roman" w:eastAsia="仿宋_GB2312"/>
          <w:sz w:val="32"/>
          <w:szCs w:val="32"/>
          <w:highlight w:val="none"/>
        </w:rPr>
        <w:t>（项）。</w:t>
      </w:r>
    </w:p>
    <w:p w14:paraId="33FD7A7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350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299.69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85.63</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年初预算车辆购置费50万元，因政策原因未执行。</w:t>
      </w:r>
    </w:p>
    <w:p w14:paraId="1ECF8A9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eastAsia="zh-CN"/>
        </w:rPr>
        <w:t>纪检监察事务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其他纪检监事务</w:t>
      </w:r>
      <w:r>
        <w:rPr>
          <w:rFonts w:hint="eastAsia" w:ascii="Times New Roman" w:hAnsi="Times New Roman" w:eastAsia="仿宋_GB2312"/>
          <w:sz w:val="32"/>
          <w:szCs w:val="32"/>
          <w:highlight w:val="none"/>
        </w:rPr>
        <w:t>（项）。</w:t>
      </w:r>
    </w:p>
    <w:p w14:paraId="5F9DC3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90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2881.13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3201.26</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大于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eastAsia="zh-CN"/>
        </w:rPr>
        <w:t>一是本年度</w:t>
      </w:r>
      <w:r>
        <w:rPr>
          <w:rFonts w:hint="eastAsia" w:ascii="Times New Roman" w:hAnsi="Times New Roman" w:eastAsia="仿宋_GB2312"/>
          <w:sz w:val="32"/>
          <w:szCs w:val="32"/>
          <w:highlight w:val="none"/>
          <w:lang w:val="en-US" w:eastAsia="zh-CN"/>
        </w:rPr>
        <w:t>8月新增“市纪委监委留置场所（垦新园）改扩建工程”</w:t>
      </w:r>
      <w:r>
        <w:rPr>
          <w:rFonts w:hint="eastAsia" w:ascii="Times New Roman" w:hAnsi="Times New Roman" w:eastAsia="仿宋_GB2312"/>
          <w:sz w:val="32"/>
          <w:szCs w:val="32"/>
          <w:highlight w:val="none"/>
          <w:lang w:eastAsia="zh-CN"/>
        </w:rPr>
        <w:t>；二是本年度增加纪检监察系统技术服务工程工作；三是增加村级巡察工作；四是增加清廉怀化建设工作。</w:t>
      </w:r>
    </w:p>
    <w:p w14:paraId="5AF5E3F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eastAsia="zh-CN"/>
        </w:rPr>
        <w:t>组织事务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一般组织事务支出</w:t>
      </w:r>
      <w:r>
        <w:rPr>
          <w:rFonts w:hint="eastAsia" w:ascii="Times New Roman" w:hAnsi="Times New Roman" w:eastAsia="仿宋_GB2312"/>
          <w:sz w:val="32"/>
          <w:szCs w:val="32"/>
          <w:highlight w:val="none"/>
        </w:rPr>
        <w:t>（项）。</w:t>
      </w:r>
    </w:p>
    <w:p w14:paraId="3FF0DCF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2.40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本年度执行人才引进，新增人才引进补贴费用。</w:t>
      </w:r>
    </w:p>
    <w:p w14:paraId="39E8E7D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eastAsia="zh-CN"/>
        </w:rPr>
        <w:t>财政事务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一般行政管理事务</w:t>
      </w:r>
      <w:r>
        <w:rPr>
          <w:rFonts w:hint="eastAsia" w:ascii="Times New Roman" w:hAnsi="Times New Roman" w:eastAsia="仿宋_GB2312"/>
          <w:sz w:val="32"/>
          <w:szCs w:val="32"/>
          <w:highlight w:val="none"/>
        </w:rPr>
        <w:t>（项）。</w:t>
      </w:r>
    </w:p>
    <w:p w14:paraId="7226F21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eastAsia="zh-CN"/>
        </w:rPr>
        <w:t>大于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eastAsia="zh-CN"/>
        </w:rPr>
        <w:t>财政下拨本年度非税收入征管补助经费。</w:t>
      </w:r>
    </w:p>
    <w:p w14:paraId="77E47D7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行政事业单位养老支出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机关事业单位基本养老保险缴费支出</w:t>
      </w:r>
      <w:r>
        <w:rPr>
          <w:rFonts w:hint="eastAsia" w:ascii="Times New Roman" w:hAnsi="Times New Roman" w:eastAsia="仿宋_GB2312"/>
          <w:sz w:val="32"/>
          <w:szCs w:val="32"/>
          <w:highlight w:val="none"/>
        </w:rPr>
        <w:t>（项）。</w:t>
      </w:r>
    </w:p>
    <w:p w14:paraId="74DF889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295.02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本项目在年初时财政未例入预算项目。</w:t>
      </w:r>
    </w:p>
    <w:p w14:paraId="3DE8A31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行政事业单位养老支出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其他行政事业单位养老支出</w:t>
      </w:r>
      <w:r>
        <w:rPr>
          <w:rFonts w:hint="eastAsia" w:ascii="Times New Roman" w:hAnsi="Times New Roman" w:eastAsia="仿宋_GB2312"/>
          <w:sz w:val="32"/>
          <w:szCs w:val="32"/>
          <w:highlight w:val="none"/>
        </w:rPr>
        <w:t>（项）。</w:t>
      </w:r>
    </w:p>
    <w:p w14:paraId="23F507A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48.63</w:t>
      </w:r>
      <w:r>
        <w:rPr>
          <w:rFonts w:hint="eastAsia" w:ascii="Times New Roman" w:hAnsi="Times New Roman" w:eastAsia="仿宋_GB2312"/>
          <w:sz w:val="32"/>
          <w:szCs w:val="32"/>
          <w:highlight w:val="none"/>
        </w:rPr>
        <w:t>万元，决算数年初预算数的主要原因是：</w:t>
      </w:r>
      <w:r>
        <w:rPr>
          <w:rFonts w:hint="eastAsia" w:ascii="Times New Roman" w:hAnsi="Times New Roman" w:eastAsia="仿宋_GB2312"/>
          <w:sz w:val="32"/>
          <w:szCs w:val="32"/>
          <w:highlight w:val="none"/>
          <w:lang w:eastAsia="zh-CN"/>
        </w:rPr>
        <w:t>本项目在年初时财政未例入预算项目。</w:t>
      </w:r>
    </w:p>
    <w:p w14:paraId="7CA00CD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卫生健康支出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公共卫生</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突发公共卫生应急处理</w:t>
      </w:r>
      <w:r>
        <w:rPr>
          <w:rFonts w:hint="eastAsia" w:ascii="Times New Roman" w:hAnsi="Times New Roman" w:eastAsia="仿宋_GB2312"/>
          <w:sz w:val="32"/>
          <w:szCs w:val="32"/>
          <w:highlight w:val="none"/>
        </w:rPr>
        <w:t>（项）。</w:t>
      </w:r>
    </w:p>
    <w:p w14:paraId="31EC3D6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本年度突发疫情增加支出。</w:t>
      </w:r>
    </w:p>
    <w:p w14:paraId="7BB1BC49">
      <w:pPr>
        <w:pStyle w:val="13"/>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卫生健康支出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行政事业单位医疗（款）行政单位医疗（项）。</w:t>
      </w:r>
    </w:p>
    <w:p w14:paraId="2B89CFC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147.51</w:t>
      </w:r>
      <w:r>
        <w:rPr>
          <w:rFonts w:hint="eastAsia" w:ascii="Times New Roman" w:hAnsi="Times New Roman" w:eastAsia="仿宋_GB2312"/>
          <w:sz w:val="32"/>
          <w:szCs w:val="32"/>
          <w:highlight w:val="none"/>
        </w:rPr>
        <w:t>万元，决算数年初预算数的主要原因是：</w:t>
      </w:r>
      <w:r>
        <w:rPr>
          <w:rFonts w:hint="eastAsia" w:ascii="Times New Roman" w:hAnsi="Times New Roman" w:eastAsia="仿宋_GB2312"/>
          <w:sz w:val="32"/>
          <w:szCs w:val="32"/>
          <w:highlight w:val="none"/>
          <w:lang w:eastAsia="zh-CN"/>
        </w:rPr>
        <w:t>本项目在年初时财政未例入预算项目。</w:t>
      </w:r>
    </w:p>
    <w:p w14:paraId="3E4E3F04">
      <w:pPr>
        <w:pStyle w:val="13"/>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卫生健康支出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行政事业单位医疗（款）其他行政事业单位医疗支出（项）。</w:t>
      </w:r>
    </w:p>
    <w:p w14:paraId="4EE81FE1">
      <w:pPr>
        <w:pStyle w:val="13"/>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1.20</w:t>
      </w:r>
      <w:r>
        <w:rPr>
          <w:rFonts w:hint="eastAsia" w:ascii="Times New Roman" w:hAnsi="Times New Roman" w:eastAsia="仿宋_GB2312"/>
          <w:sz w:val="32"/>
          <w:szCs w:val="32"/>
          <w:highlight w:val="none"/>
        </w:rPr>
        <w:t>万元，决算数年初预算数的主要原因是：</w:t>
      </w:r>
      <w:r>
        <w:rPr>
          <w:rFonts w:hint="eastAsia" w:ascii="Times New Roman" w:hAnsi="Times New Roman" w:eastAsia="仿宋_GB2312"/>
          <w:sz w:val="32"/>
          <w:szCs w:val="32"/>
          <w:highlight w:val="none"/>
          <w:lang w:eastAsia="zh-CN"/>
        </w:rPr>
        <w:t>本项目在年初时财政未例入预算项目。</w:t>
      </w:r>
    </w:p>
    <w:p w14:paraId="795EC2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596CC5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4729.33</w:t>
      </w:r>
      <w:r>
        <w:rPr>
          <w:rFonts w:hint="eastAsia" w:ascii="Times New Roman" w:hAnsi="Times New Roman" w:eastAsia="仿宋_GB2312"/>
          <w:sz w:val="32"/>
          <w:szCs w:val="32"/>
          <w:highlight w:val="none"/>
        </w:rPr>
        <w:t>万元，其中：</w:t>
      </w:r>
    </w:p>
    <w:p w14:paraId="7105C0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4010.53</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84.80</w:t>
      </w:r>
      <w:r>
        <w:rPr>
          <w:rFonts w:hint="eastAsia" w:ascii="Times New Roman" w:hAnsi="Times New Roman" w:eastAsia="仿宋_GB2312"/>
          <w:sz w:val="32"/>
          <w:szCs w:val="32"/>
          <w:highlight w:val="none"/>
        </w:rPr>
        <w:t>%,主要包括基本工资、津贴补贴、奖金、</w:t>
      </w:r>
      <w:r>
        <w:rPr>
          <w:rFonts w:hint="eastAsia" w:ascii="Times New Roman" w:hAnsi="Times New Roman" w:eastAsia="仿宋_GB2312"/>
          <w:sz w:val="32"/>
          <w:szCs w:val="32"/>
          <w:highlight w:val="none"/>
          <w:lang w:eastAsia="zh-CN"/>
        </w:rPr>
        <w:t>机关事业单位基本养老保险缴费、其他工资福利支出、退休费、生活补贴、抚恤金、救济费、其他对个人和家族的补助支出。</w:t>
      </w:r>
    </w:p>
    <w:p w14:paraId="036FAB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sz w:val="32"/>
          <w:szCs w:val="32"/>
          <w:highlight w:val="none"/>
          <w:lang w:val="en-US" w:eastAsia="zh-CN"/>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718.81</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15.20</w:t>
      </w:r>
      <w:r>
        <w:rPr>
          <w:rFonts w:hint="eastAsia" w:ascii="Times New Roman" w:hAnsi="Times New Roman" w:eastAsia="仿宋_GB2312"/>
          <w:sz w:val="32"/>
          <w:szCs w:val="32"/>
          <w:highlight w:val="none"/>
        </w:rPr>
        <w:t>%，主要包括办公费、印刷费、</w:t>
      </w:r>
      <w:r>
        <w:rPr>
          <w:rFonts w:hint="eastAsia" w:ascii="Times New Roman" w:hAnsi="Times New Roman" w:eastAsia="仿宋_GB2312"/>
          <w:sz w:val="32"/>
          <w:szCs w:val="32"/>
          <w:highlight w:val="none"/>
          <w:lang w:eastAsia="zh-CN"/>
        </w:rPr>
        <w:t>电费、物业管理费、差旅费、维修（护）费、会议费、培训费、公务接待费、劳务费、工会经费、福利费、公务用车运行维护费、其他交通费、其他商品和服务支出等。</w:t>
      </w:r>
    </w:p>
    <w:p w14:paraId="34F8FB9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283AFC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（一）“三公”经费财政拨款支出决算总体情况说明</w:t>
      </w:r>
    </w:p>
    <w:p w14:paraId="66CC8E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210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96.99</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46.19</w:t>
      </w:r>
      <w:r>
        <w:rPr>
          <w:rFonts w:hint="eastAsia" w:ascii="Times New Roman" w:hAnsi="Times New Roman" w:eastAsia="仿宋_GB2312"/>
          <w:sz w:val="32"/>
          <w:szCs w:val="32"/>
          <w:highlight w:val="none"/>
        </w:rPr>
        <w:t>%，决算数小于预算数的主要原因是落实过“紧日子”要求，严格执行开支标准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91.06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下降48.42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减少的主要原因是落实过“紧日子”要求，严格执行开支标准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。其中：</w:t>
      </w:r>
    </w:p>
    <w:p w14:paraId="78B3DD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万元，预算决算金额均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是单位未</w:t>
      </w:r>
      <w:r>
        <w:rPr>
          <w:rFonts w:hint="eastAsia" w:ascii="Times New Roman" w:hAnsi="Times New Roman" w:eastAsia="仿宋_GB2312"/>
          <w:sz w:val="32"/>
          <w:szCs w:val="32"/>
          <w:highlight w:val="none"/>
        </w:rPr>
        <w:t>因公出国（境），</w:t>
      </w:r>
      <w:r>
        <w:rPr>
          <w:rFonts w:hint="eastAsia" w:ascii="Times New Roman" w:hAnsi="Times New Roman" w:eastAsia="仿宋_GB2312"/>
          <w:sz w:val="32"/>
          <w:szCs w:val="32"/>
          <w:highlight w:val="none"/>
          <w:lang w:val="en-US" w:eastAsia="zh-CN"/>
        </w:rPr>
        <w:t>与上年相比持平均为0万元，</w:t>
      </w:r>
      <w:r>
        <w:rPr>
          <w:rFonts w:hint="eastAsia" w:ascii="Times New Roman" w:hAnsi="Times New Roman" w:eastAsia="仿宋_GB2312"/>
          <w:sz w:val="32"/>
          <w:szCs w:val="32"/>
          <w:highlight w:val="none"/>
        </w:rPr>
        <w:t>无法计算完成百分比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主要原因是单位未</w:t>
      </w:r>
      <w:r>
        <w:rPr>
          <w:rFonts w:hint="eastAsia" w:ascii="Times New Roman" w:hAnsi="Times New Roman" w:eastAsia="仿宋_GB2312"/>
          <w:sz w:val="32"/>
          <w:szCs w:val="32"/>
          <w:highlight w:val="none"/>
        </w:rPr>
        <w:t>因公出国（境）。</w:t>
      </w:r>
    </w:p>
    <w:p w14:paraId="0169A7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1.89</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9.45</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eastAsia="zh-CN"/>
        </w:rPr>
        <w:t>厉行节约</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缩减支出，</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2.54</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57.34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厉行节约</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缩减支出</w:t>
      </w:r>
      <w:r>
        <w:rPr>
          <w:rFonts w:hint="eastAsia" w:ascii="Times New Roman" w:hAnsi="Times New Roman" w:eastAsia="仿宋_GB2312"/>
          <w:sz w:val="32"/>
          <w:szCs w:val="32"/>
          <w:highlight w:val="none"/>
        </w:rPr>
        <w:t>。</w:t>
      </w:r>
    </w:p>
    <w:p w14:paraId="20ABC60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70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万元，决算数小于预算数的主要原因是</w:t>
      </w:r>
      <w:r>
        <w:rPr>
          <w:rFonts w:hint="eastAsia" w:ascii="Times New Roman" w:hAnsi="Times New Roman" w:eastAsia="仿宋_GB2312"/>
          <w:sz w:val="32"/>
          <w:szCs w:val="32"/>
          <w:highlight w:val="none"/>
          <w:lang w:eastAsia="zh-CN"/>
        </w:rPr>
        <w:t>根据政策规定，本年度不能换购（置）车辆</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70</w:t>
      </w:r>
      <w:r>
        <w:rPr>
          <w:rFonts w:hint="eastAsia" w:ascii="Times New Roman" w:hAnsi="Times New Roman" w:eastAsia="仿宋_GB2312"/>
          <w:sz w:val="32"/>
          <w:szCs w:val="32"/>
          <w:highlight w:val="none"/>
        </w:rPr>
        <w:t>万元，减少的主要原因</w:t>
      </w:r>
      <w:r>
        <w:rPr>
          <w:rFonts w:hint="eastAsia" w:ascii="Times New Roman" w:hAnsi="Times New Roman" w:eastAsia="仿宋_GB2312"/>
          <w:sz w:val="32"/>
          <w:szCs w:val="32"/>
          <w:highlight w:val="none"/>
          <w:lang w:eastAsia="zh-CN"/>
        </w:rPr>
        <w:t>根据政策规定，本年度不能换购（置）车辆</w:t>
      </w:r>
      <w:r>
        <w:rPr>
          <w:rFonts w:hint="eastAsia" w:ascii="Times New Roman" w:hAnsi="Times New Roman" w:eastAsia="仿宋_GB2312"/>
          <w:sz w:val="32"/>
          <w:szCs w:val="32"/>
          <w:highlight w:val="none"/>
        </w:rPr>
        <w:t>。</w:t>
      </w:r>
    </w:p>
    <w:p w14:paraId="62DA23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120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95.10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79.25</w:t>
      </w:r>
      <w:r>
        <w:rPr>
          <w:rFonts w:hint="eastAsia" w:ascii="Times New Roman" w:hAnsi="Times New Roman" w:eastAsia="仿宋_GB2312"/>
          <w:sz w:val="32"/>
          <w:szCs w:val="32"/>
          <w:highlight w:val="none"/>
        </w:rPr>
        <w:t>%，决算数小于预算数的主要原因</w:t>
      </w:r>
      <w:r>
        <w:rPr>
          <w:rFonts w:hint="eastAsia" w:ascii="Times New Roman" w:hAnsi="Times New Roman" w:eastAsia="仿宋_GB2312"/>
          <w:sz w:val="32"/>
          <w:szCs w:val="32"/>
          <w:highlight w:val="none"/>
          <w:lang w:eastAsia="zh-CN"/>
        </w:rPr>
        <w:t>厉行节约</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缩减支出</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18.52</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16.30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w:t>
      </w:r>
      <w:r>
        <w:rPr>
          <w:rFonts w:hint="eastAsia" w:ascii="Times New Roman" w:hAnsi="Times New Roman" w:eastAsia="仿宋_GB2312"/>
          <w:sz w:val="32"/>
          <w:szCs w:val="32"/>
          <w:highlight w:val="none"/>
          <w:lang w:eastAsia="zh-CN"/>
        </w:rPr>
        <w:t>是厉行节约</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缩减支出</w:t>
      </w:r>
      <w:r>
        <w:rPr>
          <w:rFonts w:hint="eastAsia" w:ascii="Times New Roman" w:hAnsi="Times New Roman" w:eastAsia="仿宋_GB2312"/>
          <w:sz w:val="32"/>
          <w:szCs w:val="32"/>
          <w:highlight w:val="none"/>
        </w:rPr>
        <w:t>。</w:t>
      </w:r>
    </w:p>
    <w:p w14:paraId="4B7D6B2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（二）“三公”经费财政拨款支出决算具体情况说明</w:t>
      </w:r>
    </w:p>
    <w:p w14:paraId="5F5BF39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1.89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1.95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万元，公务用车购置费及运行维护费支出决算</w:t>
      </w:r>
      <w:r>
        <w:rPr>
          <w:rFonts w:hint="eastAsia" w:ascii="Times New Roman" w:hAnsi="Times New Roman" w:eastAsia="仿宋_GB2312"/>
          <w:sz w:val="32"/>
          <w:szCs w:val="32"/>
          <w:highlight w:val="none"/>
          <w:lang w:val="en-US" w:eastAsia="zh-CN"/>
        </w:rPr>
        <w:t>95.10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98.05</w:t>
      </w:r>
      <w:r>
        <w:rPr>
          <w:rFonts w:hint="eastAsia" w:ascii="Times New Roman" w:hAnsi="Times New Roman" w:eastAsia="仿宋_GB2312"/>
          <w:sz w:val="32"/>
          <w:szCs w:val="32"/>
          <w:highlight w:val="none"/>
        </w:rPr>
        <w:t>%。其中：</w:t>
      </w:r>
    </w:p>
    <w:p w14:paraId="6F14AEA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lang w:eastAsia="zh-CN"/>
        </w:rPr>
        <w:t>因公出国（境）费支出决算为0万元，全年安排因公出国（境）团组0个，累计</w:t>
      </w:r>
      <w:bookmarkStart w:id="0" w:name="THERR_YGCGJFY_TZRS"/>
      <w:r>
        <w:rPr>
          <w:rFonts w:hint="eastAsia" w:ascii="Times New Roman" w:hAnsi="Times New Roman" w:eastAsia="仿宋_GB2312"/>
          <w:sz w:val="32"/>
          <w:szCs w:val="32"/>
          <w:highlight w:val="none"/>
          <w:lang w:eastAsia="zh-CN"/>
        </w:rPr>
        <w:t>0</w:t>
      </w:r>
      <w:bookmarkEnd w:id="0"/>
      <w:r>
        <w:rPr>
          <w:rFonts w:hint="eastAsia" w:ascii="Times New Roman" w:hAnsi="Times New Roman" w:eastAsia="仿宋_GB2312"/>
          <w:sz w:val="32"/>
          <w:szCs w:val="32"/>
          <w:highlight w:val="none"/>
          <w:lang w:eastAsia="zh-CN"/>
        </w:rPr>
        <w:t>人次，主要是</w:t>
      </w:r>
      <w:bookmarkStart w:id="1" w:name="THERR_YGCGJFY_ZYYY"/>
      <w:r>
        <w:rPr>
          <w:rFonts w:hint="eastAsia" w:ascii="Times New Roman" w:hAnsi="Times New Roman" w:eastAsia="仿宋_GB2312"/>
          <w:sz w:val="32"/>
          <w:szCs w:val="32"/>
          <w:highlight w:val="none"/>
          <w:lang w:eastAsia="zh-CN"/>
        </w:rPr>
        <w:t>2022年我单位没有因公出国（境）费支出</w:t>
      </w:r>
      <w:bookmarkEnd w:id="1"/>
      <w:bookmarkStart w:id="2" w:name="END_THERR_YGCGJFY_AMT"/>
      <w:bookmarkEnd w:id="2"/>
      <w:r>
        <w:rPr>
          <w:rFonts w:hint="eastAsia" w:ascii="Times New Roman" w:hAnsi="Times New Roman" w:eastAsia="仿宋_GB2312"/>
          <w:sz w:val="32"/>
          <w:szCs w:val="32"/>
          <w:highlight w:val="none"/>
          <w:lang w:eastAsia="zh-CN"/>
        </w:rPr>
        <w:t>。</w:t>
      </w:r>
    </w:p>
    <w:p w14:paraId="7A6D93E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1.89</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37</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257</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eastAsia="zh-CN"/>
        </w:rPr>
        <w:t>省、县市区来人联系业务</w:t>
      </w:r>
      <w:r>
        <w:rPr>
          <w:rFonts w:hint="eastAsia" w:ascii="Times New Roman" w:hAnsi="Times New Roman" w:eastAsia="仿宋_GB2312"/>
          <w:sz w:val="32"/>
          <w:szCs w:val="32"/>
          <w:highlight w:val="none"/>
        </w:rPr>
        <w:t>发生的接待支出</w:t>
      </w:r>
      <w:r>
        <w:rPr>
          <w:rFonts w:hint="eastAsia" w:ascii="Times New Roman" w:hAnsi="Times New Roman" w:eastAsia="仿宋_GB2312"/>
          <w:sz w:val="32"/>
          <w:szCs w:val="32"/>
          <w:highlight w:val="none"/>
          <w:lang w:eastAsia="zh-CN"/>
        </w:rPr>
        <w:t>及加班餐费支出</w:t>
      </w:r>
      <w:r>
        <w:rPr>
          <w:rFonts w:hint="eastAsia" w:ascii="Times New Roman" w:hAnsi="Times New Roman" w:eastAsia="仿宋_GB2312"/>
          <w:sz w:val="32"/>
          <w:szCs w:val="32"/>
          <w:highlight w:val="none"/>
        </w:rPr>
        <w:t>。</w:t>
      </w:r>
    </w:p>
    <w:p w14:paraId="18A69B97">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95.10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bidi="ar-SA"/>
        </w:rPr>
        <w:t>更新公务用车0辆</w:t>
      </w:r>
      <w:bookmarkStart w:id="16" w:name="_GoBack"/>
      <w:bookmarkEnd w:id="16"/>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95.10</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eastAsia="zh-CN"/>
        </w:rPr>
        <w:t>按规定保留的办案用车的燃料费、维修费、过桥过路费、保险费等</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21</w:t>
      </w:r>
      <w:r>
        <w:rPr>
          <w:rFonts w:hint="eastAsia" w:ascii="Times New Roman" w:hAnsi="Times New Roman" w:eastAsia="仿宋_GB2312"/>
          <w:sz w:val="32"/>
          <w:szCs w:val="32"/>
          <w:highlight w:val="none"/>
        </w:rPr>
        <w:t>辆。</w:t>
      </w:r>
    </w:p>
    <w:p w14:paraId="755A6A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55994F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eastAsia="zh-CN"/>
        </w:rPr>
        <w:t>本单位无</w:t>
      </w:r>
      <w:r>
        <w:rPr>
          <w:rFonts w:hint="eastAsia" w:ascii="Times New Roman" w:hAnsi="Times New Roman" w:eastAsia="仿宋_GB2312"/>
          <w:sz w:val="32"/>
          <w:szCs w:val="32"/>
          <w:highlight w:val="none"/>
        </w:rPr>
        <w:t>政府性基金预算</w:t>
      </w:r>
      <w:r>
        <w:rPr>
          <w:rFonts w:hint="eastAsia" w:ascii="Times New Roman" w:hAnsi="Times New Roman" w:eastAsia="仿宋_GB2312"/>
          <w:sz w:val="32"/>
          <w:szCs w:val="32"/>
          <w:highlight w:val="none"/>
          <w:lang w:eastAsia="zh-CN"/>
        </w:rPr>
        <w:t>收支。</w:t>
      </w:r>
    </w:p>
    <w:p w14:paraId="6E37DE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eastAsia="zh-CN"/>
        </w:rPr>
      </w:pPr>
      <w:r>
        <w:rPr>
          <w:rFonts w:hint="eastAsia" w:ascii="Times New Roman" w:hAnsi="Times New Roman" w:eastAsia="仿宋_GB2312"/>
          <w:b/>
          <w:bCs/>
          <w:sz w:val="32"/>
          <w:szCs w:val="32"/>
          <w:highlight w:val="none"/>
          <w:lang w:eastAsia="zh-CN"/>
        </w:rPr>
        <w:t>九、国有资本经营预算财政拨款支出决算情况</w:t>
      </w:r>
    </w:p>
    <w:p w14:paraId="1BBD05E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eastAsia="zh-CN"/>
        </w:rPr>
        <w:t>本单位无国有资本经营预算财政拨款支出。</w:t>
      </w:r>
    </w:p>
    <w:p w14:paraId="2FDCA5C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eastAsia="zh-CN"/>
        </w:rPr>
        <w:t>十</w:t>
      </w:r>
      <w:r>
        <w:rPr>
          <w:rFonts w:hint="eastAsia" w:ascii="Times New Roman" w:hAnsi="Times New Roman" w:eastAsia="仿宋_GB2312"/>
          <w:b/>
          <w:sz w:val="32"/>
          <w:szCs w:val="32"/>
          <w:highlight w:val="none"/>
        </w:rPr>
        <w:t>、关于机关运行经费支出说明</w:t>
      </w:r>
    </w:p>
    <w:p w14:paraId="0D7908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718.81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比年初预算数增加</w:t>
      </w:r>
      <w:r>
        <w:rPr>
          <w:rFonts w:hint="eastAsia" w:ascii="Times New Roman" w:hAnsi="Times New Roman" w:eastAsia="仿宋_GB2312"/>
          <w:sz w:val="32"/>
          <w:szCs w:val="32"/>
          <w:highlight w:val="none"/>
          <w:lang w:val="en-US" w:eastAsia="zh-CN"/>
        </w:rPr>
        <w:t>104.41</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16.99</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机关运行经费中包含本单位人员工资中车补支出</w:t>
      </w:r>
      <w:r>
        <w:rPr>
          <w:rFonts w:hint="eastAsia" w:ascii="Times New Roman" w:hAnsi="Times New Roman" w:eastAsia="仿宋_GB2312"/>
          <w:sz w:val="32"/>
          <w:szCs w:val="32"/>
          <w:highlight w:val="none"/>
        </w:rPr>
        <w:t>。</w:t>
      </w:r>
    </w:p>
    <w:p w14:paraId="34E8FA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一</w:t>
      </w:r>
      <w:r>
        <w:rPr>
          <w:rFonts w:hint="eastAsia" w:ascii="黑体" w:hAnsi="黑体" w:eastAsia="黑体" w:cs="黑体"/>
          <w:b w:val="0"/>
          <w:bCs/>
          <w:sz w:val="32"/>
          <w:szCs w:val="32"/>
          <w:highlight w:val="none"/>
        </w:rPr>
        <w:t>、一般性支出情况说明</w:t>
      </w:r>
    </w:p>
    <w:p w14:paraId="5CA1736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w:t>
      </w:r>
    </w:p>
    <w:p w14:paraId="1C678F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w:t>
      </w:r>
      <w:r>
        <w:rPr>
          <w:rFonts w:hint="eastAsia" w:ascii="仿宋" w:hAnsi="仿宋" w:eastAsia="仿宋"/>
          <w:sz w:val="32"/>
          <w:szCs w:val="32"/>
          <w:highlight w:val="none"/>
        </w:rPr>
        <w:t>开支培训费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w:t>
      </w:r>
    </w:p>
    <w:p w14:paraId="0F8EB3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w:t>
      </w:r>
      <w:r>
        <w:rPr>
          <w:rFonts w:hint="eastAsia" w:ascii="Times New Roman" w:hAnsi="Times New Roman" w:eastAsia="仿宋_GB2312"/>
          <w:sz w:val="32"/>
          <w:szCs w:val="32"/>
          <w:highlight w:val="none"/>
          <w:lang w:eastAsia="zh-CN"/>
        </w:rPr>
        <w:t>未</w:t>
      </w:r>
      <w:r>
        <w:rPr>
          <w:rFonts w:hint="eastAsia" w:ascii="Times New Roman" w:hAnsi="Times New Roman" w:eastAsia="仿宋_GB2312"/>
          <w:sz w:val="32"/>
          <w:szCs w:val="32"/>
          <w:highlight w:val="none"/>
        </w:rPr>
        <w:t>举办节庆、晚会、论坛、赛事</w:t>
      </w:r>
      <w:r>
        <w:rPr>
          <w:rFonts w:hint="eastAsia" w:ascii="Times New Roman" w:hAnsi="Times New Roman" w:eastAsia="仿宋_GB2312"/>
          <w:sz w:val="32"/>
          <w:szCs w:val="32"/>
          <w:highlight w:val="none"/>
          <w:lang w:eastAsia="zh-CN"/>
        </w:rPr>
        <w:t>等</w:t>
      </w:r>
      <w:r>
        <w:rPr>
          <w:rFonts w:hint="eastAsia" w:ascii="Times New Roman" w:hAnsi="Times New Roman" w:eastAsia="仿宋_GB2312"/>
          <w:sz w:val="32"/>
          <w:szCs w:val="32"/>
          <w:highlight w:val="none"/>
        </w:rPr>
        <w:t>活动。</w:t>
      </w:r>
    </w:p>
    <w:p w14:paraId="43EA30D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二</w:t>
      </w:r>
      <w:r>
        <w:rPr>
          <w:rFonts w:hint="eastAsia" w:ascii="黑体" w:hAnsi="黑体" w:eastAsia="黑体" w:cs="黑体"/>
          <w:b w:val="0"/>
          <w:bCs/>
          <w:sz w:val="32"/>
          <w:szCs w:val="32"/>
          <w:highlight w:val="none"/>
        </w:rPr>
        <w:t>、关于政府采购支出说明</w:t>
      </w:r>
    </w:p>
    <w:p w14:paraId="1432BEC6">
      <w:pPr>
        <w:ind w:firstLine="640" w:firstLineChars="200"/>
        <w:rPr>
          <w:rFonts w:hint="eastAsia" w:ascii="Times New Roman" w:hAnsi="Times New Roman" w:eastAsia="仿宋_GB2312"/>
          <w:sz w:val="32"/>
          <w:szCs w:val="32"/>
          <w:highlight w:val="none"/>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年度政府采购支出总额</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万元，其中：政府采购货物支出</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万元、政府采购工程支出</w:t>
      </w:r>
      <w:r>
        <w:rPr>
          <w:rFonts w:hint="default" w:ascii="仿宋_GB2312" w:hAnsi="仿宋_GB2312" w:eastAsia="仿宋_GB2312"/>
          <w:sz w:val="32"/>
          <w:szCs w:val="32"/>
        </w:rPr>
        <w:t>0</w:t>
      </w:r>
      <w:r>
        <w:rPr>
          <w:rFonts w:hint="eastAsia" w:ascii="仿宋_GB2312" w:hAnsi="仿宋_GB2312" w:eastAsia="仿宋_GB2312"/>
          <w:sz w:val="32"/>
          <w:szCs w:val="32"/>
        </w:rPr>
        <w:t>万元、政府采购服务支出</w:t>
      </w:r>
      <w:r>
        <w:rPr>
          <w:rFonts w:hint="default" w:ascii="仿宋_GB2312" w:hAnsi="仿宋_GB2312" w:eastAsia="仿宋_GB2312"/>
          <w:sz w:val="32"/>
          <w:szCs w:val="32"/>
        </w:rPr>
        <w:t>0</w:t>
      </w:r>
      <w:r>
        <w:rPr>
          <w:rFonts w:hint="eastAsia" w:ascii="仿宋_GB2312" w:hAnsi="仿宋_GB2312" w:eastAsia="仿宋_GB2312"/>
          <w:sz w:val="32"/>
          <w:szCs w:val="32"/>
        </w:rPr>
        <w:t>万元。授予中小企业合同金额</w:t>
      </w:r>
      <w:r>
        <w:rPr>
          <w:rFonts w:hint="default" w:ascii="仿宋_GB2312" w:hAnsi="仿宋_GB2312" w:eastAsia="仿宋_GB2312"/>
          <w:sz w:val="32"/>
          <w:szCs w:val="32"/>
        </w:rPr>
        <w:t>0</w:t>
      </w:r>
      <w:r>
        <w:rPr>
          <w:rFonts w:hint="eastAsia" w:ascii="仿宋_GB2312" w:hAnsi="仿宋_GB2312" w:eastAsia="仿宋_GB2312"/>
          <w:sz w:val="32"/>
          <w:szCs w:val="32"/>
        </w:rPr>
        <w:t>万元</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无法计算授予中小企业合同金额占政府采购支出总额的百分比</w:t>
      </w:r>
      <w:r>
        <w:rPr>
          <w:rFonts w:hint="eastAsia" w:ascii="仿宋_GB2312" w:hAnsi="仿宋_GB2312" w:eastAsia="仿宋_GB2312"/>
          <w:sz w:val="32"/>
          <w:szCs w:val="32"/>
        </w:rPr>
        <w:t>。</w:t>
      </w:r>
      <w:bookmarkStart w:id="3" w:name="DIS_MARK_GP_BGT_CGHW_AMT"/>
      <w:r>
        <w:rPr>
          <w:rFonts w:hint="eastAsia" w:ascii="仿宋_GB2312" w:hAnsi="仿宋_GB2312" w:eastAsia="仿宋_GB2312"/>
          <w:sz w:val="32"/>
          <w:szCs w:val="32"/>
        </w:rPr>
        <w:t>其中：授予小微企业合同金额0万元，</w:t>
      </w:r>
      <w:r>
        <w:rPr>
          <w:rFonts w:hint="eastAsia" w:ascii="仿宋_GB2312" w:hAnsi="仿宋_GB2312" w:eastAsia="仿宋_GB2312"/>
          <w:sz w:val="32"/>
          <w:szCs w:val="32"/>
          <w:lang w:val="en-US" w:eastAsia="zh-CN"/>
        </w:rPr>
        <w:t>无法计算授予</w:t>
      </w:r>
      <w:r>
        <w:rPr>
          <w:rFonts w:hint="eastAsia" w:ascii="仿宋_GB2312" w:hAnsi="仿宋_GB2312" w:eastAsia="仿宋_GB2312"/>
          <w:sz w:val="32"/>
          <w:szCs w:val="32"/>
        </w:rPr>
        <w:t>小微企业</w:t>
      </w:r>
      <w:r>
        <w:rPr>
          <w:rFonts w:hint="eastAsia" w:ascii="仿宋_GB2312" w:hAnsi="仿宋_GB2312" w:eastAsia="仿宋_GB2312"/>
          <w:sz w:val="32"/>
          <w:szCs w:val="32"/>
          <w:lang w:val="en-US" w:eastAsia="zh-CN"/>
        </w:rPr>
        <w:t>合同金额占政府采购支出总额的百分比</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由于</w:t>
      </w:r>
      <w:r>
        <w:rPr>
          <w:rFonts w:hint="eastAsia" w:ascii="仿宋_GB2312" w:hAnsi="仿宋_GB2312" w:eastAsia="仿宋_GB2312"/>
          <w:sz w:val="32"/>
          <w:szCs w:val="32"/>
        </w:rPr>
        <w:t>货物采购授予中小企业合同金额占货物支出金额</w:t>
      </w:r>
      <w:r>
        <w:rPr>
          <w:rFonts w:hint="eastAsia" w:ascii="仿宋_GB2312" w:hAnsi="仿宋_GB2312" w:eastAsia="仿宋_GB2312"/>
          <w:sz w:val="32"/>
          <w:szCs w:val="32"/>
          <w:lang w:val="en-US" w:eastAsia="zh-CN"/>
        </w:rPr>
        <w:t>0万元</w:t>
      </w:r>
      <w:bookmarkEnd w:id="3"/>
      <w:bookmarkStart w:id="4" w:name="START_GP_BGT_CGGC_AMT"/>
      <w:bookmarkEnd w:id="4"/>
      <w:bookmarkStart w:id="5" w:name="END_GP_BGT_CGGC_AMT"/>
      <w:bookmarkEnd w:id="5"/>
      <w:bookmarkStart w:id="6" w:name="END_GP_BGT_CGHW_AMT_1"/>
      <w:bookmarkEnd w:id="6"/>
      <w:bookmarkStart w:id="7" w:name="DIS_MARK_GP_BGT_CGGC_AMT"/>
      <w:bookmarkEnd w:id="7"/>
      <w:bookmarkStart w:id="8" w:name="DIS_MARK_GP_BGT_CGHW_AMT_1"/>
      <w:bookmarkEnd w:id="8"/>
      <w:bookmarkStart w:id="9" w:name="END_GP_BGT_CGHW_AMT"/>
      <w:bookmarkEnd w:id="9"/>
      <w:bookmarkStart w:id="10" w:name="START_GP_BGT_CGGC_AMT_1"/>
      <w:bookmarkEnd w:id="10"/>
      <w:bookmarkStart w:id="11" w:name="START_GP_BGT_CGHW_AMT_1"/>
      <w:bookmarkEnd w:id="11"/>
      <w:bookmarkStart w:id="12" w:name="DIS_MARK_GP_BGT_CGGC_AMT_1"/>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无法计算货物采购授予中小企业合同金额占</w:t>
      </w:r>
      <w:r>
        <w:rPr>
          <w:rFonts w:hint="eastAsia" w:ascii="仿宋_GB2312" w:hAnsi="仿宋_GB2312" w:eastAsia="仿宋_GB2312"/>
          <w:sz w:val="32"/>
          <w:szCs w:val="32"/>
          <w:lang w:val="en-US" w:eastAsia="zh-CN"/>
        </w:rPr>
        <w:t>货物</w:t>
      </w:r>
      <w:r>
        <w:rPr>
          <w:rFonts w:hint="eastAsia" w:ascii="仿宋_GB2312" w:hAnsi="仿宋_GB2312" w:eastAsia="仿宋_GB2312"/>
          <w:sz w:val="32"/>
          <w:szCs w:val="32"/>
        </w:rPr>
        <w:t>支出金额的百分比；由于工程支出金额为0万元，无法计算工程采购授予中小企业合同金额占工程支出金额的百分比；</w:t>
      </w:r>
      <w:bookmarkEnd w:id="12"/>
      <w:bookmarkStart w:id="13" w:name="START_GP_BGT_CGFW_AMT"/>
      <w:bookmarkEnd w:id="13"/>
      <w:bookmarkStart w:id="14" w:name="END_GP_BGT_CGGC_AMT_1"/>
      <w:bookmarkEnd w:id="14"/>
      <w:bookmarkStart w:id="15" w:name="DIS_MARK_GP_BGT_CGFW_AMT"/>
      <w:r>
        <w:rPr>
          <w:rFonts w:hint="eastAsia" w:ascii="仿宋_GB2312" w:hAnsi="仿宋_GB2312" w:eastAsia="仿宋_GB2312"/>
          <w:sz w:val="32"/>
          <w:szCs w:val="32"/>
        </w:rPr>
        <w:t>由于</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支出金额为0万元，无法计算</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采购授予中小企业合同金额占</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支出金额的百分比</w:t>
      </w:r>
      <w:bookmarkEnd w:id="15"/>
      <w:r>
        <w:rPr>
          <w:rFonts w:hint="eastAsia" w:ascii="仿宋_GB2312" w:hAnsi="仿宋_GB2312" w:eastAsia="仿宋_GB2312"/>
          <w:sz w:val="32"/>
          <w:szCs w:val="32"/>
          <w:lang w:eastAsia="zh-CN"/>
        </w:rPr>
        <w:t>。</w:t>
      </w:r>
    </w:p>
    <w:p w14:paraId="3FD387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三</w:t>
      </w:r>
      <w:r>
        <w:rPr>
          <w:rFonts w:hint="eastAsia" w:ascii="黑体" w:hAnsi="黑体" w:eastAsia="黑体" w:cs="黑体"/>
          <w:b w:val="0"/>
          <w:bCs/>
          <w:sz w:val="32"/>
          <w:szCs w:val="32"/>
          <w:highlight w:val="none"/>
        </w:rPr>
        <w:t>、关于国有资产占用情况说明</w:t>
      </w:r>
    </w:p>
    <w:p w14:paraId="7F6097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截至202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年12月31日，本单位共有车辆</w:t>
      </w:r>
      <w:r>
        <w:rPr>
          <w:rFonts w:hint="eastAsia" w:ascii="Times New Roman" w:hAnsi="Times New Roman" w:eastAsia="仿宋_GB2312"/>
          <w:sz w:val="32"/>
          <w:szCs w:val="32"/>
          <w:highlight w:val="none"/>
          <w:lang w:val="en-US" w:eastAsia="zh-CN"/>
        </w:rPr>
        <w:t>21</w:t>
      </w:r>
      <w:r>
        <w:rPr>
          <w:rFonts w:hint="eastAsia" w:ascii="Times New Roman" w:hAnsi="Times New Roman" w:eastAsia="仿宋_GB2312"/>
          <w:sz w:val="32"/>
          <w:szCs w:val="32"/>
          <w:highlight w:val="none"/>
        </w:rPr>
        <w:t>辆，其中，主要领导干部用车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辆，机要通信用车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辆、其他用车</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辆，其他用车主要</w:t>
      </w:r>
      <w:r>
        <w:rPr>
          <w:rFonts w:hint="eastAsia" w:ascii="Times New Roman" w:hAnsi="Times New Roman" w:eastAsia="仿宋_GB2312"/>
          <w:sz w:val="32"/>
          <w:szCs w:val="32"/>
          <w:highlight w:val="none"/>
          <w:lang w:eastAsia="zh-CN"/>
        </w:rPr>
        <w:t>是公务用车</w:t>
      </w:r>
      <w:r>
        <w:rPr>
          <w:rFonts w:hint="eastAsia" w:ascii="Times New Roman" w:hAnsi="Times New Roman" w:eastAsia="仿宋_GB2312"/>
          <w:sz w:val="32"/>
          <w:szCs w:val="32"/>
          <w:highlight w:val="none"/>
        </w:rPr>
        <w:t>；单位价值50万元以上通用设备</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台（套）。</w:t>
      </w:r>
    </w:p>
    <w:p w14:paraId="183C49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4683DD2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（一）部门整体支出绩效情况</w:t>
      </w:r>
    </w:p>
    <w:p w14:paraId="7BD3506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1、2022年怀化纪检监察工作实现创新突破</w:t>
      </w:r>
    </w:p>
    <w:p w14:paraId="5A65E4D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极为艰辛、极其难忘。在省纪委监委和市委的坚强领导下，全市纪检监察机关以迎接党的二十大胜利召开和学习贯彻党的二十大精神为主线，坚持围绕中心、服务大局、促进发展、保障安全，坚持实事求是、守正创新、敢善斗争、坚定稳妥，全年处置问题线索4488件，立案1889件，结案1903件，处分1819人，其中市管干部45人，留置58人，83名干部主动投案，1223人主动说明违规收受红包礼金问题，查处了彭永杰、李勇进、尹安伟、刘军等一批阻碍发展、侵害民利的严重违纪违法案件，立案数、结案数、处分人数均位居全省前列。全市纪检监察信访举报、检举控告总量同比分别下降34.20%、49.80%，为党的十八大以来最低，怀化政治生态、社会风气越来越好。乡村振兴专项监督考核、清廉文化建设考核分别列全省第一、第二位。</w:t>
      </w:r>
    </w:p>
    <w:p w14:paraId="2BFDFFF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——以全局视野做实政治监督，忠诚担实“两个维护”使命。</w:t>
      </w:r>
      <w:r>
        <w:rPr>
          <w:rFonts w:hint="eastAsia" w:ascii="Times New Roman" w:hAnsi="Times New Roman" w:eastAsia="仿宋_GB2312"/>
          <w:sz w:val="32"/>
          <w:szCs w:val="32"/>
          <w:highlight w:val="none"/>
          <w:lang w:val="en-US" w:eastAsia="zh-CN"/>
        </w:rPr>
        <w:t>在全省率先出台《关于推进政治监督具体化常态化的意见（试行）》，对落实习近平总书记有关重要指示批示精神每季度开展“回头看”。跟进监督居民自建房安全专项整治。深入开展违规举债和虚假化债、粮食购销、养老服务、“洞庭清波”等专项政治监督，处理处分210人，推动建章立制135项。涉“善行天下”“湘中源”案公职人员非法集资收益全部追缴。加强选人用人监督，严格回复党风廉政审查意见。实施“一把手”和领导班子监督“十查十督”措施，严查严处各级“一把手”141人。麻阳县实行“三重一大”事项备案监督，新晃县运用“一函四联”，推动主体责任落实。</w:t>
      </w:r>
    </w:p>
    <w:p w14:paraId="3144BD9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——以全面跟进助力护航发展，凝聚力量奋起二次创业。</w:t>
      </w:r>
      <w:r>
        <w:rPr>
          <w:rFonts w:hint="eastAsia" w:ascii="Times New Roman" w:hAnsi="Times New Roman" w:eastAsia="仿宋_GB2312"/>
          <w:sz w:val="32"/>
          <w:szCs w:val="32"/>
          <w:highlight w:val="none"/>
          <w:lang w:val="en-US" w:eastAsia="zh-CN"/>
        </w:rPr>
        <w:t>专班护航国际陆港建设，在市直单位建立容错纠错正面清单。协助开展“三整顿两提升”活动，抓实深化纪律作风整顿、营造一流营商环境“清风行动”，严肃查处金时花园二期幼儿园违建中干部不作为、市不动产登记中心工作人员违规收受红包礼金等典型案件，推进清廉政务大厅建设，立案168件，推动完善制度44项。开展“百企万众评科长”活动，评出10名“群众满意科（队）长”，对15名评价一般的科（队）长分类处置。通报16起容错纠错、澄清正名案例，大力激励担当作为。溆浦县“清风助企”、会同县“一单四制”、辰溪县“万人评百岗”，推动营商环境不断优化。</w:t>
      </w:r>
    </w:p>
    <w:p w14:paraId="0AA5236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——以全程管理深化系统施治，一体推进“三不腐”。</w:t>
      </w:r>
      <w:r>
        <w:rPr>
          <w:rFonts w:hint="eastAsia" w:ascii="Times New Roman" w:hAnsi="Times New Roman" w:eastAsia="仿宋_GB2312"/>
          <w:sz w:val="32"/>
          <w:szCs w:val="32"/>
          <w:highlight w:val="none"/>
          <w:lang w:val="en-US" w:eastAsia="zh-CN"/>
        </w:rPr>
        <w:t>在全省率先制定《关于全面从严治党一体推进“三不腐”重要方略的实施意见》，细化20条措施，健全“一起动手”责任格局。坚持“动态清零”，市本级2022年问题线索办结78.36%。“组地”联合查办建行湖南省分行原党委书记、行长龚蜀雄等指定管辖案件30人。专项整治公职人员违规借贷谋利、违规入股民办幼儿园问题，深化整治工程建设项目招投标等突出问题。出台以案促改制度化常态化实施办法、纪检监察建议书制发落实办法，推动移民、卫健、教育、交警系统以案促改，完善制度机制100余项。</w:t>
      </w:r>
    </w:p>
    <w:p w14:paraId="7E81014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——以全硬措施纠“四风”树新风，厚植根基守民心护民利。</w:t>
      </w:r>
      <w:r>
        <w:rPr>
          <w:rFonts w:hint="eastAsia" w:ascii="Times New Roman" w:hAnsi="Times New Roman" w:eastAsia="仿宋_GB2312"/>
          <w:sz w:val="32"/>
          <w:szCs w:val="32"/>
          <w:highlight w:val="none"/>
          <w:lang w:val="en-US" w:eastAsia="zh-CN"/>
        </w:rPr>
        <w:t>出台“十项机制”“七从严”措施，推进纠树并举、风腐同治，查处违反中央八项规定精神问题224起，处理处分432人。带件下访化解信访积案74件。“五查五治”抓实乡村振兴监督，深化“一卡通”“清廉医保”“六位”等专项整治，处理1058人，追缴清退资金1680余万元，整改问题300余个，完善制度84项。常态化扫黑除恶“打伞破网”，处理处分12人。沅陵县出台二十二条规定护航乡村振兴；通道县建立乡村“权力、责任、公示、监督”四张清单，管住“小微权力”。</w:t>
      </w:r>
    </w:p>
    <w:p w14:paraId="3E4A233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——以全域共进建设清廉怀化，推动以清为美以廉为荣。</w:t>
      </w:r>
      <w:r>
        <w:rPr>
          <w:rFonts w:hint="eastAsia" w:ascii="Times New Roman" w:hAnsi="Times New Roman" w:eastAsia="仿宋_GB2312"/>
          <w:sz w:val="32"/>
          <w:szCs w:val="32"/>
          <w:highlight w:val="none"/>
          <w:lang w:val="en-US" w:eastAsia="zh-CN"/>
        </w:rPr>
        <w:t>坚持专班推进、逐月清单落实，在全省领跑推进清廉建设。出台清廉单元创建标准和考评细则，8个系统清廉单元创建全线推进，培育市县示范点389个，洪江市安江镇下坪村、中方县泸阳镇中心卫生院等5个单位被评为省级清廉单元样本。明确“六有”标准推进清廉文化“七进”，挂牌8个清廉文化教育基地，带动127万人接受清廉教育。开通“清风”号城市公交，开展清廉家规家训家书征集评比等活动。清廉怀化·大数据监督预警平台发现问题4238个，推动立案310件，处理处分619人。洪江区融廉于景打造洪江古商城清廉文化教育基地，靖州县编排苗侗特色清廉课程清廉节目，鹤城区“三支队伍”进社区宣传清廉文化，推动清廉建设润心化人。</w:t>
      </w:r>
    </w:p>
    <w:p w14:paraId="279AA48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——以全线联动推进政治巡察，贯通协同提升监督效能。</w:t>
      </w:r>
      <w:r>
        <w:rPr>
          <w:rFonts w:hint="eastAsia" w:ascii="Times New Roman" w:hAnsi="Times New Roman" w:eastAsia="仿宋_GB2312"/>
          <w:sz w:val="32"/>
          <w:szCs w:val="32"/>
          <w:highlight w:val="none"/>
          <w:lang w:val="en-US" w:eastAsia="zh-CN"/>
        </w:rPr>
        <w:t>高质量开展3轮常规巡察，发现问题519个，移交问题线索74件。提级巡察25个村（社区），发现问题499个，移交问题线索71件。对新晃县开展违规举债和虚假化债专项巡察。涉粮问题专项巡察整改评估推动整改问题346个，建章立制221项。建立纪检监察、巡察、审计监督贯通协同高效机制并开展试点。洪江市、中方县整合监督力量巡乡带村，形成“一起做工作”的良好氛围。靖州县综合运用各类监督成果，推进村（社区）巡察高质高效。</w:t>
      </w:r>
    </w:p>
    <w:p w14:paraId="216E223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——以全维格局加强“三化”建设，锚定高标锻造纪检监察铁军。</w:t>
      </w:r>
      <w:r>
        <w:rPr>
          <w:rFonts w:hint="eastAsia" w:ascii="Times New Roman" w:hAnsi="Times New Roman" w:eastAsia="仿宋_GB2312"/>
          <w:sz w:val="32"/>
          <w:szCs w:val="32"/>
          <w:highlight w:val="none"/>
          <w:lang w:val="en-US" w:eastAsia="zh-CN"/>
        </w:rPr>
        <w:t>组织党的二十大全面从严治党精神“七进七讲”活动。开展“监督执纪执法质量提升年”活动，建立办案责任制和责任追究制，成立职务犯罪案件专家咨询委员会，坚持先处后移，全年没有“四类案件”。坚持“无安全不办案”理念，保持办案“零事故”。完善反腐败协调机制，与在怀省属本科高校和湖南烟草建立协作机制。制定实施“一体化四联”、“青年铁军”、通报表扬和通报批评、表彰奖励等制度和“1111”工作要求，聘请特约监察员，推动谈心谈话、廉政家访等“五个全覆盖”，对13个县市区纪委监委开展“内部小巡察”，刀刃向内立案3件，处分5人，调离1人。溆浦县“五统一”规范乡镇纪委建设、芷江县实施“八大工程”推动“三化”建设。沅陵县、芷江县纪委监委获省文明标兵单位，溆浦县、麻阳县、洪江市纪委监委获省文明单位。</w:t>
      </w:r>
    </w:p>
    <w:p w14:paraId="2CF233BB">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在肯定成绩的同时，我们也清醒认识到，反腐败斗争形势依然严峻复杂。我市一些党员干部不收敛不收手不知止，“一把手”、年轻干部和乡科级干部腐败作风问题呈高发态势；“四风”问题树倒根在，红包礼金、酒驾醉驾、打牌赌博等问题禁而未绝，防反弹回潮、防隐形变异、防疲劳厌战任务艰巨；工程项目建设、乡村振兴、园区、政法等行业领域系统清源还有很多工作要做；影响营商环境的问题仍然比较突出等等。同党的要求和人民期待相比，纪检监察工作仍有差距，一些纪检监察干部专业能力和斗争精神不足，不会监督、不敢监督、不愿监督的问题仍然存在；有的自我约束不严，“灯下黑”现象未根绝。对此，必须针对性采取有力措施，切实加以解决。</w:t>
      </w:r>
    </w:p>
    <w:p w14:paraId="4D4BA6A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2、以党的二十大精神引领纪检监察工作高质量发展</w:t>
      </w:r>
    </w:p>
    <w:p w14:paraId="4D4E6AF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党的二十大对坚定不移全面从严治党，深入推进新时代党的建设新的伟大工程作出战略部署，必须持续深入学习领会、完整准确全面把握、坚定不移贯彻落实。</w:t>
      </w:r>
    </w:p>
    <w:p w14:paraId="5AA0729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坚决捍卫核心，坚定不移担负“两个维护”重大政治责任。习近平总书记强调，中国共产党是最高政治领导力量，坚持党中央集中统一领导是最高政治原则。全市纪检监察机关学习贯彻党的二十大精神，最根本的是要深刻领悟“两个确立”的决定性意义，始终坚持用习近平新时代中国特色社会主义思想统领纪检监察一切工作，把坚定拥护“两个确立”、坚决做到“两个维护”作为最根本最关键的政治规矩，始终坚持党对反腐败工作全方位、全过程的领导，始终坚持正确政治方向，确保全市上下“一条心一起走”“一股劲一起使”。</w:t>
      </w:r>
    </w:p>
    <w:p w14:paraId="6209118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主动围绕中心，坚定不移护航助力发展。习近平总书记强调，从现在起我们党的中心任务就是团结带领全国各族人民全面建成社会主义现代化强国、实现第二个百年奋斗目标，以中国式现代化全面推进中华民族伟大复兴。全市纪检监察机关要牢牢把握新时代新征程我们党的中心任务，始终胸怀“国之大者”“省之大计”“市之大事”，围绕完整准确全面贯彻新发展理念、全面落实“三高四新”战略定位和使命任务、深入实施“五新四城”战略等重大部署，推动党中央、省委和市委各项决策落地见效，共同书写现代化新怀化绚丽篇章。</w:t>
      </w:r>
    </w:p>
    <w:p w14:paraId="0FA1419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勇于自我革命，坚定不移推动正风肃纪反腐向纵深发展。习近平总书记强调，全面从严治党永远在路上，党的自我革命永远在路上。全市纪检监察机关要深学细悟习近平总书记关于解决大党独有难题的深邃思考，时刻保持清醒和坚定，坚持问题导向，保持战略定力，发扬彻底的自我革命精神，永远吹冲锋号，大力加强清廉怀化建设，一体推进“三不腐”，把严的基调、严的措施、严的氛围长期坚持下去，让怀化政治生态、经济生态、社会生态持续向好，清风正气更加充盈。</w:t>
      </w:r>
    </w:p>
    <w:p w14:paraId="252A600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切实守护民利，坚定不移践行党的初心使命。习近平总书记强调，为民造福是立党为公、执政为民的本质要求。全市纪检监察机关要始终牢记以人民为中心的发展思想，把人民利益放在第一位，主动深入基层、走进群众，紧盯幼有所教、病有所医、老有所养、住有所居等人民群众最关心最直接最现实的利益问题，开展更多惠民生、暖民心的具体行动，以强有力的监督不断提升群众获得感、幸福感、安全感。</w:t>
      </w:r>
    </w:p>
    <w:p w14:paraId="499E211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敢于善于斗争，坚定不移履行党章赋予的职责。习近平总书记强调，要建设堪当民族复兴重任的高素质干部队伍。全市纪检监察机关要学习党章、尊崇党章，坚持以党性立身做事，在党风廉政建设和反腐败斗争一线砥砺品格操守，在围绕中心、服务大局中彰显担当作为，在各种风险挑战中筑牢坚强屏障，忠诚于党、勇挑重担，敢打硬仗、善于斗争，在攻坚战持久战中始终冲锋在最前面。</w:t>
      </w:r>
    </w:p>
    <w:p w14:paraId="4637A98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总结归纳本部门（单位）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14:paraId="690016A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（二）存在的问题及原因分析</w:t>
      </w:r>
    </w:p>
    <w:p w14:paraId="3E7DB08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存在的主要问题主要一是年初预算安排与工作任务不匹配，经费缺口较大。办案任务重，事务繁杂，项目经费略显不足；二是部分预算资金下达较迟，来不及使用，导致资金结转较多。</w:t>
      </w:r>
    </w:p>
    <w:p w14:paraId="2B562B9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改进措施和有关建议主要一是加大预算安排力度，根据工作任务合理安排项目经费；二是根据工作进度及时追加预算经费。</w:t>
      </w:r>
    </w:p>
    <w:p w14:paraId="60D3460C">
      <w:pPr>
        <w:widowControl/>
        <w:shd w:val="clear" w:color="auto" w:fill="FFFFFF"/>
        <w:spacing w:line="360" w:lineRule="auto"/>
        <w:ind w:firstLine="640"/>
        <w:rPr>
          <w:rFonts w:hint="eastAsia" w:ascii="仿宋" w:hAnsi="仿宋" w:eastAsia="仿宋" w:cs="仿宋"/>
          <w:spacing w:val="-2"/>
          <w:sz w:val="32"/>
          <w:szCs w:val="32"/>
          <w:highlight w:val="none"/>
        </w:rPr>
      </w:pPr>
    </w:p>
    <w:p w14:paraId="462ED153">
      <w:pPr>
        <w:pStyle w:val="13"/>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0B8F8EB1">
      <w:pPr>
        <w:pStyle w:val="13"/>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名词解释</w:t>
      </w:r>
    </w:p>
    <w:p w14:paraId="33008C1F">
      <w:pPr>
        <w:pStyle w:val="13"/>
        <w:ind w:firstLine="640" w:firstLineChars="200"/>
        <w:rPr>
          <w:rFonts w:hint="eastAsia" w:ascii="仿宋" w:hAnsi="仿宋" w:eastAsia="仿宋" w:cs="仿宋"/>
          <w:b/>
          <w:bCs/>
          <w:sz w:val="32"/>
          <w:szCs w:val="32"/>
          <w:highlight w:val="none"/>
        </w:rPr>
      </w:pPr>
    </w:p>
    <w:p w14:paraId="29504F1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一、财政拨款收入：指单位从同级财政部门取得的财政预算资金。</w:t>
      </w:r>
    </w:p>
    <w:p w14:paraId="53D674D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二、年初结转和结余：指单位以前年度尚未完成、结转到本年按有关规定继续使用的资金。</w:t>
      </w:r>
    </w:p>
    <w:p w14:paraId="6A5663C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三、一般公共服务（类）纪检监察事务（款）行政运行（项）：反映行政单位（包括实行公务员管理的事业单位）的基本支出。主要是纪委机关及委属单位用于保障机构正常运行、开展日常工作的基本支出。</w:t>
      </w:r>
    </w:p>
    <w:p w14:paraId="4A71190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四、一般公共服务（类）纪检监察事务（款）一般行政管理事务（项）：反映行政单位（包括实行公务员管理的事业单位）未单独设置项级科目的其他项目支出。如：市纪委举行党风廉政建设工作，反腐倡廉宣传教育等反腐倡廉工作的项目支出等。</w:t>
      </w:r>
    </w:p>
    <w:p w14:paraId="2D5FC6B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五、一般公共服务（类）纪检监察事务（款）其他纪检监察事务支出（项）：反映为行政单位（包括实行公务员管理的事业单位）提供后勤的各类后勤服务中心、医务室等附属事业单位的支出。如：市纪委反腐倡廉教育工作站等管理工作的支出等。</w:t>
      </w:r>
    </w:p>
    <w:p w14:paraId="4E50405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六、一般公共服务（类）群众团体事务（款）其他群众团体事务支出（项）：反映各级人民团体、社会团体、群众团体以及工会、妇联、共青团组织等安排的用于群众团体事务方面的支出。</w:t>
      </w:r>
    </w:p>
    <w:p w14:paraId="72FB844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七、社会保障和就业（类）行政事业单位离退休（款）归口管理的行政单位离退休（项）：反映实行归口管理的行政单位（包括实行公务员管理的事业单位）开支的离退休经费。</w:t>
      </w:r>
    </w:p>
    <w:p w14:paraId="3742BFE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八、社会保障和就业（类）行政事业单位离退休（款）机关事业单位基本养老保险缴费支出（项）：反映实行归口管理的各类离退休人员管理机构的支出。</w:t>
      </w:r>
    </w:p>
    <w:p w14:paraId="1CA76C1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九、年末结转和结余：指单位按有关规定结转到下年或以后年度继续使用的资金。</w:t>
      </w:r>
    </w:p>
    <w:p w14:paraId="2407DE2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十、基本支出：指单位为保障其机构正常运转、完成日常工作任务而发生的人员支出和公用支出。</w:t>
      </w:r>
    </w:p>
    <w:p w14:paraId="5CA4F00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十一、项目支出：指单位为完成特定行政任务和事业发展目标在基本支出之外所发生的支出。</w:t>
      </w:r>
    </w:p>
    <w:p w14:paraId="2D66D1A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十二、“三公”经费：纳入中央财政预决算管理的“三公”经费，是指中央部门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14:paraId="24EC00C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十四、机关运行经费：指为保障行政单位（含参照公务员法管理的事业单位）运行用于购买货物和服务的各项资金，包括办公及印刷费、邮电费、差旅费、会议费、福利费、日常维修费、工会经费、福利费、专用材料及一般设备购置费、办公用房水电费、办公用房取暖费、办公用房物业管理费、公务用车运行维护费以及其他费用。</w:t>
      </w:r>
    </w:p>
    <w:p w14:paraId="6174CE16">
      <w:pPr>
        <w:pStyle w:val="13"/>
        <w:ind w:firstLine="640" w:firstLineChars="200"/>
        <w:rPr>
          <w:rFonts w:hint="eastAsia" w:ascii="仿宋" w:hAnsi="仿宋" w:eastAsia="仿宋" w:cs="仿宋"/>
          <w:sz w:val="32"/>
          <w:szCs w:val="32"/>
          <w:highlight w:val="none"/>
        </w:rPr>
      </w:pPr>
    </w:p>
    <w:p w14:paraId="67B21E1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第五部分</w:t>
      </w:r>
    </w:p>
    <w:p w14:paraId="1FEF4B0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附件</w:t>
      </w:r>
    </w:p>
    <w:p w14:paraId="12BCE63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1、2022年度部门决算表</w:t>
      </w:r>
    </w:p>
    <w:p w14:paraId="010D9DB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2、2022年度部门整体支出绩效评价报告</w:t>
      </w:r>
    </w:p>
    <w:p w14:paraId="5B0B71A7">
      <w:pPr>
        <w:pStyle w:val="13"/>
        <w:jc w:val="center"/>
        <w:rPr>
          <w:sz w:val="72"/>
          <w:szCs w:val="72"/>
          <w:highlight w:val="none"/>
        </w:rPr>
      </w:pPr>
    </w:p>
    <w:p w14:paraId="0110D17B">
      <w:pPr>
        <w:pStyle w:val="13"/>
        <w:jc w:val="center"/>
        <w:rPr>
          <w:sz w:val="72"/>
          <w:szCs w:val="72"/>
          <w:highlight w:val="none"/>
        </w:rPr>
      </w:pPr>
    </w:p>
    <w:p w14:paraId="2A75EFCC">
      <w:pPr>
        <w:pStyle w:val="13"/>
        <w:jc w:val="center"/>
        <w:rPr>
          <w:sz w:val="72"/>
          <w:szCs w:val="72"/>
          <w:highlight w:val="none"/>
        </w:rPr>
      </w:pPr>
    </w:p>
    <w:p w14:paraId="4B9F38AD">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7EFDF6-FD0B-4334-8EEB-79AC8728B9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09F19841-315C-44D4-82BA-77432C914884}"/>
  </w:font>
  <w:font w:name="仿宋_GB2312">
    <w:panose1 w:val="02010609030101010101"/>
    <w:charset w:val="86"/>
    <w:family w:val="modern"/>
    <w:pitch w:val="default"/>
    <w:sig w:usb0="00000001" w:usb1="080E0000" w:usb2="00000000" w:usb3="00000000" w:csb0="00040000" w:csb1="00000000"/>
    <w:embedRegular r:id="rId3" w:fontKey="{DB168B0C-79C6-4F01-B7B5-991829770EB1}"/>
  </w:font>
  <w:font w:name="仿宋">
    <w:panose1 w:val="02010609060101010101"/>
    <w:charset w:val="86"/>
    <w:family w:val="auto"/>
    <w:pitch w:val="default"/>
    <w:sig w:usb0="800002BF" w:usb1="38CF7CFA" w:usb2="00000016" w:usb3="00000000" w:csb0="00040001" w:csb1="00000000"/>
    <w:embedRegular r:id="rId4" w:fontKey="{47B8CBDA-4B73-40E5-810B-39BC0D87BD39}"/>
  </w:font>
  <w:font w:name="楷体">
    <w:panose1 w:val="02010609060101010101"/>
    <w:charset w:val="86"/>
    <w:family w:val="auto"/>
    <w:pitch w:val="default"/>
    <w:sig w:usb0="800002BF" w:usb1="38CF7CFA" w:usb2="00000016" w:usb3="00000000" w:csb0="00040001" w:csb1="00000000"/>
    <w:embedRegular r:id="rId5" w:fontKey="{51F08567-4AA7-41D3-813F-094513F7628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B11A6"/>
    <w:multiLevelType w:val="singleLevel"/>
    <w:tmpl w:val="144B11A6"/>
    <w:lvl w:ilvl="0" w:tentative="0">
      <w:start w:val="1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5446CC"/>
    <w:rsid w:val="058F70CB"/>
    <w:rsid w:val="05C46FEB"/>
    <w:rsid w:val="05EB4E16"/>
    <w:rsid w:val="065B0966"/>
    <w:rsid w:val="0B586598"/>
    <w:rsid w:val="0B8345BA"/>
    <w:rsid w:val="0BC043CC"/>
    <w:rsid w:val="0CFD3C39"/>
    <w:rsid w:val="0E960884"/>
    <w:rsid w:val="0ECC1455"/>
    <w:rsid w:val="0F270BA2"/>
    <w:rsid w:val="21501A6F"/>
    <w:rsid w:val="232A43C0"/>
    <w:rsid w:val="244A0FBF"/>
    <w:rsid w:val="24AE7ABB"/>
    <w:rsid w:val="250D2585"/>
    <w:rsid w:val="28FC235B"/>
    <w:rsid w:val="2A512892"/>
    <w:rsid w:val="2AEC18DC"/>
    <w:rsid w:val="34682EB0"/>
    <w:rsid w:val="35585FE3"/>
    <w:rsid w:val="35BF17D7"/>
    <w:rsid w:val="38FB11B9"/>
    <w:rsid w:val="3D8C042E"/>
    <w:rsid w:val="446567F4"/>
    <w:rsid w:val="45D55F09"/>
    <w:rsid w:val="476A2BD6"/>
    <w:rsid w:val="47DA00C8"/>
    <w:rsid w:val="4AC230B4"/>
    <w:rsid w:val="4AED555E"/>
    <w:rsid w:val="4CDE24E5"/>
    <w:rsid w:val="4E0E47F6"/>
    <w:rsid w:val="4E5F71E2"/>
    <w:rsid w:val="4E6B55B6"/>
    <w:rsid w:val="50BD2E17"/>
    <w:rsid w:val="54465CA9"/>
    <w:rsid w:val="57113A07"/>
    <w:rsid w:val="574C01B4"/>
    <w:rsid w:val="5777D4F5"/>
    <w:rsid w:val="5AA66EAD"/>
    <w:rsid w:val="5BC758A4"/>
    <w:rsid w:val="5C60539B"/>
    <w:rsid w:val="5FC6BB1E"/>
    <w:rsid w:val="5FE113ED"/>
    <w:rsid w:val="5FF720F1"/>
    <w:rsid w:val="60CB1CB1"/>
    <w:rsid w:val="60E54F6A"/>
    <w:rsid w:val="61533159"/>
    <w:rsid w:val="61FD0F5B"/>
    <w:rsid w:val="636C219F"/>
    <w:rsid w:val="64AD50AF"/>
    <w:rsid w:val="66124991"/>
    <w:rsid w:val="6A3572FC"/>
    <w:rsid w:val="737D59BA"/>
    <w:rsid w:val="745E6991"/>
    <w:rsid w:val="77B270EA"/>
    <w:rsid w:val="77C37683"/>
    <w:rsid w:val="79FF515B"/>
    <w:rsid w:val="7B061A6F"/>
    <w:rsid w:val="7BA946A3"/>
    <w:rsid w:val="7C3C54AD"/>
    <w:rsid w:val="7E9F11B4"/>
    <w:rsid w:val="7EDB0C60"/>
    <w:rsid w:val="7F53414E"/>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664"/>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Normal (Web)"/>
    <w:basedOn w:val="1"/>
    <w:semiHidden/>
    <w:unhideWhenUsed/>
    <w:qFormat/>
    <w:uiPriority w:val="99"/>
    <w:rPr>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引文目录1"/>
    <w:basedOn w:val="1"/>
    <w:next w:val="1"/>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10603</Words>
  <Characters>11170</Characters>
  <Lines>63</Lines>
  <Paragraphs>18</Paragraphs>
  <TotalTime>0</TotalTime>
  <ScaleCrop>false</ScaleCrop>
  <LinksUpToDate>false</LinksUpToDate>
  <CharactersWithSpaces>11170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2023-09-13T07:01:00Z</cp:lastPrinted>
  <dcterms:modified xsi:type="dcterms:W3CDTF">2024-10-31T13:17:57Z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944F750FA22E4F18863BFBA1E7FCF638_13</vt:lpwstr>
  </property>
</Properties>
</file>