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jc w:val="center"/>
        <w:rPr>
          <w:sz w:val="56"/>
          <w:szCs w:val="56"/>
        </w:rPr>
      </w:pPr>
      <w:r>
        <w:rPr>
          <w:sz w:val="56"/>
        </w:rPr>
        <mc:AlternateContent>
          <mc:Choice Requires="wps">
            <w:drawing>
              <wp:anchor distT="0" distB="0" distL="114300" distR="114300" simplePos="0" relativeHeight="251658240"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8240;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HLwJlDWAAAACgEAAA8AAAAAAAAAAQAgAAAAIgAAAGRycy9kb3du&#10;cmV2LnhtbFBLAQIUABQAAAAIAIdO4kBDKpePOgIAAEwEAAAOAAAAAAAAAAEAIAAAACUBAABkcnMv&#10;ZTJvRG9jLnhtbFBLBQYAAAAABgAGAFkBAADRBQAAAAA=&#10;">
                <v:fill on="t" focussize="0,0"/>
                <v:stroke on="f" weight="0.5pt"/>
                <v:imagedata o:title=""/>
                <o:lock v:ext="edit" aspectratio="f"/>
                <v:textbox>
                  <w:txbxContent>
                    <w:p>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w:t>
                      </w:r>
                    </w:p>
                  </w:txbxContent>
                </v:textbox>
              </v:shape>
            </w:pict>
          </mc:Fallback>
        </mc:AlternateContent>
      </w:r>
    </w:p>
    <w:p>
      <w:pPr>
        <w:pStyle w:val="17"/>
        <w:jc w:val="center"/>
        <w:rPr>
          <w:sz w:val="56"/>
          <w:szCs w:val="56"/>
        </w:rPr>
      </w:pPr>
    </w:p>
    <w:p>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pPr>
        <w:pStyle w:val="17"/>
        <w:jc w:val="center"/>
        <w:rPr>
          <w:rFonts w:hint="eastAsia" w:ascii="方正小标宋_GBK" w:hAnsi="方正小标宋_GBK" w:eastAsia="方正小标宋_GBK" w:cs="方正小标宋_GBK"/>
          <w:sz w:val="80"/>
          <w:szCs w:val="80"/>
        </w:rPr>
      </w:pPr>
      <w:r>
        <w:rPr>
          <w:rFonts w:hint="eastAsia" w:ascii="方正小标宋_GBK" w:hAnsi="方正小标宋_GBK" w:eastAsia="方正小标宋_GBK" w:cs="方正小标宋_GBK"/>
          <w:sz w:val="80"/>
          <w:szCs w:val="80"/>
          <w:lang w:eastAsia="zh-CN"/>
        </w:rPr>
        <w:t>怀化市纪委监委</w:t>
      </w:r>
      <w:r>
        <w:rPr>
          <w:rFonts w:hint="eastAsia" w:ascii="方正小标宋_GBK" w:hAnsi="方正小标宋_GBK" w:eastAsia="方正小标宋_GBK" w:cs="方正小标宋_GBK"/>
          <w:sz w:val="80"/>
          <w:szCs w:val="80"/>
        </w:rPr>
        <w:t>部门决算</w:t>
      </w:r>
    </w:p>
    <w:p>
      <w:pPr>
        <w:pStyle w:val="17"/>
        <w:jc w:val="center"/>
        <w:rPr>
          <w:rFonts w:hint="eastAsia" w:ascii="方正小标宋_GBK" w:hAnsi="方正小标宋_GBK" w:eastAsia="方正小标宋_GBK" w:cs="方正小标宋_GBK"/>
          <w:sz w:val="56"/>
          <w:szCs w:val="56"/>
        </w:rPr>
      </w:pPr>
    </w:p>
    <w:p>
      <w:pPr>
        <w:pStyle w:val="17"/>
        <w:jc w:val="center"/>
        <w:rPr>
          <w:sz w:val="56"/>
          <w:szCs w:val="56"/>
        </w:rPr>
      </w:pPr>
    </w:p>
    <w:p>
      <w:pPr>
        <w:pStyle w:val="17"/>
        <w:jc w:val="center"/>
        <w:rPr>
          <w:sz w:val="56"/>
          <w:szCs w:val="56"/>
        </w:rPr>
      </w:pPr>
    </w:p>
    <w:p>
      <w:pPr>
        <w:pStyle w:val="17"/>
        <w:jc w:val="center"/>
        <w:rPr>
          <w:sz w:val="56"/>
          <w:szCs w:val="56"/>
        </w:rPr>
      </w:pPr>
    </w:p>
    <w:p>
      <w:pPr>
        <w:pStyle w:val="17"/>
        <w:jc w:val="center"/>
        <w:rPr>
          <w:sz w:val="32"/>
          <w:szCs w:val="32"/>
        </w:rPr>
      </w:pPr>
    </w:p>
    <w:p>
      <w:pPr>
        <w:pStyle w:val="17"/>
        <w:jc w:val="center"/>
        <w:rPr>
          <w:sz w:val="32"/>
          <w:szCs w:val="32"/>
        </w:rPr>
      </w:pPr>
    </w:p>
    <w:p>
      <w:pPr>
        <w:pStyle w:val="17"/>
        <w:jc w:val="center"/>
        <w:rPr>
          <w:sz w:val="32"/>
          <w:szCs w:val="32"/>
        </w:rPr>
      </w:pPr>
    </w:p>
    <w:p>
      <w:pPr>
        <w:pStyle w:val="17"/>
        <w:jc w:val="center"/>
        <w:rPr>
          <w:sz w:val="32"/>
          <w:szCs w:val="32"/>
        </w:rPr>
      </w:pPr>
    </w:p>
    <w:p>
      <w:pPr>
        <w:pStyle w:val="17"/>
        <w:jc w:val="center"/>
        <w:rPr>
          <w:sz w:val="32"/>
          <w:szCs w:val="32"/>
        </w:rPr>
      </w:pPr>
    </w:p>
    <w:p>
      <w:pPr>
        <w:pStyle w:val="17"/>
        <w:jc w:val="center"/>
        <w:rPr>
          <w:sz w:val="32"/>
          <w:szCs w:val="32"/>
        </w:rPr>
      </w:pPr>
    </w:p>
    <w:p>
      <w:pPr>
        <w:pStyle w:val="17"/>
        <w:jc w:val="center"/>
        <w:rPr>
          <w:sz w:val="32"/>
          <w:szCs w:val="32"/>
        </w:rPr>
      </w:pPr>
    </w:p>
    <w:p>
      <w:pPr>
        <w:pStyle w:val="17"/>
        <w:jc w:val="center"/>
        <w:rPr>
          <w:sz w:val="32"/>
          <w:szCs w:val="32"/>
        </w:rPr>
      </w:pPr>
    </w:p>
    <w:p>
      <w:pPr>
        <w:pStyle w:val="17"/>
        <w:jc w:val="center"/>
        <w:rPr>
          <w:sz w:val="32"/>
          <w:szCs w:val="32"/>
        </w:rPr>
      </w:pPr>
    </w:p>
    <w:p>
      <w:pPr>
        <w:pStyle w:val="17"/>
        <w:jc w:val="center"/>
        <w:rPr>
          <w:sz w:val="32"/>
          <w:szCs w:val="32"/>
        </w:rPr>
      </w:pPr>
    </w:p>
    <w:p>
      <w:pPr>
        <w:pStyle w:val="17"/>
        <w:jc w:val="center"/>
        <w:rPr>
          <w:sz w:val="32"/>
          <w:szCs w:val="32"/>
        </w:rPr>
      </w:pPr>
    </w:p>
    <w:p>
      <w:pPr>
        <w:pStyle w:val="17"/>
        <w:jc w:val="center"/>
        <w:rPr>
          <w:sz w:val="32"/>
          <w:szCs w:val="32"/>
        </w:rPr>
      </w:pPr>
    </w:p>
    <w:p>
      <w:pPr>
        <w:pStyle w:val="17"/>
        <w:jc w:val="center"/>
        <w:rPr>
          <w:sz w:val="32"/>
          <w:szCs w:val="32"/>
        </w:rPr>
      </w:pPr>
    </w:p>
    <w:p>
      <w:pPr>
        <w:rPr>
          <w:sz w:val="32"/>
          <w:szCs w:val="32"/>
        </w:rPr>
      </w:pPr>
      <w:r>
        <w:rPr>
          <w:sz w:val="32"/>
          <w:szCs w:val="32"/>
        </w:rPr>
        <w:br w:type="page"/>
      </w:r>
    </w:p>
    <w:p>
      <w:pPr>
        <w:pStyle w:val="17"/>
        <w:spacing w:line="500" w:lineRule="exact"/>
        <w:jc w:val="center"/>
        <w:rPr>
          <w:rFonts w:hint="eastAsia"/>
          <w:b/>
          <w:sz w:val="36"/>
          <w:szCs w:val="28"/>
        </w:rPr>
      </w:pPr>
      <w:r>
        <w:rPr>
          <w:rFonts w:hint="eastAsia"/>
          <w:b/>
          <w:sz w:val="36"/>
          <w:szCs w:val="28"/>
        </w:rPr>
        <w:t>目</w:t>
      </w:r>
      <w:r>
        <w:rPr>
          <w:rFonts w:hint="eastAsia"/>
          <w:b/>
          <w:sz w:val="36"/>
          <w:szCs w:val="28"/>
          <w:lang w:val="en-US" w:eastAsia="zh-CN"/>
        </w:rPr>
        <w:t xml:space="preserve">   </w:t>
      </w:r>
      <w:r>
        <w:rPr>
          <w:rFonts w:hint="eastAsia"/>
          <w:b/>
          <w:sz w:val="36"/>
          <w:szCs w:val="28"/>
        </w:rPr>
        <w:t>录</w:t>
      </w:r>
    </w:p>
    <w:p>
      <w:pPr>
        <w:pStyle w:val="17"/>
        <w:spacing w:line="500" w:lineRule="exact"/>
        <w:jc w:val="center"/>
        <w:rPr>
          <w:rFonts w:hint="eastAsia"/>
          <w:b/>
          <w:sz w:val="36"/>
          <w:szCs w:val="28"/>
        </w:rPr>
      </w:pPr>
    </w:p>
    <w:p>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val="en-US" w:eastAsia="zh-CN"/>
        </w:rPr>
        <w:t>怀化市纪委监委</w:t>
      </w:r>
      <w:r>
        <w:rPr>
          <w:rFonts w:hint="eastAsia" w:ascii="黑体" w:hAnsi="黑体" w:eastAsia="黑体" w:cs="黑体"/>
          <w:b w:val="0"/>
          <w:bCs/>
          <w:sz w:val="28"/>
          <w:szCs w:val="28"/>
        </w:rPr>
        <w:t>概况</w:t>
      </w:r>
    </w:p>
    <w:p>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pPr>
        <w:pStyle w:val="17"/>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pPr>
        <w:pStyle w:val="17"/>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pPr>
        <w:pStyle w:val="17"/>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pPr>
        <w:pStyle w:val="17"/>
        <w:spacing w:line="500" w:lineRule="exact"/>
        <w:rPr>
          <w:rFonts w:hint="eastAsia" w:ascii="黑体" w:hAnsi="黑体" w:eastAsia="黑体" w:cs="黑体"/>
          <w:b w:val="0"/>
          <w:bCs/>
          <w:sz w:val="28"/>
          <w:szCs w:val="28"/>
        </w:rPr>
      </w:pPr>
    </w:p>
    <w:p>
      <w:pPr>
        <w:jc w:val="center"/>
        <w:rPr>
          <w:sz w:val="72"/>
          <w:szCs w:val="72"/>
        </w:rPr>
      </w:pPr>
    </w:p>
    <w:p>
      <w:pPr>
        <w:jc w:val="center"/>
        <w:rPr>
          <w:sz w:val="72"/>
          <w:szCs w:val="72"/>
        </w:rPr>
      </w:pPr>
    </w:p>
    <w:p>
      <w:pPr>
        <w:jc w:val="center"/>
        <w:rPr>
          <w:sz w:val="72"/>
          <w:szCs w:val="72"/>
        </w:rPr>
      </w:pPr>
    </w:p>
    <w:p>
      <w:pPr>
        <w:pStyle w:val="10"/>
        <w:rPr>
          <w:sz w:val="72"/>
          <w:szCs w:val="72"/>
        </w:rPr>
      </w:pPr>
    </w:p>
    <w:p>
      <w:pPr>
        <w:pStyle w:val="6"/>
        <w:rPr>
          <w:sz w:val="72"/>
          <w:szCs w:val="72"/>
        </w:rPr>
      </w:pPr>
    </w:p>
    <w:p>
      <w:pPr>
        <w:rPr>
          <w:sz w:val="72"/>
          <w:szCs w:val="72"/>
        </w:rPr>
      </w:pPr>
    </w:p>
    <w:p>
      <w:pPr>
        <w:pStyle w:val="10"/>
        <w:rPr>
          <w:sz w:val="72"/>
          <w:szCs w:val="72"/>
        </w:rPr>
      </w:pPr>
    </w:p>
    <w:p>
      <w:pPr>
        <w:pStyle w:val="6"/>
        <w:rPr>
          <w:sz w:val="72"/>
          <w:szCs w:val="72"/>
        </w:rPr>
      </w:pPr>
    </w:p>
    <w:p>
      <w:pPr>
        <w:rPr>
          <w:sz w:val="72"/>
          <w:szCs w:val="72"/>
        </w:rPr>
      </w:pPr>
    </w:p>
    <w:p>
      <w:pPr>
        <w:pStyle w:val="6"/>
      </w:pPr>
    </w:p>
    <w:p>
      <w:pPr>
        <w:jc w:val="center"/>
        <w:rPr>
          <w:sz w:val="72"/>
          <w:szCs w:val="72"/>
        </w:rPr>
      </w:pPr>
    </w:p>
    <w:p>
      <w:pPr>
        <w:rPr>
          <w:rFonts w:hint="eastAsia" w:ascii="方正小标宋_GBK" w:hAnsi="方正小标宋_GBK" w:eastAsia="方正小标宋_GBK" w:cs="方正小标宋_GBK"/>
          <w:sz w:val="72"/>
          <w:szCs w:val="72"/>
        </w:rPr>
      </w:pPr>
    </w:p>
    <w:p>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pPr>
        <w:pStyle w:val="17"/>
        <w:jc w:val="center"/>
        <w:rPr>
          <w:rFonts w:hint="eastAsia" w:ascii="方正小标宋_GBK" w:hAnsi="方正小标宋_GBK" w:eastAsia="方正小标宋_GBK" w:cs="方正小标宋_GBK"/>
          <w:sz w:val="84"/>
          <w:szCs w:val="84"/>
        </w:rPr>
      </w:pPr>
    </w:p>
    <w:p>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eastAsia="zh-CN"/>
        </w:rPr>
        <w:t>怀化市纪委监委</w:t>
      </w:r>
      <w:r>
        <w:rPr>
          <w:rFonts w:hint="eastAsia" w:ascii="方正小标宋_GBK" w:hAnsi="方正小标宋_GBK" w:eastAsia="方正小标宋_GBK" w:cs="方正小标宋_GBK"/>
          <w:sz w:val="84"/>
          <w:szCs w:val="84"/>
        </w:rPr>
        <w:t>概况</w:t>
      </w:r>
    </w:p>
    <w:p>
      <w:pPr>
        <w:jc w:val="center"/>
        <w:rPr>
          <w:rFonts w:hint="eastAsia" w:ascii="方正小标宋_GBK" w:hAnsi="方正小标宋_GBK" w:eastAsia="方正小标宋_GBK" w:cs="方正小标宋_GBK"/>
          <w:sz w:val="72"/>
          <w:szCs w:val="72"/>
        </w:rPr>
      </w:pPr>
    </w:p>
    <w:p>
      <w:pPr>
        <w:jc w:val="center"/>
        <w:rPr>
          <w:rFonts w:hint="eastAsia" w:ascii="方正小标宋_GBK" w:hAnsi="方正小标宋_GBK" w:eastAsia="方正小标宋_GBK" w:cs="方正小标宋_GBK"/>
          <w:sz w:val="72"/>
          <w:szCs w:val="72"/>
        </w:rPr>
      </w:pPr>
    </w:p>
    <w:p>
      <w:pPr>
        <w:jc w:val="center"/>
        <w:rPr>
          <w:sz w:val="72"/>
          <w:szCs w:val="72"/>
        </w:rPr>
      </w:pPr>
    </w:p>
    <w:p>
      <w:pPr>
        <w:pStyle w:val="6"/>
        <w:rPr>
          <w:sz w:val="72"/>
          <w:szCs w:val="72"/>
        </w:rPr>
      </w:pPr>
    </w:p>
    <w:p>
      <w:pPr>
        <w:jc w:val="center"/>
        <w:rPr>
          <w:sz w:val="72"/>
          <w:szCs w:val="72"/>
        </w:rPr>
      </w:pPr>
    </w:p>
    <w:p>
      <w:pPr>
        <w:rPr>
          <w:sz w:val="72"/>
          <w:szCs w:val="72"/>
        </w:rPr>
      </w:pPr>
      <w:r>
        <w:rPr>
          <w:sz w:val="72"/>
          <w:szCs w:val="72"/>
        </w:rPr>
        <w:br w:type="page"/>
      </w:r>
    </w:p>
    <w:p>
      <w:pPr>
        <w:pStyle w:val="10"/>
      </w:pPr>
    </w:p>
    <w:p>
      <w:pPr>
        <w:pStyle w:val="18"/>
        <w:numPr>
          <w:ilvl w:val="0"/>
          <w:numId w:val="0"/>
        </w:numPr>
        <w:ind w:leftChars="0"/>
        <w:jc w:val="left"/>
        <w:rPr>
          <w:rFonts w:hint="eastAsia" w:ascii="Times New Roman" w:hAnsi="Times New Roman" w:eastAsia="仿宋_GB2312" w:cs="仿宋_GB2312"/>
          <w:bCs/>
          <w:kern w:val="0"/>
          <w:sz w:val="32"/>
          <w:szCs w:val="32"/>
          <w:lang w:val="en-US" w:eastAsia="zh-CN" w:bidi="ar-SA"/>
        </w:rPr>
      </w:pPr>
      <w:r>
        <w:rPr>
          <w:rFonts w:hint="eastAsia" w:ascii="黑体" w:hAnsi="黑体" w:eastAsia="黑体" w:cs="黑体"/>
          <w:b w:val="0"/>
          <w:bCs w:val="0"/>
          <w:sz w:val="32"/>
          <w:szCs w:val="32"/>
          <w:lang w:eastAsia="zh-CN"/>
        </w:rPr>
        <w:t>一、</w:t>
      </w:r>
      <w:r>
        <w:rPr>
          <w:rFonts w:hint="eastAsia" w:ascii="黑体" w:hAnsi="黑体" w:eastAsia="黑体" w:cs="黑体"/>
          <w:b w:val="0"/>
          <w:bCs w:val="0"/>
          <w:sz w:val="32"/>
          <w:szCs w:val="32"/>
        </w:rPr>
        <w:t>部门职责</w:t>
      </w:r>
    </w:p>
    <w:p>
      <w:pPr>
        <w:pStyle w:val="18"/>
        <w:numPr>
          <w:ilvl w:val="0"/>
          <w:numId w:val="0"/>
        </w:numPr>
        <w:ind w:leftChars="0" w:firstLine="640" w:firstLineChars="200"/>
        <w:jc w:val="left"/>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根据《中共怀化市纪律检查委员会  怀化市监察委员会机关内设机构和人员编制方案》，怀化市纪委监委是中国共产党统一领导下的推进全面从严治党，开展党风廉政建设和反腐败斗争的工作机构，履行纪检、监察两项职责，实行一套工作机构、两个机关名称、共同设立内设机构的运转管理模式。</w:t>
      </w:r>
    </w:p>
    <w:p>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r>
        <w:rPr>
          <w:rFonts w:hint="eastAsia" w:ascii="Times New Roman" w:hAnsi="Times New Roman" w:eastAsia="仿宋_GB2312" w:cs="仿宋_GB2312"/>
          <w:bCs/>
          <w:kern w:val="0"/>
          <w:sz w:val="32"/>
          <w:szCs w:val="32"/>
          <w:lang w:eastAsia="zh-CN"/>
        </w:rPr>
        <w:t>怀化市纪委监委</w:t>
      </w:r>
      <w:r>
        <w:rPr>
          <w:rFonts w:hint="eastAsia" w:ascii="Times New Roman" w:hAnsi="Times New Roman" w:eastAsia="仿宋_GB2312" w:cs="仿宋_GB2312"/>
          <w:bCs/>
          <w:kern w:val="0"/>
          <w:sz w:val="32"/>
          <w:szCs w:val="32"/>
        </w:rPr>
        <w:t>内设机构包括：</w:t>
      </w:r>
      <w:r>
        <w:rPr>
          <w:rFonts w:hint="eastAsia" w:ascii="仿宋" w:hAnsi="仿宋" w:eastAsia="仿宋" w:cs="仿宋"/>
          <w:sz w:val="32"/>
          <w:szCs w:val="32"/>
        </w:rPr>
        <w:t>怀化市纪委监委作为一级部门预算单位，内设19个部室为：办公室、组织部、宣传部、调研法规室、党风政风监督室、信访室、案件监督管理室、第一至第五监督检查室、第六至第九审查调查室、案件审理室、纪检监察干部监督室、信息技术保障室；3个下属事业单位</w:t>
      </w:r>
      <w:r>
        <w:rPr>
          <w:rFonts w:hint="eastAsia" w:ascii="仿宋" w:hAnsi="仿宋" w:eastAsia="仿宋" w:cs="仿宋"/>
          <w:sz w:val="32"/>
          <w:szCs w:val="32"/>
          <w:lang w:eastAsia="zh-CN"/>
        </w:rPr>
        <w:t>（财务未独立核算）</w:t>
      </w:r>
      <w:r>
        <w:rPr>
          <w:rFonts w:hint="eastAsia" w:ascii="仿宋" w:hAnsi="仿宋" w:eastAsia="仿宋" w:cs="仿宋"/>
          <w:sz w:val="32"/>
          <w:szCs w:val="32"/>
        </w:rPr>
        <w:t>：怀化市</w:t>
      </w:r>
      <w:r>
        <w:rPr>
          <w:rFonts w:hint="eastAsia" w:ascii="仿宋" w:hAnsi="仿宋" w:eastAsia="仿宋" w:cs="仿宋"/>
          <w:sz w:val="32"/>
          <w:szCs w:val="32"/>
          <w:lang w:eastAsia="zh-CN"/>
        </w:rPr>
        <w:t>纪委监委案件管理中心</w:t>
      </w:r>
      <w:r>
        <w:rPr>
          <w:rFonts w:hint="eastAsia" w:ascii="仿宋" w:hAnsi="仿宋" w:eastAsia="仿宋" w:cs="仿宋"/>
          <w:sz w:val="32"/>
          <w:szCs w:val="32"/>
        </w:rPr>
        <w:t>、怀化市</w:t>
      </w:r>
      <w:r>
        <w:rPr>
          <w:rFonts w:hint="eastAsia" w:ascii="仿宋" w:hAnsi="仿宋" w:eastAsia="仿宋" w:cs="仿宋"/>
          <w:sz w:val="32"/>
          <w:szCs w:val="32"/>
          <w:lang w:eastAsia="zh-CN"/>
        </w:rPr>
        <w:t>纪委监委大数据监督服务中心</w:t>
      </w:r>
      <w:r>
        <w:rPr>
          <w:rFonts w:hint="eastAsia" w:ascii="仿宋" w:hAnsi="仿宋" w:eastAsia="仿宋" w:cs="仿宋"/>
          <w:sz w:val="32"/>
          <w:szCs w:val="32"/>
        </w:rPr>
        <w:t>、怀化市</w:t>
      </w:r>
      <w:r>
        <w:rPr>
          <w:rFonts w:hint="eastAsia" w:ascii="仿宋" w:hAnsi="仿宋" w:eastAsia="仿宋" w:cs="仿宋"/>
          <w:sz w:val="32"/>
          <w:szCs w:val="32"/>
          <w:lang w:eastAsia="zh-CN"/>
        </w:rPr>
        <w:t>纪委监委</w:t>
      </w:r>
      <w:r>
        <w:rPr>
          <w:rFonts w:hint="eastAsia" w:ascii="仿宋" w:hAnsi="仿宋" w:eastAsia="仿宋" w:cs="仿宋"/>
          <w:sz w:val="32"/>
          <w:szCs w:val="32"/>
        </w:rPr>
        <w:t>信息中心；1个代管机构</w:t>
      </w:r>
      <w:r>
        <w:rPr>
          <w:rFonts w:hint="eastAsia" w:ascii="仿宋" w:hAnsi="仿宋" w:eastAsia="仿宋" w:cs="仿宋"/>
          <w:sz w:val="32"/>
          <w:szCs w:val="32"/>
          <w:lang w:eastAsia="zh-CN"/>
        </w:rPr>
        <w:t>（财务未独立核算）</w:t>
      </w:r>
      <w:r>
        <w:rPr>
          <w:rFonts w:hint="eastAsia" w:ascii="仿宋" w:hAnsi="仿宋" w:eastAsia="仿宋" w:cs="仿宋"/>
          <w:sz w:val="32"/>
          <w:szCs w:val="32"/>
        </w:rPr>
        <w:t>：怀化市委巡察办。</w:t>
      </w:r>
    </w:p>
    <w:p>
      <w:pPr>
        <w:widowControl/>
        <w:spacing w:line="600" w:lineRule="exact"/>
        <w:ind w:firstLine="640" w:firstLineChars="200"/>
        <w:rPr>
          <w:rFonts w:hint="eastAsia" w:ascii="仿宋" w:hAnsi="仿宋" w:eastAsia="仿宋" w:cs="仿宋"/>
          <w:color w:val="000000"/>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ascii="仿宋" w:hAnsi="仿宋" w:eastAsia="仿宋" w:cs="仿宋"/>
          <w:color w:val="000000"/>
          <w:kern w:val="0"/>
          <w:sz w:val="32"/>
          <w:szCs w:val="32"/>
        </w:rPr>
        <w:t>怀化市纪委监委</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仿宋" w:hAnsi="仿宋" w:eastAsia="仿宋" w:cs="仿宋"/>
          <w:color w:val="000000"/>
          <w:kern w:val="0"/>
          <w:sz w:val="32"/>
          <w:szCs w:val="32"/>
        </w:rPr>
        <w:t>怀化市纪委监委</w:t>
      </w:r>
      <w:r>
        <w:rPr>
          <w:rFonts w:hint="eastAsia" w:ascii="仿宋" w:hAnsi="仿宋" w:eastAsia="仿宋" w:cs="仿宋"/>
          <w:color w:val="000000"/>
          <w:kern w:val="0"/>
          <w:sz w:val="32"/>
          <w:szCs w:val="32"/>
          <w:lang w:eastAsia="zh-CN"/>
        </w:rPr>
        <w:t>本级，无其他独立预算的二级单位。</w:t>
      </w:r>
    </w:p>
    <w:p>
      <w:pPr>
        <w:jc w:val="left"/>
        <w:rPr>
          <w:rFonts w:ascii="仿宋_GB2312" w:eastAsia="仿宋_GB2312" w:hAnsiTheme="minorEastAsia"/>
          <w:sz w:val="28"/>
          <w:szCs w:val="32"/>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p>
    <w:p>
      <w:pPr>
        <w:rPr>
          <w:rFonts w:ascii="黑体" w:hAnsi="黑体" w:eastAsia="黑体"/>
          <w:sz w:val="28"/>
          <w:szCs w:val="28"/>
        </w:rPr>
      </w:pPr>
      <w:r>
        <w:rPr>
          <w:rFonts w:ascii="黑体" w:hAnsi="黑体" w:eastAsia="黑体"/>
          <w:sz w:val="28"/>
          <w:szCs w:val="28"/>
        </w:rPr>
        <w:br w:type="page"/>
      </w:r>
    </w:p>
    <w:p>
      <w:pPr>
        <w:jc w:val="center"/>
        <w:rPr>
          <w:sz w:val="72"/>
          <w:szCs w:val="72"/>
        </w:rPr>
      </w:pPr>
    </w:p>
    <w:p>
      <w:pPr>
        <w:pStyle w:val="10"/>
        <w:rPr>
          <w:sz w:val="72"/>
          <w:szCs w:val="72"/>
        </w:rPr>
      </w:pPr>
    </w:p>
    <w:p>
      <w:pPr>
        <w:pStyle w:val="6"/>
      </w:pPr>
    </w:p>
    <w:p>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pPr>
        <w:pStyle w:val="17"/>
        <w:jc w:val="center"/>
        <w:rPr>
          <w:rFonts w:hint="eastAsia" w:ascii="方正小标宋_GBK" w:hAnsi="方正小标宋_GBK" w:eastAsia="方正小标宋_GBK" w:cs="方正小标宋_GBK"/>
          <w:sz w:val="84"/>
          <w:szCs w:val="84"/>
        </w:rPr>
      </w:pPr>
    </w:p>
    <w:p>
      <w:pPr>
        <w:pStyle w:val="17"/>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pPr>
        <w:jc w:val="center"/>
        <w:rPr>
          <w:sz w:val="72"/>
          <w:szCs w:val="72"/>
        </w:rPr>
      </w:pPr>
    </w:p>
    <w:p>
      <w:pPr>
        <w:jc w:val="center"/>
        <w:rPr>
          <w:sz w:val="72"/>
          <w:szCs w:val="72"/>
        </w:rPr>
      </w:pPr>
    </w:p>
    <w:p>
      <w:pPr>
        <w:pStyle w:val="10"/>
        <w:rPr>
          <w:sz w:val="72"/>
          <w:szCs w:val="72"/>
        </w:rPr>
      </w:pPr>
    </w:p>
    <w:p>
      <w:pPr>
        <w:pStyle w:val="6"/>
        <w:rPr>
          <w:sz w:val="72"/>
          <w:szCs w:val="72"/>
        </w:rPr>
      </w:pPr>
    </w:p>
    <w:p>
      <w:pPr>
        <w:rPr>
          <w:sz w:val="72"/>
          <w:szCs w:val="72"/>
        </w:rPr>
      </w:pPr>
    </w:p>
    <w:p>
      <w:pPr>
        <w:pStyle w:val="10"/>
        <w:rPr>
          <w:sz w:val="72"/>
          <w:szCs w:val="72"/>
        </w:rPr>
      </w:pPr>
    </w:p>
    <w:p>
      <w:pPr>
        <w:pStyle w:val="6"/>
        <w:rPr>
          <w:sz w:val="72"/>
          <w:szCs w:val="72"/>
        </w:rPr>
      </w:pPr>
    </w:p>
    <w:p>
      <w:pPr>
        <w:rPr>
          <w:sz w:val="72"/>
          <w:szCs w:val="72"/>
        </w:rPr>
      </w:pPr>
    </w:p>
    <w:p>
      <w:pPr>
        <w:pStyle w:val="10"/>
        <w:rPr>
          <w:sz w:val="72"/>
          <w:szCs w:val="72"/>
        </w:rPr>
      </w:pPr>
    </w:p>
    <w:p>
      <w:pPr>
        <w:pStyle w:val="6"/>
        <w:rPr>
          <w:sz w:val="72"/>
          <w:szCs w:val="72"/>
        </w:rPr>
      </w:pPr>
    </w:p>
    <w:p>
      <w:pPr>
        <w:rPr>
          <w:sz w:val="72"/>
          <w:szCs w:val="72"/>
        </w:rPr>
      </w:pPr>
    </w:p>
    <w:p>
      <w:pPr>
        <w:pStyle w:val="10"/>
      </w:pPr>
    </w:p>
    <w:p>
      <w:pPr>
        <w:jc w:val="center"/>
        <w:rPr>
          <w:sz w:val="72"/>
          <w:szCs w:val="72"/>
        </w:rPr>
      </w:pPr>
    </w:p>
    <w:p>
      <w:pPr>
        <w:jc w:val="center"/>
        <w:rPr>
          <w:sz w:val="72"/>
          <w:szCs w:val="72"/>
        </w:rPr>
      </w:pPr>
    </w:p>
    <w:p>
      <w:pPr>
        <w:jc w:val="center"/>
        <w:rPr>
          <w:sz w:val="72"/>
          <w:szCs w:val="72"/>
        </w:rPr>
      </w:pPr>
    </w:p>
    <w:p>
      <w:pPr>
        <w:jc w:val="left"/>
        <w:rPr>
          <w:sz w:val="32"/>
          <w:szCs w:val="32"/>
        </w:rPr>
      </w:pPr>
    </w:p>
    <w:p>
      <w:pPr>
        <w:jc w:val="left"/>
        <w:rPr>
          <w:rFonts w:asciiTheme="minorEastAsia" w:hAnsiTheme="minorEastAsia"/>
          <w:sz w:val="32"/>
          <w:szCs w:val="32"/>
        </w:rPr>
        <w:sectPr>
          <w:pgSz w:w="11906" w:h="16838"/>
          <w:pgMar w:top="2154" w:right="1531" w:bottom="1871" w:left="1531" w:header="851" w:footer="992" w:gutter="0"/>
          <w:cols w:space="425" w:num="1"/>
          <w:docGrid w:type="lines" w:linePitch="312" w:charSpace="0"/>
        </w:sectPr>
      </w:pPr>
    </w:p>
    <w:tbl>
      <w:tblPr>
        <w:tblStyle w:val="12"/>
        <w:tblW w:w="15428" w:type="dxa"/>
        <w:tblInd w:w="0" w:type="dxa"/>
        <w:tblLayout w:type="fixed"/>
        <w:tblCellMar>
          <w:top w:w="0" w:type="dxa"/>
          <w:left w:w="0" w:type="dxa"/>
          <w:bottom w:w="0" w:type="dxa"/>
          <w:right w:w="0" w:type="dxa"/>
        </w:tblCellMar>
      </w:tblPr>
      <w:tblGrid>
        <w:gridCol w:w="297"/>
        <w:gridCol w:w="564"/>
        <w:gridCol w:w="4064"/>
        <w:gridCol w:w="1405"/>
        <w:gridCol w:w="1404"/>
        <w:gridCol w:w="1568"/>
        <w:gridCol w:w="1432"/>
        <w:gridCol w:w="1309"/>
        <w:gridCol w:w="1991"/>
        <w:gridCol w:w="1394"/>
      </w:tblGrid>
      <w:tr>
        <w:tblPrEx>
          <w:tblLayout w:type="fixed"/>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12"/>
              <w:tblW w:w="1418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89"/>
              <w:gridCol w:w="602"/>
              <w:gridCol w:w="1006"/>
              <w:gridCol w:w="317"/>
              <w:gridCol w:w="4950"/>
              <w:gridCol w:w="1681"/>
              <w:gridCol w:w="295"/>
              <w:gridCol w:w="304"/>
              <w:gridCol w:w="54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04" w:hRule="atLeast"/>
                <w:jc w:val="center"/>
              </w:trPr>
              <w:tc>
                <w:tcPr>
                  <w:tcW w:w="4489" w:type="dxa"/>
                  <w:tcBorders>
                    <w:top w:val="nil"/>
                    <w:left w:val="nil"/>
                    <w:bottom w:val="nil"/>
                    <w:right w:val="nil"/>
                  </w:tcBorders>
                  <w:shd w:val="clear" w:color="auto" w:fill="auto"/>
                  <w:noWrap/>
                  <w:vAlign w:val="center"/>
                </w:tcPr>
                <w:p>
                  <w:pPr>
                    <w:jc w:val="left"/>
                    <w:rPr>
                      <w:rFonts w:hint="eastAsia" w:ascii="黑体" w:hAnsi="宋体" w:eastAsia="黑体" w:cs="黑体"/>
                      <w:i w:val="0"/>
                      <w:color w:val="000000"/>
                      <w:sz w:val="24"/>
                      <w:szCs w:val="24"/>
                      <w:u w:val="none"/>
                    </w:rPr>
                  </w:pPr>
                </w:p>
              </w:tc>
              <w:tc>
                <w:tcPr>
                  <w:tcW w:w="602"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323"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4950" w:type="dxa"/>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1976" w:type="dxa"/>
                  <w:gridSpan w:val="2"/>
                  <w:tcBorders>
                    <w:top w:val="nil"/>
                    <w:left w:val="nil"/>
                    <w:bottom w:val="nil"/>
                    <w:right w:val="nil"/>
                  </w:tcBorders>
                  <w:shd w:val="clear" w:color="auto" w:fill="auto"/>
                  <w:noWrap/>
                  <w:vAlign w:val="center"/>
                </w:tcPr>
                <w:p>
                  <w:pPr>
                    <w:jc w:val="right"/>
                    <w:rPr>
                      <w:rFonts w:hint="eastAsia" w:ascii="宋体" w:hAnsi="宋体" w:eastAsia="宋体" w:cs="宋体"/>
                      <w:i w:val="0"/>
                      <w:color w:val="000000"/>
                      <w:sz w:val="24"/>
                      <w:szCs w:val="24"/>
                      <w:u w:val="none"/>
                    </w:rPr>
                  </w:pPr>
                </w:p>
              </w:tc>
              <w:tc>
                <w:tcPr>
                  <w:tcW w:w="846" w:type="dxa"/>
                  <w:gridSpan w:val="2"/>
                  <w:tcBorders>
                    <w:top w:val="nil"/>
                    <w:left w:val="nil"/>
                    <w:bottom w:val="nil"/>
                    <w:right w:val="nil"/>
                  </w:tcBorders>
                  <w:shd w:val="clear" w:color="auto" w:fill="auto"/>
                  <w:noWrap/>
                  <w:vAlign w:val="center"/>
                </w:tcPr>
                <w:p>
                  <w:pPr>
                    <w:jc w:val="right"/>
                    <w:rPr>
                      <w:rFonts w:hint="eastAsia" w:ascii="黑体" w:hAnsi="宋体" w:eastAsia="黑体" w:cs="黑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542" w:type="dxa"/>
                <w:trHeight w:val="609" w:hRule="atLeast"/>
                <w:jc w:val="center"/>
              </w:trPr>
              <w:tc>
                <w:tcPr>
                  <w:tcW w:w="13644" w:type="dxa"/>
                  <w:gridSpan w:val="8"/>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jc w:val="center"/>
              </w:trPr>
              <w:tc>
                <w:tcPr>
                  <w:tcW w:w="4489"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602"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323"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950"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822" w:type="dxa"/>
                  <w:gridSpan w:val="4"/>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04" w:hRule="atLeast"/>
                <w:jc w:val="center"/>
              </w:trPr>
              <w:tc>
                <w:tcPr>
                  <w:tcW w:w="4489"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602"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1323" w:type="dxa"/>
                  <w:gridSpan w:val="2"/>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4950" w:type="dxa"/>
                  <w:tcBorders>
                    <w:top w:val="nil"/>
                    <w:left w:val="nil"/>
                    <w:bottom w:val="nil"/>
                    <w:right w:val="nil"/>
                  </w:tcBorders>
                  <w:shd w:val="clear" w:color="auto" w:fill="FFFFFF"/>
                  <w:noWrap/>
                  <w:vAlign w:val="center"/>
                </w:tcPr>
                <w:p>
                  <w:pPr>
                    <w:jc w:val="right"/>
                    <w:rPr>
                      <w:rFonts w:hint="eastAsia" w:ascii="宋体" w:hAnsi="宋体" w:eastAsia="宋体" w:cs="宋体"/>
                      <w:i w:val="0"/>
                      <w:color w:val="000000"/>
                      <w:sz w:val="24"/>
                      <w:szCs w:val="24"/>
                      <w:u w:val="none"/>
                    </w:rPr>
                  </w:pPr>
                </w:p>
              </w:tc>
              <w:tc>
                <w:tcPr>
                  <w:tcW w:w="2822" w:type="dxa"/>
                  <w:gridSpan w:val="4"/>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542" w:type="dxa"/>
                <w:trHeight w:val="448" w:hRule="atLeast"/>
                <w:jc w:val="center"/>
              </w:trPr>
              <w:tc>
                <w:tcPr>
                  <w:tcW w:w="6097"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7547"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9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9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color w:val="000000"/>
                      <w:sz w:val="24"/>
                      <w:szCs w:val="24"/>
                      <w:u w:val="none"/>
                    </w:rPr>
                  </w:pP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18576.86</w:t>
                  </w:r>
                </w:p>
              </w:tc>
              <w:tc>
                <w:tcPr>
                  <w:tcW w:w="49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17885.27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9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9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9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9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9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六、社会保障和就业支出</w:t>
                  </w: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486.63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lang w:eastAsia="zh-CN"/>
                    </w:rPr>
                  </w:pPr>
                  <w:r>
                    <w:rPr>
                      <w:rFonts w:hint="eastAsia" w:ascii="宋体" w:hAnsi="宋体" w:eastAsia="宋体" w:cs="宋体"/>
                      <w:i w:val="0"/>
                      <w:color w:val="000000"/>
                      <w:sz w:val="24"/>
                      <w:szCs w:val="24"/>
                      <w:u w:val="none"/>
                      <w:lang w:eastAsia="zh-CN"/>
                    </w:rPr>
                    <w:t>七、卫生健康支出</w:t>
                  </w: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204.95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4"/>
                      <w:szCs w:val="24"/>
                      <w:u w:val="none"/>
                      <w:lang w:val="en-US" w:eastAsia="zh-CN" w:bidi="ar"/>
                    </w:rPr>
                    <w:t>……</w:t>
                  </w: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0"/>
                      <w:szCs w:val="20"/>
                      <w:u w:val="none"/>
                    </w:rPr>
                  </w:pP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b/>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18576.86</w:t>
                  </w: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2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color w:val="000000"/>
                      <w:sz w:val="22"/>
                      <w:szCs w:val="22"/>
                      <w:u w:val="none"/>
                    </w:rPr>
                  </w:pPr>
                </w:p>
              </w:tc>
              <w:tc>
                <w:tcPr>
                  <w:tcW w:w="4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48" w:hRule="atLeast"/>
                <w:jc w:val="center"/>
              </w:trPr>
              <w:tc>
                <w:tcPr>
                  <w:tcW w:w="44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60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3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18576.86</w:t>
                  </w:r>
                </w:p>
              </w:tc>
              <w:tc>
                <w:tcPr>
                  <w:tcW w:w="495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68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14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宋体" w:hAnsi="宋体" w:eastAsia="宋体" w:cs="宋体"/>
                      <w:b/>
                      <w:i w:val="0"/>
                      <w:color w:val="000000"/>
                      <w:sz w:val="22"/>
                      <w:szCs w:val="22"/>
                      <w:u w:val="none"/>
                      <w:lang w:val="en-US" w:eastAsia="zh-CN"/>
                    </w:rPr>
                  </w:pPr>
                  <w:r>
                    <w:rPr>
                      <w:rFonts w:hint="eastAsia" w:ascii="宋体" w:hAnsi="宋体" w:eastAsia="宋体" w:cs="宋体"/>
                      <w:b/>
                      <w:i w:val="0"/>
                      <w:color w:val="000000"/>
                      <w:sz w:val="22"/>
                      <w:szCs w:val="22"/>
                      <w:u w:val="none"/>
                      <w:lang w:val="en-US" w:eastAsia="zh-CN"/>
                    </w:rPr>
                    <w:t>18576.86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gridAfter w:val="1"/>
                <w:wAfter w:w="542" w:type="dxa"/>
                <w:trHeight w:val="1015" w:hRule="atLeast"/>
                <w:jc w:val="center"/>
              </w:trPr>
              <w:tc>
                <w:tcPr>
                  <w:tcW w:w="13644" w:type="dxa"/>
                  <w:gridSpan w:val="8"/>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tblPrEx>
          <w:tblLayout w:type="fixed"/>
          <w:tblCellMar>
            <w:top w:w="0" w:type="dxa"/>
            <w:left w:w="0" w:type="dxa"/>
            <w:bottom w:w="0" w:type="dxa"/>
            <w:right w:w="0" w:type="dxa"/>
          </w:tblCellMar>
        </w:tblPrEx>
        <w:trPr>
          <w:trHeight w:val="285" w:hRule="atLeast"/>
        </w:trPr>
        <w:tc>
          <w:tcPr>
            <w:tcW w:w="297"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56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406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5"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68"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32"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09"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91"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9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公开02表</w:t>
            </w:r>
          </w:p>
        </w:tc>
      </w:tr>
      <w:tr>
        <w:tblPrEx>
          <w:tblLayout w:type="fixed"/>
          <w:tblCellMar>
            <w:top w:w="0" w:type="dxa"/>
            <w:left w:w="0" w:type="dxa"/>
            <w:bottom w:w="0" w:type="dxa"/>
            <w:right w:w="0" w:type="dxa"/>
          </w:tblCellMar>
        </w:tblPrEx>
        <w:trPr>
          <w:trHeight w:val="285" w:hRule="atLeast"/>
        </w:trPr>
        <w:tc>
          <w:tcPr>
            <w:tcW w:w="861" w:type="dxa"/>
            <w:gridSpan w:val="2"/>
            <w:tcBorders>
              <w:top w:val="nil"/>
              <w:left w:val="nil"/>
              <w:bottom w:val="nil"/>
              <w:right w:val="nil"/>
            </w:tcBorders>
            <w:shd w:val="clear" w:color="000000" w:fill="FFFFFF"/>
            <w:noWrap/>
            <w:tcMar>
              <w:top w:w="15" w:type="dxa"/>
              <w:left w:w="15" w:type="dxa"/>
              <w:bottom w:w="0" w:type="dxa"/>
              <w:right w:w="15" w:type="dxa"/>
            </w:tcMar>
            <w:vAlign w:val="center"/>
          </w:tcPr>
          <w:p>
            <w:pPr>
              <w:rPr>
                <w:rFonts w:ascii="宋体" w:hAnsi="宋体" w:eastAsia="宋体" w:cs="宋体"/>
                <w:color w:val="000000"/>
                <w:sz w:val="20"/>
                <w:szCs w:val="20"/>
              </w:rPr>
            </w:pPr>
            <w:r>
              <w:rPr>
                <w:rFonts w:hint="eastAsia"/>
                <w:color w:val="000000"/>
                <w:sz w:val="20"/>
                <w:szCs w:val="20"/>
              </w:rPr>
              <w:t>部门：</w:t>
            </w:r>
          </w:p>
        </w:tc>
        <w:tc>
          <w:tcPr>
            <w:tcW w:w="4064" w:type="dxa"/>
            <w:tcBorders>
              <w:top w:val="nil"/>
              <w:left w:val="nil"/>
              <w:bottom w:val="nil"/>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5" w:type="dxa"/>
            <w:tcBorders>
              <w:top w:val="nil"/>
              <w:left w:val="nil"/>
              <w:bottom w:val="single" w:color="auto" w:sz="4" w:space="0"/>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04" w:type="dxa"/>
            <w:tcBorders>
              <w:top w:val="nil"/>
              <w:left w:val="nil"/>
              <w:bottom w:val="single" w:color="auto" w:sz="4" w:space="0"/>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568" w:type="dxa"/>
            <w:tcBorders>
              <w:top w:val="nil"/>
              <w:left w:val="nil"/>
              <w:bottom w:val="single" w:color="auto" w:sz="4" w:space="0"/>
              <w:right w:val="nil"/>
            </w:tcBorders>
            <w:shd w:val="clear" w:color="000000" w:fill="FFFFFF"/>
            <w:noWrap/>
            <w:tcMar>
              <w:top w:w="15" w:type="dxa"/>
              <w:left w:w="15" w:type="dxa"/>
              <w:bottom w:w="0" w:type="dxa"/>
              <w:right w:w="15" w:type="dxa"/>
            </w:tcMar>
            <w:vAlign w:val="center"/>
          </w:tcPr>
          <w:p>
            <w:pPr>
              <w:jc w:val="center"/>
              <w:rPr>
                <w:rFonts w:ascii="宋体" w:hAnsi="宋体" w:eastAsia="宋体" w:cs="宋体"/>
                <w:color w:val="000000"/>
                <w:sz w:val="20"/>
                <w:szCs w:val="20"/>
              </w:rPr>
            </w:pPr>
            <w:r>
              <w:rPr>
                <w:rFonts w:hint="eastAsia"/>
                <w:color w:val="000000"/>
                <w:sz w:val="20"/>
                <w:szCs w:val="20"/>
              </w:rPr>
              <w:t>　</w:t>
            </w:r>
          </w:p>
        </w:tc>
        <w:tc>
          <w:tcPr>
            <w:tcW w:w="1432" w:type="dxa"/>
            <w:tcBorders>
              <w:top w:val="nil"/>
              <w:left w:val="nil"/>
              <w:bottom w:val="single" w:color="auto" w:sz="4" w:space="0"/>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09" w:type="dxa"/>
            <w:tcBorders>
              <w:top w:val="nil"/>
              <w:left w:val="nil"/>
              <w:bottom w:val="single" w:color="auto" w:sz="4" w:space="0"/>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91" w:type="dxa"/>
            <w:tcBorders>
              <w:top w:val="nil"/>
              <w:left w:val="nil"/>
              <w:bottom w:val="single" w:color="auto" w:sz="4" w:space="0"/>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94" w:type="dxa"/>
            <w:tcBorders>
              <w:top w:val="nil"/>
              <w:left w:val="nil"/>
              <w:bottom w:val="single" w:color="auto" w:sz="4" w:space="0"/>
              <w:right w:val="nil"/>
            </w:tcBorders>
            <w:shd w:val="clear" w:color="000000" w:fill="FFFFFF"/>
            <w:noWrap/>
            <w:tcMar>
              <w:top w:w="15" w:type="dxa"/>
              <w:left w:w="15" w:type="dxa"/>
              <w:bottom w:w="0" w:type="dxa"/>
              <w:right w:w="15" w:type="dxa"/>
            </w:tcMar>
            <w:vAlign w:val="center"/>
          </w:tcPr>
          <w:p>
            <w:pPr>
              <w:jc w:val="right"/>
              <w:rPr>
                <w:rFonts w:ascii="宋体" w:hAnsi="宋体" w:eastAsia="宋体" w:cs="宋体"/>
                <w:color w:val="000000"/>
                <w:sz w:val="20"/>
                <w:szCs w:val="20"/>
              </w:rPr>
            </w:pPr>
            <w:r>
              <w:rPr>
                <w:rFonts w:hint="eastAsia"/>
                <w:color w:val="000000"/>
                <w:sz w:val="20"/>
                <w:szCs w:val="20"/>
              </w:rPr>
              <w:t>单位：万元</w:t>
            </w:r>
          </w:p>
        </w:tc>
      </w:tr>
      <w:tr>
        <w:tblPrEx>
          <w:tblLayout w:type="fixed"/>
          <w:tblCellMar>
            <w:top w:w="0" w:type="dxa"/>
            <w:left w:w="0" w:type="dxa"/>
            <w:bottom w:w="0" w:type="dxa"/>
            <w:right w:w="0" w:type="dxa"/>
          </w:tblCellMar>
        </w:tblPrEx>
        <w:trPr>
          <w:trHeight w:val="450" w:hRule="atLeast"/>
        </w:trPr>
        <w:tc>
          <w:tcPr>
            <w:tcW w:w="4925"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项    目</w:t>
            </w:r>
          </w:p>
        </w:tc>
        <w:tc>
          <w:tcPr>
            <w:tcW w:w="140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本年收入合计</w:t>
            </w:r>
          </w:p>
        </w:tc>
        <w:tc>
          <w:tcPr>
            <w:tcW w:w="1404"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财政拨款收入</w:t>
            </w:r>
          </w:p>
        </w:tc>
        <w:tc>
          <w:tcPr>
            <w:tcW w:w="156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上级补助收入</w:t>
            </w:r>
          </w:p>
        </w:tc>
        <w:tc>
          <w:tcPr>
            <w:tcW w:w="143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事业收入</w:t>
            </w:r>
          </w:p>
        </w:tc>
        <w:tc>
          <w:tcPr>
            <w:tcW w:w="130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经营收入</w:t>
            </w:r>
          </w:p>
        </w:tc>
        <w:tc>
          <w:tcPr>
            <w:tcW w:w="199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附属单位上缴收入</w:t>
            </w:r>
          </w:p>
        </w:tc>
        <w:tc>
          <w:tcPr>
            <w:tcW w:w="139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其他收入</w:t>
            </w:r>
          </w:p>
        </w:tc>
      </w:tr>
      <w:tr>
        <w:tblPrEx>
          <w:tblLayout w:type="fixed"/>
          <w:tblCellMar>
            <w:top w:w="0" w:type="dxa"/>
            <w:left w:w="0" w:type="dxa"/>
            <w:bottom w:w="0" w:type="dxa"/>
            <w:right w:w="0" w:type="dxa"/>
          </w:tblCellMar>
        </w:tblPrEx>
        <w:trPr>
          <w:trHeight w:val="450"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功能分类科目编码</w:t>
            </w:r>
          </w:p>
        </w:tc>
        <w:tc>
          <w:tcPr>
            <w:tcW w:w="4064" w:type="dxa"/>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科目名称</w:t>
            </w:r>
          </w:p>
        </w:tc>
        <w:tc>
          <w:tcPr>
            <w:tcW w:w="1405"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0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568"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432"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09"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991"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c>
          <w:tcPr>
            <w:tcW w:w="1394" w:type="dxa"/>
            <w:vMerge w:val="continue"/>
            <w:tcBorders>
              <w:top w:val="single" w:color="auto" w:sz="4" w:space="0"/>
              <w:left w:val="single" w:color="auto" w:sz="4" w:space="0"/>
              <w:bottom w:val="single" w:color="auto" w:sz="4" w:space="0"/>
              <w:right w:val="single" w:color="auto" w:sz="4" w:space="0"/>
            </w:tcBorders>
            <w:vAlign w:val="center"/>
          </w:tcPr>
          <w:p>
            <w:pPr>
              <w:rPr>
                <w:rFonts w:ascii="宋体" w:hAnsi="宋体" w:eastAsia="宋体" w:cs="宋体"/>
                <w:sz w:val="24"/>
                <w:szCs w:val="24"/>
              </w:rPr>
            </w:pPr>
          </w:p>
        </w:tc>
      </w:tr>
      <w:tr>
        <w:tblPrEx>
          <w:tblLayout w:type="fixed"/>
          <w:tblCellMar>
            <w:top w:w="0" w:type="dxa"/>
            <w:left w:w="0" w:type="dxa"/>
            <w:bottom w:w="0" w:type="dxa"/>
            <w:right w:w="0" w:type="dxa"/>
          </w:tblCellMar>
        </w:tblPrEx>
        <w:trPr>
          <w:trHeight w:val="227" w:hRule="atLeast"/>
        </w:trPr>
        <w:tc>
          <w:tcPr>
            <w:tcW w:w="492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栏次</w:t>
            </w:r>
          </w:p>
        </w:tc>
        <w:tc>
          <w:tcPr>
            <w:tcW w:w="1405"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1</w:t>
            </w:r>
          </w:p>
        </w:tc>
        <w:tc>
          <w:tcPr>
            <w:tcW w:w="140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2</w:t>
            </w:r>
          </w:p>
        </w:tc>
        <w:tc>
          <w:tcPr>
            <w:tcW w:w="156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3</w:t>
            </w:r>
          </w:p>
        </w:tc>
        <w:tc>
          <w:tcPr>
            <w:tcW w:w="143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4</w:t>
            </w:r>
          </w:p>
        </w:tc>
        <w:tc>
          <w:tcPr>
            <w:tcW w:w="1309"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5</w:t>
            </w:r>
          </w:p>
        </w:tc>
        <w:tc>
          <w:tcPr>
            <w:tcW w:w="1991"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6</w:t>
            </w:r>
          </w:p>
        </w:tc>
        <w:tc>
          <w:tcPr>
            <w:tcW w:w="1394"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7</w:t>
            </w:r>
          </w:p>
        </w:tc>
      </w:tr>
      <w:tr>
        <w:tblPrEx>
          <w:tblLayout w:type="fixed"/>
          <w:tblCellMar>
            <w:top w:w="0" w:type="dxa"/>
            <w:left w:w="0" w:type="dxa"/>
            <w:bottom w:w="0" w:type="dxa"/>
            <w:right w:w="0" w:type="dxa"/>
          </w:tblCellMar>
        </w:tblPrEx>
        <w:trPr>
          <w:trHeight w:val="227" w:hRule="atLeast"/>
        </w:trPr>
        <w:tc>
          <w:tcPr>
            <w:tcW w:w="4925"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jc w:val="center"/>
              <w:rPr>
                <w:rFonts w:ascii="宋体" w:hAnsi="宋体" w:eastAsia="宋体" w:cs="宋体"/>
                <w:sz w:val="24"/>
                <w:szCs w:val="24"/>
              </w:rPr>
            </w:pPr>
            <w:r>
              <w:rPr>
                <w:rFonts w:hint="eastAsia"/>
              </w:rPr>
              <w:t>合计</w:t>
            </w:r>
          </w:p>
        </w:tc>
        <w:tc>
          <w:tcPr>
            <w:tcW w:w="1405"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i w:val="0"/>
                <w:color w:val="000000"/>
                <w:kern w:val="0"/>
                <w:sz w:val="22"/>
                <w:szCs w:val="22"/>
                <w:u w:val="none"/>
                <w:lang w:val="en-US" w:eastAsia="zh-CN" w:bidi="ar"/>
              </w:rPr>
              <w:t>18,576.86</w:t>
            </w:r>
          </w:p>
        </w:tc>
        <w:tc>
          <w:tcPr>
            <w:tcW w:w="140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i w:val="0"/>
                <w:color w:val="000000"/>
                <w:kern w:val="0"/>
                <w:sz w:val="22"/>
                <w:szCs w:val="22"/>
                <w:u w:val="none"/>
                <w:lang w:val="en-US" w:eastAsia="zh-CN" w:bidi="ar"/>
              </w:rPr>
              <w:t>18,576.86</w:t>
            </w:r>
          </w:p>
        </w:tc>
        <w:tc>
          <w:tcPr>
            <w:tcW w:w="1568"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32"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09"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91"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94" w:type="dxa"/>
            <w:tcBorders>
              <w:top w:val="single" w:color="auto" w:sz="4" w:space="0"/>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default" w:ascii="宋体" w:hAnsi="宋体" w:cs="宋体" w:eastAsiaTheme="minorEastAsia"/>
                <w:sz w:val="24"/>
                <w:szCs w:val="24"/>
                <w:lang w:val="en-US" w:eastAsia="zh-CN"/>
              </w:rPr>
            </w:pPr>
            <w:r>
              <w:rPr>
                <w:rFonts w:hint="eastAsia" w:ascii="宋体" w:hAnsi="宋体" w:eastAsia="宋体" w:cs="宋体"/>
                <w:i w:val="0"/>
                <w:color w:val="000000"/>
                <w:kern w:val="0"/>
                <w:sz w:val="22"/>
                <w:szCs w:val="22"/>
                <w:u w:val="none"/>
                <w:lang w:val="en-US" w:eastAsia="zh-CN" w:bidi="ar"/>
              </w:rPr>
              <w:t>201</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一般公共服务支出</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17,885.27</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17,885.27</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20111</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纪检监察事务</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color w:val="000000"/>
                <w:kern w:val="0"/>
                <w:sz w:val="22"/>
                <w:szCs w:val="22"/>
                <w:u w:val="none"/>
                <w:lang w:val="en-US" w:eastAsia="zh-CN" w:bidi="ar"/>
              </w:rPr>
              <w:t>17,734.97</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17,734.97</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2011101</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行政运行</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color w:val="000000"/>
                <w:kern w:val="0"/>
                <w:sz w:val="22"/>
                <w:szCs w:val="22"/>
                <w:u w:val="none"/>
                <w:lang w:val="en-US" w:eastAsia="zh-CN" w:bidi="ar"/>
              </w:rPr>
              <w:t>3,619.28</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3,619.28</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2011102</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color w:val="000000"/>
                <w:kern w:val="0"/>
                <w:sz w:val="22"/>
                <w:szCs w:val="22"/>
                <w:u w:val="none"/>
                <w:lang w:val="en-US" w:eastAsia="zh-CN" w:bidi="ar"/>
              </w:rPr>
              <w:t>792.47</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792.47</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2011104</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大案要案查处</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color w:val="000000"/>
                <w:kern w:val="0"/>
                <w:sz w:val="22"/>
                <w:szCs w:val="22"/>
                <w:u w:val="none"/>
                <w:lang w:val="en-US" w:eastAsia="zh-CN" w:bidi="ar"/>
              </w:rPr>
              <w:t>3,869.84</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3,869.84</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2011106</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巡视工作</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color w:val="000000"/>
                <w:kern w:val="0"/>
                <w:sz w:val="22"/>
                <w:szCs w:val="22"/>
                <w:u w:val="none"/>
                <w:lang w:val="en-US" w:eastAsia="zh-CN" w:bidi="ar"/>
              </w:rPr>
              <w:t>405.43</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405.43</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2011199</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其他纪检监察事务支出</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color w:val="000000"/>
                <w:kern w:val="0"/>
                <w:sz w:val="22"/>
                <w:szCs w:val="22"/>
                <w:u w:val="none"/>
                <w:lang w:val="en-US" w:eastAsia="zh-CN" w:bidi="ar"/>
              </w:rPr>
              <w:t>9,047.96</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9,047.96</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20199</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其他一般公共服务支出</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color w:val="000000"/>
                <w:kern w:val="0"/>
                <w:sz w:val="22"/>
                <w:szCs w:val="22"/>
                <w:u w:val="none"/>
                <w:lang w:val="en-US" w:eastAsia="zh-CN" w:bidi="ar"/>
              </w:rPr>
              <w:t>150.30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150.30</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2019999</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其他一般公共服务支出</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color w:val="000000"/>
                <w:kern w:val="0"/>
                <w:sz w:val="22"/>
                <w:szCs w:val="22"/>
                <w:u w:val="none"/>
                <w:lang w:val="en-US" w:eastAsia="zh-CN" w:bidi="ar"/>
              </w:rPr>
              <w:t>150.30</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150.30</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208</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社会保障和就业支出</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color w:val="000000"/>
                <w:kern w:val="0"/>
                <w:sz w:val="22"/>
                <w:szCs w:val="22"/>
                <w:u w:val="none"/>
                <w:lang w:val="en-US" w:eastAsia="zh-CN" w:bidi="ar"/>
              </w:rPr>
              <w:t>486.63</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486.63</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20805</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行政事业单位养老支出</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color w:val="000000"/>
                <w:kern w:val="0"/>
                <w:sz w:val="22"/>
                <w:szCs w:val="22"/>
                <w:u w:val="none"/>
                <w:lang w:val="en-US" w:eastAsia="zh-CN" w:bidi="ar"/>
              </w:rPr>
              <w:t>476.05</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476.05</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2080505</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color w:val="000000"/>
                <w:kern w:val="0"/>
                <w:sz w:val="22"/>
                <w:szCs w:val="22"/>
                <w:u w:val="none"/>
                <w:lang w:val="en-US" w:eastAsia="zh-CN" w:bidi="ar"/>
              </w:rPr>
              <w:t>408.94</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408.94</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2080599</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 xml:space="preserve">  其他行政事业单位养老支出</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color w:val="000000"/>
                <w:kern w:val="0"/>
                <w:sz w:val="22"/>
                <w:szCs w:val="22"/>
                <w:u w:val="none"/>
                <w:lang w:val="en-US" w:eastAsia="zh-CN" w:bidi="ar"/>
              </w:rPr>
              <w:t>67.11</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67.11</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20899</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hint="eastAsia"/>
              </w:rPr>
            </w:pPr>
            <w:r>
              <w:rPr>
                <w:rFonts w:hint="eastAsia" w:ascii="宋体" w:hAnsi="宋体" w:eastAsia="宋体" w:cs="宋体"/>
                <w:i w:val="0"/>
                <w:color w:val="000000"/>
                <w:kern w:val="0"/>
                <w:sz w:val="22"/>
                <w:szCs w:val="22"/>
                <w:u w:val="none"/>
                <w:lang w:val="en-US" w:eastAsia="zh-CN" w:bidi="ar"/>
              </w:rPr>
              <w:t>其他社会保障和就业支出</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ascii="华文中宋" w:hAnsi="华文中宋" w:eastAsia="华文中宋"/>
              </w:rPr>
            </w:pPr>
            <w:r>
              <w:rPr>
                <w:rFonts w:hint="eastAsia" w:ascii="宋体" w:hAnsi="宋体" w:eastAsia="宋体" w:cs="宋体"/>
                <w:i w:val="0"/>
                <w:color w:val="000000"/>
                <w:kern w:val="0"/>
                <w:sz w:val="22"/>
                <w:szCs w:val="22"/>
                <w:u w:val="none"/>
                <w:lang w:val="en-US" w:eastAsia="zh-CN" w:bidi="ar"/>
              </w:rPr>
              <w:t>10.58</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hint="eastAsia"/>
              </w:rPr>
            </w:pPr>
            <w:r>
              <w:rPr>
                <w:rFonts w:hint="eastAsia" w:ascii="宋体" w:hAnsi="宋体" w:eastAsia="宋体" w:cs="宋体"/>
                <w:i w:val="0"/>
                <w:color w:val="000000"/>
                <w:kern w:val="0"/>
                <w:sz w:val="22"/>
                <w:szCs w:val="22"/>
                <w:u w:val="none"/>
                <w:lang w:val="en-US" w:eastAsia="zh-CN" w:bidi="ar"/>
              </w:rPr>
              <w:t>10.58</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hint="eastAsia"/>
              </w:rPr>
            </w:pP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2089999</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其他社会保障和就业支出</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10.58</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10.58</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210</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卫生健康支出</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204.95</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204.95</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21011</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行政事业单位医疗</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204.95</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204.95</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Layout w:type="fixed"/>
          <w:tblCellMar>
            <w:top w:w="0" w:type="dxa"/>
            <w:left w:w="0" w:type="dxa"/>
            <w:bottom w:w="0" w:type="dxa"/>
            <w:right w:w="0" w:type="dxa"/>
          </w:tblCellMar>
        </w:tblPrEx>
        <w:trPr>
          <w:trHeight w:val="227" w:hRule="atLeast"/>
        </w:trPr>
        <w:tc>
          <w:tcPr>
            <w:tcW w:w="861"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2101101</w:t>
            </w:r>
          </w:p>
        </w:tc>
        <w:tc>
          <w:tcPr>
            <w:tcW w:w="40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 xml:space="preserve">  行政单位医疗</w:t>
            </w:r>
          </w:p>
        </w:tc>
        <w:tc>
          <w:tcPr>
            <w:tcW w:w="14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204.95</w:t>
            </w:r>
          </w:p>
        </w:tc>
        <w:tc>
          <w:tcPr>
            <w:tcW w:w="140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color w:val="000000"/>
                <w:kern w:val="0"/>
                <w:sz w:val="22"/>
                <w:szCs w:val="22"/>
                <w:u w:val="none"/>
                <w:lang w:val="en-US" w:eastAsia="zh-CN" w:bidi="ar"/>
              </w:rPr>
              <w:t>204.95</w:t>
            </w:r>
          </w:p>
        </w:tc>
        <w:tc>
          <w:tcPr>
            <w:tcW w:w="156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432"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99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c>
          <w:tcPr>
            <w:tcW w:w="139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pPr>
              <w:jc w:val="right"/>
              <w:rPr>
                <w:rFonts w:ascii="宋体" w:hAnsi="宋体" w:eastAsia="宋体" w:cs="宋体"/>
                <w:sz w:val="24"/>
                <w:szCs w:val="24"/>
              </w:rPr>
            </w:pPr>
            <w:r>
              <w:rPr>
                <w:rFonts w:hint="eastAsia"/>
              </w:rPr>
              <w:t>　</w:t>
            </w:r>
          </w:p>
        </w:tc>
      </w:tr>
      <w:tr>
        <w:tblPrEx>
          <w:tblLayout w:type="fixed"/>
          <w:tblCellMar>
            <w:top w:w="0" w:type="dxa"/>
            <w:left w:w="0" w:type="dxa"/>
            <w:bottom w:w="0" w:type="dxa"/>
            <w:right w:w="0" w:type="dxa"/>
          </w:tblCellMar>
        </w:tblPrEx>
        <w:trPr>
          <w:trHeight w:val="310"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pPr>
              <w:rPr>
                <w:rFonts w:ascii="宋体" w:hAnsi="宋体" w:eastAsia="宋体" w:cs="宋体"/>
                <w:sz w:val="24"/>
                <w:szCs w:val="24"/>
              </w:rPr>
            </w:pPr>
            <w:r>
              <w:rPr>
                <w:rFonts w:hint="eastAsia"/>
              </w:rPr>
              <w:t>注：本表反映部门本年度取得的各项收入情况。</w:t>
            </w:r>
          </w:p>
        </w:tc>
      </w:tr>
    </w:tbl>
    <w:p>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pPr>
        <w:widowControl/>
        <w:rPr>
          <w:rFonts w:ascii="Times New Roman" w:hAnsi="Times New Roman" w:eastAsia="方正小标宋_GBK" w:cs="Times New Roman"/>
          <w:color w:val="000000"/>
          <w:kern w:val="0"/>
          <w:sz w:val="36"/>
          <w:szCs w:val="36"/>
        </w:rPr>
      </w:pPr>
    </w:p>
    <w:tbl>
      <w:tblPr>
        <w:tblStyle w:val="12"/>
        <w:tblW w:w="14814" w:type="dxa"/>
        <w:tblInd w:w="91" w:type="dxa"/>
        <w:tblLayout w:type="fixed"/>
        <w:tblCellMar>
          <w:top w:w="0" w:type="dxa"/>
          <w:left w:w="108" w:type="dxa"/>
          <w:bottom w:w="0" w:type="dxa"/>
          <w:right w:w="108" w:type="dxa"/>
        </w:tblCellMar>
      </w:tblPr>
      <w:tblGrid>
        <w:gridCol w:w="1236"/>
        <w:gridCol w:w="240"/>
        <w:gridCol w:w="3165"/>
        <w:gridCol w:w="1936"/>
        <w:gridCol w:w="1293"/>
        <w:gridCol w:w="1366"/>
        <w:gridCol w:w="1678"/>
        <w:gridCol w:w="1445"/>
        <w:gridCol w:w="2455"/>
      </w:tblGrid>
      <w:tr>
        <w:tblPrEx>
          <w:tblLayout w:type="fixed"/>
          <w:tblCellMar>
            <w:top w:w="0" w:type="dxa"/>
            <w:left w:w="108" w:type="dxa"/>
            <w:bottom w:w="0" w:type="dxa"/>
            <w:right w:w="108" w:type="dxa"/>
          </w:tblCellMar>
        </w:tblPrEx>
        <w:trPr>
          <w:trHeight w:val="446" w:hRule="atLeast"/>
        </w:trPr>
        <w:tc>
          <w:tcPr>
            <w:tcW w:w="14814" w:type="dxa"/>
            <w:gridSpan w:val="9"/>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tblPrEx>
          <w:tblLayout w:type="fixed"/>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6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9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78"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4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55"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tblPrEx>
          <w:tblLayout w:type="fixed"/>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240"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16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936" w:type="dxa"/>
            <w:tcBorders>
              <w:top w:val="nil"/>
              <w:left w:val="nil"/>
              <w:bottom w:val="single" w:color="auto" w:sz="4" w:space="0"/>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93" w:type="dxa"/>
            <w:tcBorders>
              <w:top w:val="nil"/>
              <w:left w:val="nil"/>
              <w:bottom w:val="single" w:color="auto" w:sz="4" w:space="0"/>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6" w:type="dxa"/>
            <w:tcBorders>
              <w:top w:val="nil"/>
              <w:left w:val="nil"/>
              <w:bottom w:val="single" w:color="auto" w:sz="4" w:space="0"/>
              <w:right w:val="nil"/>
            </w:tcBorders>
            <w:shd w:val="clear" w:color="000000" w:fill="FFFFFF"/>
            <w:noWrap/>
            <w:vAlign w:val="center"/>
          </w:tcPr>
          <w:p>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78" w:type="dxa"/>
            <w:tcBorders>
              <w:top w:val="nil"/>
              <w:left w:val="nil"/>
              <w:bottom w:val="single" w:color="auto" w:sz="4" w:space="0"/>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45" w:type="dxa"/>
            <w:tcBorders>
              <w:top w:val="nil"/>
              <w:left w:val="nil"/>
              <w:bottom w:val="single" w:color="auto" w:sz="4" w:space="0"/>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55" w:type="dxa"/>
            <w:tcBorders>
              <w:top w:val="nil"/>
              <w:left w:val="nil"/>
              <w:bottom w:val="single" w:color="auto" w:sz="4" w:space="0"/>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Layout w:type="fixed"/>
          <w:tblCellMar>
            <w:top w:w="0" w:type="dxa"/>
            <w:left w:w="108" w:type="dxa"/>
            <w:bottom w:w="0" w:type="dxa"/>
            <w:right w:w="108" w:type="dxa"/>
          </w:tblCellMar>
        </w:tblPrEx>
        <w:trPr>
          <w:trHeight w:val="326" w:hRule="atLeast"/>
        </w:trPr>
        <w:tc>
          <w:tcPr>
            <w:tcW w:w="4641"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93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293"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36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7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44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5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tblPrEx>
          <w:tblLayout w:type="fixed"/>
          <w:tblCellMar>
            <w:top w:w="0" w:type="dxa"/>
            <w:left w:w="108" w:type="dxa"/>
            <w:bottom w:w="0" w:type="dxa"/>
            <w:right w:w="108" w:type="dxa"/>
          </w:tblCellMar>
        </w:tblPrEx>
        <w:trPr>
          <w:trHeight w:val="570"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165"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9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2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36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67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144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c>
          <w:tcPr>
            <w:tcW w:w="245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283" w:hRule="atLeast"/>
        </w:trPr>
        <w:tc>
          <w:tcPr>
            <w:tcW w:w="464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93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293"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66"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78"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44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55" w:type="dxa"/>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tblPrEx>
          <w:tblLayout w:type="fixed"/>
          <w:tblCellMar>
            <w:top w:w="0" w:type="dxa"/>
            <w:left w:w="108" w:type="dxa"/>
            <w:bottom w:w="0" w:type="dxa"/>
            <w:right w:w="108" w:type="dxa"/>
          </w:tblCellMar>
        </w:tblPrEx>
        <w:trPr>
          <w:trHeight w:val="283" w:hRule="atLeast"/>
        </w:trPr>
        <w:tc>
          <w:tcPr>
            <w:tcW w:w="4641"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936"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i w:val="0"/>
                <w:color w:val="000000"/>
                <w:kern w:val="0"/>
                <w:sz w:val="22"/>
                <w:szCs w:val="22"/>
                <w:u w:val="none"/>
                <w:lang w:val="en-US" w:eastAsia="zh-CN" w:bidi="ar"/>
              </w:rPr>
              <w:t>18,576.86</w:t>
            </w:r>
          </w:p>
        </w:tc>
        <w:tc>
          <w:tcPr>
            <w:tcW w:w="1293"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i w:val="0"/>
                <w:color w:val="000000"/>
                <w:kern w:val="0"/>
                <w:sz w:val="22"/>
                <w:szCs w:val="22"/>
                <w:u w:val="none"/>
                <w:lang w:val="en-US" w:eastAsia="zh-CN" w:bidi="ar"/>
              </w:rPr>
              <w:t>4,622.81</w:t>
            </w:r>
          </w:p>
        </w:tc>
        <w:tc>
          <w:tcPr>
            <w:tcW w:w="1366" w:type="dxa"/>
            <w:tcBorders>
              <w:top w:val="single" w:color="auto" w:sz="4" w:space="0"/>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i w:val="0"/>
                <w:color w:val="000000"/>
                <w:kern w:val="0"/>
                <w:sz w:val="22"/>
                <w:szCs w:val="22"/>
                <w:u w:val="none"/>
                <w:lang w:val="en-US" w:eastAsia="zh-CN" w:bidi="ar"/>
              </w:rPr>
              <w:t>13,954.05</w:t>
            </w:r>
          </w:p>
        </w:tc>
        <w:tc>
          <w:tcPr>
            <w:tcW w:w="1678"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45"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55" w:type="dxa"/>
            <w:tcBorders>
              <w:top w:val="single" w:color="auto" w:sz="4" w:space="0"/>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201</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一般公共服务支出</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17,885.27</w:t>
            </w:r>
          </w:p>
        </w:tc>
        <w:tc>
          <w:tcPr>
            <w:tcW w:w="12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3,931.23</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13,954.05</w:t>
            </w: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20111</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纪检监察事务</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17,734.97</w:t>
            </w:r>
          </w:p>
        </w:tc>
        <w:tc>
          <w:tcPr>
            <w:tcW w:w="12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3,930.93</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13,804.05</w:t>
            </w: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2011101</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行政运行</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3,619.28</w:t>
            </w:r>
          </w:p>
        </w:tc>
        <w:tc>
          <w:tcPr>
            <w:tcW w:w="12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3,619.28</w:t>
            </w:r>
          </w:p>
        </w:tc>
        <w:tc>
          <w:tcPr>
            <w:tcW w:w="13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4"/>
                <w:szCs w:val="24"/>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2011102</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792.47</w:t>
            </w:r>
          </w:p>
        </w:tc>
        <w:tc>
          <w:tcPr>
            <w:tcW w:w="1293"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4"/>
                <w:szCs w:val="24"/>
              </w:rPr>
            </w:pP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792.47</w:t>
            </w: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2011104</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大案要案查处</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3,869.84</w:t>
            </w:r>
          </w:p>
        </w:tc>
        <w:tc>
          <w:tcPr>
            <w:tcW w:w="1293"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4"/>
                <w:szCs w:val="24"/>
              </w:rPr>
            </w:pP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3,869.84</w:t>
            </w: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2011106</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巡视工作</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405.43</w:t>
            </w:r>
          </w:p>
        </w:tc>
        <w:tc>
          <w:tcPr>
            <w:tcW w:w="1293"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4"/>
                <w:szCs w:val="24"/>
              </w:rPr>
            </w:pP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405.43</w:t>
            </w: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2011199</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其他纪检监察事务支出</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9,047.96</w:t>
            </w:r>
          </w:p>
        </w:tc>
        <w:tc>
          <w:tcPr>
            <w:tcW w:w="12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311.65</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8,736.31</w:t>
            </w: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20199</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其他一般公共服务支出</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150.30</w:t>
            </w:r>
          </w:p>
        </w:tc>
        <w:tc>
          <w:tcPr>
            <w:tcW w:w="12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0.30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150.00</w:t>
            </w: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2019999</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其他一般公共服务支出</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150.30</w:t>
            </w:r>
          </w:p>
        </w:tc>
        <w:tc>
          <w:tcPr>
            <w:tcW w:w="12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0.30</w:t>
            </w:r>
          </w:p>
        </w:tc>
        <w:tc>
          <w:tcPr>
            <w:tcW w:w="136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150.00</w:t>
            </w: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208</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社会保障和就业支出</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486.63</w:t>
            </w:r>
          </w:p>
        </w:tc>
        <w:tc>
          <w:tcPr>
            <w:tcW w:w="12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486.63</w:t>
            </w:r>
          </w:p>
        </w:tc>
        <w:tc>
          <w:tcPr>
            <w:tcW w:w="13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4"/>
                <w:szCs w:val="24"/>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20805</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行政事业单位养老支出</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476.05</w:t>
            </w:r>
          </w:p>
        </w:tc>
        <w:tc>
          <w:tcPr>
            <w:tcW w:w="12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476.05</w:t>
            </w:r>
          </w:p>
        </w:tc>
        <w:tc>
          <w:tcPr>
            <w:tcW w:w="13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4"/>
                <w:szCs w:val="24"/>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2080505</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408.94</w:t>
            </w:r>
          </w:p>
        </w:tc>
        <w:tc>
          <w:tcPr>
            <w:tcW w:w="12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408.94</w:t>
            </w:r>
          </w:p>
        </w:tc>
        <w:tc>
          <w:tcPr>
            <w:tcW w:w="13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4"/>
                <w:szCs w:val="24"/>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2080599</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其他行政事业单位养老支出</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67.11</w:t>
            </w:r>
          </w:p>
        </w:tc>
        <w:tc>
          <w:tcPr>
            <w:tcW w:w="12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67.11</w:t>
            </w:r>
          </w:p>
        </w:tc>
        <w:tc>
          <w:tcPr>
            <w:tcW w:w="13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4"/>
                <w:szCs w:val="24"/>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20899</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其他社会保障和就业支出</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10.58</w:t>
            </w:r>
          </w:p>
        </w:tc>
        <w:tc>
          <w:tcPr>
            <w:tcW w:w="12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10.58</w:t>
            </w:r>
          </w:p>
        </w:tc>
        <w:tc>
          <w:tcPr>
            <w:tcW w:w="1366" w:type="dxa"/>
            <w:tcBorders>
              <w:top w:val="nil"/>
              <w:left w:val="nil"/>
              <w:bottom w:val="single" w:color="auto" w:sz="4" w:space="0"/>
              <w:right w:val="single" w:color="auto" w:sz="4" w:space="0"/>
            </w:tcBorders>
            <w:shd w:val="clear" w:color="auto" w:fill="auto"/>
            <w:noWrap/>
            <w:vAlign w:val="center"/>
          </w:tcPr>
          <w:p>
            <w:pPr>
              <w:jc w:val="right"/>
              <w:rPr>
                <w:rFonts w:hint="eastAsia" w:ascii="宋体" w:hAnsi="宋体" w:eastAsia="宋体" w:cs="宋体"/>
                <w:kern w:val="0"/>
                <w:sz w:val="24"/>
                <w:szCs w:val="24"/>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hint="eastAsia"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2089999</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 xml:space="preserve">  其他社会保障和就业支出</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10.58</w:t>
            </w:r>
          </w:p>
        </w:tc>
        <w:tc>
          <w:tcPr>
            <w:tcW w:w="12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10.58</w:t>
            </w:r>
          </w:p>
        </w:tc>
        <w:tc>
          <w:tcPr>
            <w:tcW w:w="1366"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4"/>
                <w:szCs w:val="24"/>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210</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卫生健康支出</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204.95</w:t>
            </w:r>
          </w:p>
        </w:tc>
        <w:tc>
          <w:tcPr>
            <w:tcW w:w="12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204.95</w:t>
            </w:r>
          </w:p>
        </w:tc>
        <w:tc>
          <w:tcPr>
            <w:tcW w:w="1366"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4"/>
                <w:szCs w:val="24"/>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Layout w:type="fixed"/>
          <w:tblCellMar>
            <w:top w:w="0" w:type="dxa"/>
            <w:left w:w="108" w:type="dxa"/>
            <w:bottom w:w="0" w:type="dxa"/>
            <w:right w:w="108" w:type="dxa"/>
          </w:tblCellMar>
        </w:tblPrEx>
        <w:trPr>
          <w:trHeight w:val="283" w:hRule="atLeast"/>
        </w:trPr>
        <w:tc>
          <w:tcPr>
            <w:tcW w:w="1476"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21011</w:t>
            </w:r>
          </w:p>
        </w:tc>
        <w:tc>
          <w:tcPr>
            <w:tcW w:w="3165" w:type="dxa"/>
            <w:tcBorders>
              <w:top w:val="nil"/>
              <w:left w:val="nil"/>
              <w:bottom w:val="single" w:color="auto" w:sz="4" w:space="0"/>
              <w:right w:val="single" w:color="auto" w:sz="4" w:space="0"/>
            </w:tcBorders>
            <w:shd w:val="clear" w:color="000000" w:fill="FFFFFF"/>
            <w:noWrap/>
            <w:vAlign w:val="center"/>
          </w:tcPr>
          <w:p>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行政事业单位医疗</w:t>
            </w:r>
          </w:p>
        </w:tc>
        <w:tc>
          <w:tcPr>
            <w:tcW w:w="1936"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204.95</w:t>
            </w:r>
          </w:p>
        </w:tc>
        <w:tc>
          <w:tcPr>
            <w:tcW w:w="1293" w:type="dxa"/>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color w:val="000000"/>
                <w:kern w:val="0"/>
                <w:sz w:val="22"/>
                <w:szCs w:val="22"/>
                <w:u w:val="none"/>
                <w:lang w:val="en-US" w:eastAsia="zh-CN" w:bidi="ar"/>
              </w:rPr>
              <w:t>204.95</w:t>
            </w:r>
          </w:p>
        </w:tc>
        <w:tc>
          <w:tcPr>
            <w:tcW w:w="1366" w:type="dxa"/>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kern w:val="0"/>
                <w:sz w:val="24"/>
                <w:szCs w:val="24"/>
              </w:rPr>
            </w:pPr>
          </w:p>
        </w:tc>
        <w:tc>
          <w:tcPr>
            <w:tcW w:w="167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4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55"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r>
      <w:tr>
        <w:tblPrEx>
          <w:tblLayout w:type="fixed"/>
          <w:tblCellMar>
            <w:top w:w="0" w:type="dxa"/>
            <w:left w:w="108" w:type="dxa"/>
            <w:bottom w:w="0" w:type="dxa"/>
            <w:right w:w="108" w:type="dxa"/>
          </w:tblCellMar>
        </w:tblPrEx>
        <w:trPr>
          <w:trHeight w:val="443" w:hRule="atLeast"/>
        </w:trPr>
        <w:tc>
          <w:tcPr>
            <w:tcW w:w="14814" w:type="dxa"/>
            <w:gridSpan w:val="9"/>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pPr>
        <w:widowControl/>
        <w:jc w:val="both"/>
        <w:rPr>
          <w:rFonts w:ascii="Times New Roman" w:hAnsi="Times New Roman" w:eastAsia="方正小标宋_GBK" w:cs="Times New Roman"/>
          <w:color w:val="000000"/>
          <w:kern w:val="0"/>
          <w:sz w:val="36"/>
          <w:szCs w:val="21"/>
        </w:rPr>
      </w:pPr>
    </w:p>
    <w:tbl>
      <w:tblPr>
        <w:tblStyle w:val="12"/>
        <w:tblW w:w="15521" w:type="dxa"/>
        <w:tblInd w:w="93" w:type="dxa"/>
        <w:tblLayout w:type="fixed"/>
        <w:tblCellMar>
          <w:top w:w="0" w:type="dxa"/>
          <w:left w:w="108" w:type="dxa"/>
          <w:bottom w:w="0" w:type="dxa"/>
          <w:right w:w="108" w:type="dxa"/>
        </w:tblCellMar>
      </w:tblPr>
      <w:tblGrid>
        <w:gridCol w:w="3595"/>
        <w:gridCol w:w="436"/>
        <w:gridCol w:w="1194"/>
        <w:gridCol w:w="380"/>
        <w:gridCol w:w="2915"/>
        <w:gridCol w:w="632"/>
        <w:gridCol w:w="435"/>
        <w:gridCol w:w="1573"/>
        <w:gridCol w:w="1394"/>
        <w:gridCol w:w="1394"/>
        <w:gridCol w:w="1573"/>
      </w:tblGrid>
      <w:tr>
        <w:tblPrEx>
          <w:tblLayout w:type="fixed"/>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pPr>
              <w:widowControl/>
              <w:jc w:val="right"/>
              <w:rPr>
                <w:rFonts w:ascii="宋体" w:hAnsi="宋体" w:eastAsia="宋体" w:cs="宋体"/>
                <w:kern w:val="0"/>
                <w:sz w:val="24"/>
                <w:szCs w:val="24"/>
              </w:rPr>
            </w:pPr>
          </w:p>
        </w:tc>
      </w:tr>
      <w:tr>
        <w:tblPrEx>
          <w:tblLayout w:type="fixed"/>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tblPrEx>
          <w:tblLayout w:type="fixed"/>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27"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tblPrEx>
          <w:tblLayout w:type="fixed"/>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p>
        </w:tc>
        <w:tc>
          <w:tcPr>
            <w:tcW w:w="436"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927" w:type="dxa"/>
            <w:gridSpan w:val="3"/>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35"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tblPrEx>
          <w:tblLayout w:type="fixed"/>
          <w:tblCellMar>
            <w:top w:w="0" w:type="dxa"/>
            <w:left w:w="108" w:type="dxa"/>
            <w:bottom w:w="0" w:type="dxa"/>
            <w:right w:w="108" w:type="dxa"/>
          </w:tblCellMar>
        </w:tblPrEx>
        <w:trPr>
          <w:trHeight w:val="402" w:hRule="atLeast"/>
        </w:trPr>
        <w:tc>
          <w:tcPr>
            <w:tcW w:w="522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10296" w:type="dxa"/>
            <w:gridSpan w:val="8"/>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tblPrEx>
          <w:tblLayout w:type="fixed"/>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1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w:t>
            </w:r>
          </w:p>
        </w:tc>
        <w:tc>
          <w:tcPr>
            <w:tcW w:w="11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18576.86</w:t>
            </w: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17885.27</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17885.27</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w:t>
            </w:r>
          </w:p>
        </w:tc>
        <w:tc>
          <w:tcPr>
            <w:tcW w:w="11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3</w:t>
            </w:r>
          </w:p>
        </w:tc>
        <w:tc>
          <w:tcPr>
            <w:tcW w:w="11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4</w:t>
            </w:r>
          </w:p>
        </w:tc>
        <w:tc>
          <w:tcPr>
            <w:tcW w:w="11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5</w:t>
            </w:r>
          </w:p>
        </w:tc>
        <w:tc>
          <w:tcPr>
            <w:tcW w:w="11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6</w:t>
            </w:r>
          </w:p>
        </w:tc>
        <w:tc>
          <w:tcPr>
            <w:tcW w:w="11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2"/>
                <w:lang w:eastAsia="zh-CN"/>
              </w:rPr>
            </w:pPr>
            <w:r>
              <w:rPr>
                <w:rFonts w:hint="eastAsia" w:ascii="宋体" w:hAnsi="宋体" w:eastAsia="宋体" w:cs="宋体"/>
                <w:kern w:val="0"/>
                <w:sz w:val="22"/>
              </w:rPr>
              <w:t>六、</w:t>
            </w:r>
            <w:r>
              <w:rPr>
                <w:rFonts w:hint="eastAsia" w:ascii="宋体" w:hAnsi="宋体" w:eastAsia="宋体" w:cs="宋体"/>
                <w:kern w:val="0"/>
                <w:sz w:val="22"/>
                <w:lang w:eastAsia="zh-CN"/>
              </w:rPr>
              <w:t>社会保障和就业支出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486.63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486.63</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7</w:t>
            </w:r>
          </w:p>
        </w:tc>
        <w:tc>
          <w:tcPr>
            <w:tcW w:w="11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七、卫生健康支出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204.95</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204.95</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8</w:t>
            </w:r>
          </w:p>
        </w:tc>
        <w:tc>
          <w:tcPr>
            <w:tcW w:w="11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4"/>
                <w:szCs w:val="24"/>
              </w:rPr>
              <w:t>……</w:t>
            </w: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9</w:t>
            </w:r>
          </w:p>
        </w:tc>
        <w:tc>
          <w:tcPr>
            <w:tcW w:w="11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18576.86</w:t>
            </w: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18576.86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18576.86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10</w:t>
            </w:r>
          </w:p>
        </w:tc>
        <w:tc>
          <w:tcPr>
            <w:tcW w:w="11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11</w:t>
            </w:r>
          </w:p>
        </w:tc>
        <w:tc>
          <w:tcPr>
            <w:tcW w:w="11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12</w:t>
            </w:r>
          </w:p>
        </w:tc>
        <w:tc>
          <w:tcPr>
            <w:tcW w:w="11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13</w:t>
            </w:r>
          </w:p>
        </w:tc>
        <w:tc>
          <w:tcPr>
            <w:tcW w:w="11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kern w:val="0"/>
                <w:sz w:val="22"/>
              </w:rPr>
            </w:pPr>
            <w:r>
              <w:rPr>
                <w:rFonts w:hint="eastAsia" w:ascii="宋体" w:hAnsi="宋体" w:eastAsia="宋体" w:cs="宋体"/>
                <w:kern w:val="0"/>
                <w:sz w:val="22"/>
              </w:rPr>
              <w:t>　</w:t>
            </w:r>
          </w:p>
        </w:tc>
      </w:tr>
      <w:tr>
        <w:tblPrEx>
          <w:tblLayout w:type="fixed"/>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14</w:t>
            </w:r>
          </w:p>
        </w:tc>
        <w:tc>
          <w:tcPr>
            <w:tcW w:w="1194"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eastAsia="宋体" w:cs="宋体"/>
                <w:kern w:val="0"/>
                <w:sz w:val="22"/>
              </w:rPr>
            </w:pPr>
            <w:r>
              <w:rPr>
                <w:rFonts w:hint="eastAsia" w:ascii="宋体" w:hAnsi="宋体" w:eastAsia="宋体" w:cs="宋体"/>
                <w:kern w:val="0"/>
                <w:sz w:val="22"/>
                <w:lang w:val="en-US" w:eastAsia="zh-CN"/>
              </w:rPr>
              <w:t>18576.86</w:t>
            </w:r>
            <w:r>
              <w:rPr>
                <w:rFonts w:hint="eastAsia" w:ascii="宋体" w:hAnsi="宋体" w:eastAsia="宋体" w:cs="宋体"/>
                <w:kern w:val="0"/>
                <w:sz w:val="22"/>
              </w:rPr>
              <w:t>　</w:t>
            </w:r>
          </w:p>
        </w:tc>
        <w:tc>
          <w:tcPr>
            <w:tcW w:w="3295"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18576.86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000000" w:fill="FFFFFF"/>
            <w:noWrap/>
            <w:vAlign w:val="center"/>
          </w:tcPr>
          <w:p>
            <w:pPr>
              <w:widowControl/>
              <w:jc w:val="center"/>
              <w:rPr>
                <w:rFonts w:ascii="宋体" w:hAnsi="宋体" w:eastAsia="宋体" w:cs="宋体"/>
                <w:kern w:val="0"/>
                <w:sz w:val="22"/>
              </w:rPr>
            </w:pPr>
            <w:r>
              <w:rPr>
                <w:rFonts w:hint="eastAsia" w:ascii="宋体" w:hAnsi="宋体" w:eastAsia="宋体" w:cs="宋体"/>
                <w:kern w:val="0"/>
                <w:sz w:val="22"/>
                <w:lang w:val="en-US" w:eastAsia="zh-CN"/>
              </w:rPr>
              <w:t>18576.86</w:t>
            </w:r>
            <w:r>
              <w:rPr>
                <w:rFonts w:hint="eastAsia" w:ascii="宋体" w:hAnsi="宋体" w:eastAsia="宋体"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b/>
                <w:bCs/>
                <w:kern w:val="0"/>
                <w:sz w:val="22"/>
              </w:rPr>
            </w:pPr>
            <w:r>
              <w:rPr>
                <w:rFonts w:hint="eastAsia" w:ascii="宋体" w:hAnsi="宋体" w:eastAsia="宋体" w:cs="宋体"/>
                <w:b/>
                <w:bCs/>
                <w:kern w:val="0"/>
                <w:sz w:val="22"/>
              </w:rPr>
              <w:t>　</w:t>
            </w:r>
          </w:p>
        </w:tc>
      </w:tr>
      <w:tr>
        <w:tblPrEx>
          <w:tblLayout w:type="fixed"/>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pPr>
        <w:widowControl/>
        <w:jc w:val="center"/>
        <w:rPr>
          <w:rFonts w:ascii="Times New Roman" w:hAnsi="Times New Roman" w:eastAsia="方正小标宋_GBK" w:cs="Times New Roman"/>
          <w:kern w:val="0"/>
          <w:sz w:val="36"/>
          <w:szCs w:val="36"/>
        </w:rPr>
      </w:pPr>
    </w:p>
    <w:p>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12"/>
        <w:tblW w:w="14219" w:type="dxa"/>
        <w:jc w:val="center"/>
        <w:tblInd w:w="0" w:type="dxa"/>
        <w:tblLayout w:type="fixed"/>
        <w:tblCellMar>
          <w:top w:w="0" w:type="dxa"/>
          <w:left w:w="108" w:type="dxa"/>
          <w:bottom w:w="0" w:type="dxa"/>
          <w:right w:w="108" w:type="dxa"/>
        </w:tblCellMar>
      </w:tblPr>
      <w:tblGrid>
        <w:gridCol w:w="1200"/>
        <w:gridCol w:w="3527"/>
        <w:gridCol w:w="3000"/>
        <w:gridCol w:w="3492"/>
        <w:gridCol w:w="3000"/>
      </w:tblGrid>
      <w:tr>
        <w:tblPrEx>
          <w:tblLayout w:type="fixed"/>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tblPrEx>
          <w:tblLayout w:type="fixed"/>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tblPrEx>
          <w:tblLayout w:type="fixed"/>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pPr>
              <w:widowControl/>
              <w:jc w:val="lef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368"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tblPrEx>
          <w:tblLayout w:type="fixed"/>
          <w:tblCellMar>
            <w:top w:w="0" w:type="dxa"/>
            <w:left w:w="108" w:type="dxa"/>
            <w:bottom w:w="0" w:type="dxa"/>
            <w:right w:w="108" w:type="dxa"/>
          </w:tblCellMar>
        </w:tblPrEx>
        <w:trPr>
          <w:trHeight w:val="227"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i w:val="0"/>
                <w:color w:val="000000"/>
                <w:kern w:val="0"/>
                <w:sz w:val="22"/>
                <w:szCs w:val="22"/>
                <w:u w:val="none"/>
                <w:lang w:val="en-US" w:eastAsia="zh-CN" w:bidi="ar"/>
              </w:rPr>
              <w:t>18,576.86</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i w:val="0"/>
                <w:color w:val="000000"/>
                <w:kern w:val="0"/>
                <w:sz w:val="22"/>
                <w:szCs w:val="22"/>
                <w:u w:val="none"/>
                <w:lang w:val="en-US" w:eastAsia="zh-CN" w:bidi="ar"/>
              </w:rPr>
              <w:t>4,622.81</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i w:val="0"/>
                <w:color w:val="000000"/>
                <w:kern w:val="0"/>
                <w:sz w:val="22"/>
                <w:szCs w:val="22"/>
                <w:u w:val="none"/>
                <w:lang w:val="en-US" w:eastAsia="zh-CN" w:bidi="ar"/>
              </w:rPr>
              <w:t>13,954.05</w:t>
            </w:r>
          </w:p>
        </w:tc>
      </w:tr>
      <w:tr>
        <w:tblPrEx>
          <w:tblLayout w:type="fixed"/>
          <w:tblCellMar>
            <w:top w:w="0" w:type="dxa"/>
            <w:left w:w="108" w:type="dxa"/>
            <w:bottom w:w="0" w:type="dxa"/>
            <w:right w:w="108" w:type="dxa"/>
          </w:tblCellMar>
        </w:tblPrEx>
        <w:trPr>
          <w:trHeight w:val="22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17,885.27</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3,931.23</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13,954.05</w:t>
            </w: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20111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纪检监察事务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17,734.97</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3,930.93</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13,804.05</w:t>
            </w: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2011101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3,619.28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3,619.28</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2011102</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792.47</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792.47</w:t>
            </w: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2011104</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大案要案查处</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3,869.84</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3,869.84</w:t>
            </w: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2011106</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巡视工作</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405.43</w:t>
            </w:r>
          </w:p>
        </w:tc>
        <w:tc>
          <w:tcPr>
            <w:tcW w:w="3492" w:type="dxa"/>
            <w:tcBorders>
              <w:top w:val="nil"/>
              <w:left w:val="nil"/>
              <w:bottom w:val="single" w:color="auto" w:sz="4" w:space="0"/>
              <w:right w:val="single" w:color="auto" w:sz="4" w:space="0"/>
            </w:tcBorders>
            <w:shd w:val="clear" w:color="auto" w:fill="auto"/>
            <w:vAlign w:val="center"/>
          </w:tcPr>
          <w:p>
            <w:pPr>
              <w:jc w:val="righ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405.43</w:t>
            </w: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2011199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其他纪检监察事务支出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9,047.96</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311.65</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8,736.31</w:t>
            </w: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150.30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0.30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150.00</w:t>
            </w: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2019999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其他一般公共服务支出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150.30</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0.30</w:t>
            </w:r>
          </w:p>
        </w:tc>
        <w:tc>
          <w:tcPr>
            <w:tcW w:w="3000" w:type="dxa"/>
            <w:tcBorders>
              <w:top w:val="nil"/>
              <w:left w:val="nil"/>
              <w:bottom w:val="single" w:color="auto" w:sz="4" w:space="0"/>
              <w:right w:val="single" w:color="auto" w:sz="8"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150.00</w:t>
            </w: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社会保障和就业支出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486.63</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486.63</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476.05</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476.05</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2080505</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408.94</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408.94</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2080599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其他行政事业单位养老支出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67.11</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67.11</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其他社会保障和就业支出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10.58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10.58</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2089999</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其他社会保障和就业支出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10.58</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10.58</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210</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卫生健康支出</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204.95</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204.95</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21011</w:t>
            </w:r>
          </w:p>
        </w:tc>
        <w:tc>
          <w:tcPr>
            <w:tcW w:w="352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行政事业单位医疗</w:t>
            </w:r>
          </w:p>
        </w:tc>
        <w:tc>
          <w:tcPr>
            <w:tcW w:w="300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204.95</w:t>
            </w:r>
          </w:p>
        </w:tc>
        <w:tc>
          <w:tcPr>
            <w:tcW w:w="3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204.95</w:t>
            </w:r>
          </w:p>
        </w:tc>
        <w:tc>
          <w:tcPr>
            <w:tcW w:w="3000" w:type="dxa"/>
            <w:tcBorders>
              <w:top w:val="nil"/>
              <w:left w:val="nil"/>
              <w:bottom w:val="single" w:color="auto" w:sz="4"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198"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2101101</w:t>
            </w:r>
          </w:p>
        </w:tc>
        <w:tc>
          <w:tcPr>
            <w:tcW w:w="3527"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204.95</w:t>
            </w:r>
          </w:p>
        </w:tc>
        <w:tc>
          <w:tcPr>
            <w:tcW w:w="3492" w:type="dxa"/>
            <w:tcBorders>
              <w:top w:val="nil"/>
              <w:left w:val="nil"/>
              <w:bottom w:val="single" w:color="auto" w:sz="8" w:space="0"/>
              <w:right w:val="single" w:color="auto" w:sz="4" w:space="0"/>
            </w:tcBorders>
            <w:shd w:val="clear" w:color="auto" w:fill="auto"/>
            <w:vAlign w:val="center"/>
          </w:tcPr>
          <w:p>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color w:val="000000"/>
                <w:kern w:val="0"/>
                <w:sz w:val="22"/>
                <w:szCs w:val="22"/>
                <w:u w:val="none"/>
                <w:lang w:val="en-US" w:eastAsia="zh-CN" w:bidi="ar"/>
              </w:rPr>
              <w:t>204.95</w:t>
            </w:r>
          </w:p>
        </w:tc>
        <w:tc>
          <w:tcPr>
            <w:tcW w:w="3000" w:type="dxa"/>
            <w:tcBorders>
              <w:top w:val="nil"/>
              <w:left w:val="nil"/>
              <w:bottom w:val="single" w:color="auto" w:sz="8" w:space="0"/>
              <w:right w:val="single" w:color="auto" w:sz="8" w:space="0"/>
            </w:tcBorders>
            <w:shd w:val="clear" w:color="auto" w:fill="auto"/>
            <w:vAlign w:val="center"/>
          </w:tcPr>
          <w:p>
            <w:pPr>
              <w:jc w:val="right"/>
              <w:rPr>
                <w:rFonts w:ascii="Times New Roman" w:hAnsi="Times New Roman" w:eastAsia="仿宋_GB2312" w:cs="Times New Roman"/>
                <w:kern w:val="0"/>
                <w:szCs w:val="21"/>
              </w:rPr>
            </w:pPr>
          </w:p>
        </w:tc>
      </w:tr>
      <w:tr>
        <w:tblPrEx>
          <w:tblLayout w:type="fixed"/>
          <w:tblCellMar>
            <w:top w:w="0" w:type="dxa"/>
            <w:left w:w="108" w:type="dxa"/>
            <w:bottom w:w="0" w:type="dxa"/>
            <w:right w:w="108" w:type="dxa"/>
          </w:tblCellMar>
        </w:tblPrEx>
        <w:trPr>
          <w:trHeight w:val="461" w:hRule="atLeast"/>
          <w:jc w:val="center"/>
        </w:trPr>
        <w:tc>
          <w:tcPr>
            <w:tcW w:w="14219" w:type="dxa"/>
            <w:gridSpan w:val="5"/>
            <w:tcBorders>
              <w:top w:val="nil"/>
              <w:left w:val="nil"/>
              <w:bottom w:val="nil"/>
              <w:right w:val="nil"/>
            </w:tcBorders>
            <w:shd w:val="clear" w:color="auto" w:fill="auto"/>
            <w:vAlign w:val="center"/>
          </w:tcPr>
          <w:p>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12"/>
        <w:tblW w:w="15614" w:type="dxa"/>
        <w:tblInd w:w="0" w:type="dxa"/>
        <w:tblLayout w:type="fixed"/>
        <w:tblCellMar>
          <w:top w:w="0" w:type="dxa"/>
          <w:left w:w="108" w:type="dxa"/>
          <w:bottom w:w="0" w:type="dxa"/>
          <w:right w:w="108" w:type="dxa"/>
        </w:tblCellMar>
      </w:tblPr>
      <w:tblGrid>
        <w:gridCol w:w="1003"/>
        <w:gridCol w:w="74"/>
        <w:gridCol w:w="166"/>
        <w:gridCol w:w="1402"/>
        <w:gridCol w:w="1773"/>
        <w:gridCol w:w="346"/>
        <w:gridCol w:w="841"/>
        <w:gridCol w:w="873"/>
        <w:gridCol w:w="405"/>
        <w:gridCol w:w="2006"/>
        <w:gridCol w:w="113"/>
        <w:gridCol w:w="803"/>
        <w:gridCol w:w="845"/>
        <w:gridCol w:w="471"/>
        <w:gridCol w:w="2119"/>
        <w:gridCol w:w="1528"/>
        <w:gridCol w:w="592"/>
        <w:gridCol w:w="254"/>
      </w:tblGrid>
      <w:tr>
        <w:tblPrEx>
          <w:tblLayout w:type="fixed"/>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部门：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pPr>
              <w:widowControl/>
              <w:jc w:val="right"/>
              <w:rPr>
                <w:rFonts w:ascii="华文中宋" w:hAnsi="华文中宋" w:eastAsia="华文中宋" w:cs="宋体"/>
                <w:color w:val="000000"/>
                <w:kern w:val="0"/>
                <w:szCs w:val="32"/>
              </w:rPr>
            </w:pPr>
            <w:r>
              <w:rPr>
                <w:rFonts w:hint="eastAsia" w:ascii="Times New Roman" w:hAnsi="Times New Roman" w:eastAsia="仿宋_GB2312" w:cs="Times New Roman"/>
                <w:color w:val="000000"/>
                <w:kern w:val="0"/>
                <w:szCs w:val="21"/>
              </w:rPr>
              <w:t>单位：万元</w:t>
            </w:r>
          </w:p>
        </w:tc>
      </w:tr>
      <w:tr>
        <w:tblPrEx>
          <w:tblLayout w:type="fixed"/>
          <w:tblCellMar>
            <w:top w:w="0" w:type="dxa"/>
            <w:left w:w="108" w:type="dxa"/>
            <w:bottom w:w="0" w:type="dxa"/>
            <w:right w:w="108" w:type="dxa"/>
          </w:tblCellMar>
        </w:tblPrEx>
        <w:trPr>
          <w:trHeight w:val="113" w:hRule="atLeast"/>
        </w:trPr>
        <w:tc>
          <w:tcPr>
            <w:tcW w:w="107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3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1187"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7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41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1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84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4118"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46"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118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3,834.14</w:t>
            </w: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91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705.89</w:t>
            </w: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118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1,225.87</w:t>
            </w: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91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3.50</w:t>
            </w: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118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1,400.50</w:t>
            </w: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118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335.35</w:t>
            </w: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118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87.02</w:t>
            </w: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118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373.69</w:t>
            </w: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91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1.57</w:t>
            </w: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118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185.47</w:t>
            </w: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118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226.24</w:t>
            </w: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91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3.84</w:t>
            </w: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118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82.77</w:t>
            </w: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91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0.02</w:t>
            </w: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91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0.18</w:t>
            </w: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118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0.70</w:t>
            </w: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118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70.47</w:t>
            </w: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91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355.00</w:t>
            </w: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91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30.75</w:t>
            </w: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pPr>
              <w:widowControl/>
              <w:jc w:val="left"/>
              <w:rPr>
                <w:rFonts w:hint="eastAsia" w:ascii="宋体" w:hAnsi="宋体" w:eastAsia="宋体" w:cs="宋体"/>
                <w:color w:val="000000"/>
                <w:kern w:val="0"/>
                <w:szCs w:val="20"/>
              </w:rPr>
            </w:pPr>
          </w:p>
          <w:tbl>
            <w:tblPr>
              <w:tblStyle w:val="12"/>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hint="eastAsia" w:ascii="宋体" w:hAnsi="宋体" w:eastAsia="宋体" w:cs="宋体"/>
                <w:color w:val="000000"/>
                <w:kern w:val="0"/>
                <w:szCs w:val="20"/>
              </w:rPr>
            </w:pPr>
          </w:p>
          <w:tbl>
            <w:tblPr>
              <w:tblStyle w:val="12"/>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pPr>
              <w:widowControl/>
              <w:jc w:val="left"/>
              <w:rPr>
                <w:rFonts w:ascii="宋体" w:hAnsi="宋体" w:eastAsia="宋体" w:cs="宋体"/>
                <w:color w:val="000000"/>
                <w:kern w:val="0"/>
                <w:szCs w:val="20"/>
              </w:rPr>
            </w:pP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91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4.00</w:t>
            </w: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91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252.45</w:t>
            </w: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118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11.61</w:t>
            </w: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916"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1077"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341"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1187" w:type="dxa"/>
            <w:gridSpan w:val="2"/>
            <w:tcBorders>
              <w:top w:val="nil"/>
              <w:left w:val="nil"/>
              <w:bottom w:val="single" w:color="auto" w:sz="4" w:space="0"/>
              <w:right w:val="single" w:color="auto" w:sz="4" w:space="0"/>
            </w:tcBorders>
            <w:shd w:val="clear" w:color="auto" w:fill="auto"/>
            <w:noWrap/>
            <w:vAlign w:val="center"/>
          </w:tcPr>
          <w:p>
            <w:pPr>
              <w:jc w:val="right"/>
              <w:rPr>
                <w:rFonts w:ascii="宋体" w:hAnsi="宋体" w:eastAsia="宋体" w:cs="宋体"/>
                <w:color w:val="000000"/>
                <w:kern w:val="0"/>
                <w:szCs w:val="20"/>
              </w:rPr>
            </w:pPr>
          </w:p>
        </w:tc>
        <w:tc>
          <w:tcPr>
            <w:tcW w:w="873"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411"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916"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54.58</w:t>
            </w:r>
          </w:p>
        </w:tc>
        <w:tc>
          <w:tcPr>
            <w:tcW w:w="845"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4118" w:type="dxa"/>
            <w:gridSpan w:val="3"/>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r>
      <w:tr>
        <w:tblPrEx>
          <w:tblLayout w:type="fixed"/>
          <w:tblCellMar>
            <w:top w:w="0" w:type="dxa"/>
            <w:left w:w="108" w:type="dxa"/>
            <w:bottom w:w="0" w:type="dxa"/>
            <w:right w:w="108" w:type="dxa"/>
          </w:tblCellMar>
        </w:tblPrEx>
        <w:trPr>
          <w:trHeight w:val="284" w:hRule="exact"/>
        </w:trPr>
        <w:tc>
          <w:tcPr>
            <w:tcW w:w="4418"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1187" w:type="dxa"/>
            <w:gridSpan w:val="2"/>
            <w:tcBorders>
              <w:top w:val="nil"/>
              <w:left w:val="nil"/>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color w:val="000000"/>
                <w:kern w:val="0"/>
                <w:sz w:val="22"/>
                <w:szCs w:val="22"/>
                <w:u w:val="none"/>
                <w:lang w:val="en-US" w:eastAsia="zh-CN" w:bidi="ar"/>
              </w:rPr>
              <w:t>3,916.92</w:t>
            </w:r>
          </w:p>
        </w:tc>
        <w:tc>
          <w:tcPr>
            <w:tcW w:w="9163" w:type="dxa"/>
            <w:gridSpan w:val="9"/>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46" w:type="dxa"/>
            <w:gridSpan w:val="2"/>
            <w:tcBorders>
              <w:top w:val="nil"/>
              <w:left w:val="nil"/>
              <w:bottom w:val="single" w:color="auto" w:sz="4" w:space="0"/>
              <w:right w:val="single" w:color="auto" w:sz="4" w:space="0"/>
            </w:tcBorders>
            <w:shd w:val="clear" w:color="auto" w:fill="auto"/>
            <w:noWrap/>
            <w:vAlign w:val="center"/>
          </w:tcPr>
          <w:p>
            <w:pPr>
              <w:widowControl/>
              <w:jc w:val="left"/>
              <w:rPr>
                <w:rFonts w:hint="default" w:ascii="宋体" w:hAnsi="宋体" w:eastAsia="宋体" w:cs="宋体"/>
                <w:color w:val="000000"/>
                <w:kern w:val="0"/>
                <w:szCs w:val="18"/>
                <w:lang w:val="en-US" w:eastAsia="zh-CN"/>
              </w:rPr>
            </w:pPr>
            <w:r>
              <w:rPr>
                <w:rFonts w:hint="eastAsia" w:ascii="宋体" w:hAnsi="宋体" w:eastAsia="宋体" w:cs="宋体"/>
                <w:color w:val="000000"/>
                <w:kern w:val="0"/>
                <w:szCs w:val="18"/>
                <w:lang w:val="en-US" w:eastAsia="zh-CN"/>
              </w:rPr>
              <w:t>705.89</w:t>
            </w:r>
            <w:r>
              <w:rPr>
                <w:rFonts w:hint="eastAsia" w:ascii="宋体" w:hAnsi="宋体" w:eastAsia="宋体" w:cs="宋体"/>
                <w:color w:val="000000"/>
                <w:kern w:val="0"/>
                <w:szCs w:val="18"/>
              </w:rPr>
              <w:t>　</w:t>
            </w:r>
            <w:r>
              <w:rPr>
                <w:rFonts w:hint="eastAsia" w:ascii="宋体" w:hAnsi="宋体" w:eastAsia="宋体" w:cs="宋体"/>
                <w:color w:val="000000"/>
                <w:kern w:val="0"/>
                <w:szCs w:val="18"/>
                <w:lang w:val="en-US" w:eastAsia="zh-CN"/>
              </w:rPr>
              <w:t>70705.89</w:t>
            </w:r>
          </w:p>
        </w:tc>
      </w:tr>
      <w:tr>
        <w:tblPrEx>
          <w:tblLayout w:type="fixed"/>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345" w:hRule="atLeast"/>
        </w:trPr>
        <w:tc>
          <w:tcPr>
            <w:tcW w:w="1003"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40"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690" w:hRule="atLeast"/>
        </w:trPr>
        <w:tc>
          <w:tcPr>
            <w:tcW w:w="1003"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240" w:type="dxa"/>
            <w:gridSpan w:val="2"/>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140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2"/>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gridSpan w:val="3"/>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19"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2120" w:type="dxa"/>
            <w:gridSpan w:val="2"/>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45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20"/>
                <w:lang w:val="en-US" w:eastAsia="zh-CN" w:bidi="ar"/>
              </w:rPr>
              <w:t xml:space="preserve">   </w:t>
            </w:r>
            <w:r>
              <w:rPr>
                <w:rStyle w:val="21"/>
                <w:lang w:val="en-US" w:eastAsia="zh-CN" w:bidi="ar"/>
              </w:rPr>
              <w:t>目</w:t>
            </w: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5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2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609" w:hRule="atLeast"/>
        </w:trPr>
        <w:tc>
          <w:tcPr>
            <w:tcW w:w="12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4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409" w:hRule="atLeast"/>
        </w:trPr>
        <w:tc>
          <w:tcPr>
            <w:tcW w:w="1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509" w:hRule="atLeast"/>
        </w:trPr>
        <w:tc>
          <w:tcPr>
            <w:tcW w:w="12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509" w:hRule="atLeast"/>
        </w:trPr>
        <w:tc>
          <w:tcPr>
            <w:tcW w:w="264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509" w:hRule="atLeast"/>
        </w:trPr>
        <w:tc>
          <w:tcPr>
            <w:tcW w:w="12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1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21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p>
      <w:pPr>
        <w:widowControl/>
        <w:jc w:val="center"/>
        <w:rPr>
          <w:rFonts w:hint="eastAsia" w:ascii="Times New Roman" w:hAnsi="Times New Roman" w:eastAsia="方正小标宋_GBK" w:cs="Times New Roman"/>
          <w:color w:val="000000"/>
          <w:kern w:val="0"/>
          <w:sz w:val="36"/>
          <w:szCs w:val="36"/>
        </w:rPr>
      </w:pPr>
    </w:p>
    <w:tbl>
      <w:tblPr>
        <w:tblStyle w:val="12"/>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26"/>
        <w:gridCol w:w="701"/>
        <w:gridCol w:w="2292"/>
        <w:gridCol w:w="3315"/>
        <w:gridCol w:w="3315"/>
        <w:gridCol w:w="41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4171"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701"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4171"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22"/>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pPr>
        <w:widowControl/>
        <w:jc w:val="center"/>
        <w:rPr>
          <w:rFonts w:hint="eastAsia" w:ascii="Times New Roman" w:hAnsi="Times New Roman" w:eastAsia="方正小标宋_GBK" w:cs="Times New Roman"/>
          <w:color w:val="000000"/>
          <w:kern w:val="0"/>
          <w:sz w:val="36"/>
          <w:szCs w:val="36"/>
        </w:rPr>
      </w:pPr>
    </w:p>
    <w:tbl>
      <w:tblPr>
        <w:tblStyle w:val="12"/>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70"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w:t>
            </w: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pPr>
              <w:rPr>
                <w:rFonts w:hint="eastAsia" w:ascii="宋体" w:hAnsi="宋体" w:eastAsia="宋体" w:cs="宋体"/>
                <w:i w:val="0"/>
                <w:color w:val="000000"/>
                <w:sz w:val="20"/>
                <w:szCs w:val="20"/>
                <w:u w:val="none"/>
              </w:rPr>
            </w:pPr>
          </w:p>
        </w:tc>
        <w:tc>
          <w:tcPr>
            <w:tcW w:w="1270" w:type="dxa"/>
            <w:tcBorders>
              <w:top w:val="nil"/>
              <w:left w:val="nil"/>
              <w:bottom w:val="nil"/>
              <w:right w:val="nil"/>
            </w:tcBorders>
            <w:shd w:val="clear" w:color="auto" w:fill="FFFFFF"/>
            <w:noWrap/>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175.00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auto"/>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160.00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40.00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120.00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auto"/>
                <w:sz w:val="22"/>
                <w:szCs w:val="22"/>
                <w:u w:val="none"/>
                <w:lang w:val="en-US" w:eastAsia="zh-CN"/>
              </w:rPr>
            </w:pPr>
            <w:r>
              <w:rPr>
                <w:rFonts w:hint="eastAsia" w:ascii="宋体" w:hAnsi="宋体" w:eastAsia="宋体" w:cs="宋体"/>
                <w:i w:val="0"/>
                <w:color w:val="auto"/>
                <w:sz w:val="22"/>
                <w:szCs w:val="22"/>
                <w:u w:val="none"/>
                <w:lang w:val="en-US" w:eastAsia="zh-CN"/>
              </w:rPr>
              <w:t>15.00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120.46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000000"/>
                <w:sz w:val="22"/>
                <w:szCs w:val="22"/>
                <w:u w:val="none"/>
                <w:lang w:val="en-US" w:eastAsia="zh-CN"/>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119.00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119.00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default" w:ascii="宋体" w:hAnsi="宋体" w:eastAsia="宋体" w:cs="宋体"/>
                <w:i w:val="0"/>
                <w:color w:val="000000"/>
                <w:sz w:val="22"/>
                <w:szCs w:val="22"/>
                <w:u w:val="none"/>
                <w:lang w:val="en-US" w:eastAsia="zh-CN"/>
              </w:rPr>
            </w:pPr>
            <w:r>
              <w:rPr>
                <w:rFonts w:hint="eastAsia" w:ascii="宋体" w:hAnsi="宋体" w:eastAsia="宋体" w:cs="宋体"/>
                <w:i w:val="0"/>
                <w:color w:val="000000"/>
                <w:sz w:val="22"/>
                <w:szCs w:val="22"/>
                <w:u w:val="none"/>
                <w:lang w:val="en-US" w:eastAsia="zh-CN"/>
              </w:rPr>
              <w:t>1.46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pStyle w:val="10"/>
        <w:rPr>
          <w:rFonts w:ascii="宋体" w:eastAsia="宋体" w:cs="宋体"/>
          <w:kern w:val="0"/>
          <w:sz w:val="24"/>
          <w:szCs w:val="24"/>
        </w:rPr>
      </w:pPr>
    </w:p>
    <w:p>
      <w:pPr>
        <w:pStyle w:val="6"/>
        <w:rPr>
          <w:rFonts w:ascii="宋体" w:eastAsia="宋体" w:cs="宋体"/>
          <w:kern w:val="0"/>
          <w:sz w:val="24"/>
          <w:szCs w:val="24"/>
        </w:rPr>
      </w:pPr>
    </w:p>
    <w:p>
      <w:pPr>
        <w:rPr>
          <w:rFonts w:ascii="宋体" w:eastAsia="宋体" w:cs="宋体"/>
          <w:kern w:val="0"/>
          <w:sz w:val="24"/>
          <w:szCs w:val="24"/>
        </w:rPr>
      </w:pPr>
    </w:p>
    <w:p>
      <w:pPr>
        <w:pStyle w:val="10"/>
        <w:rPr>
          <w:rFonts w:ascii="宋体" w:eastAsia="宋体" w:cs="宋体"/>
          <w:kern w:val="0"/>
          <w:sz w:val="24"/>
          <w:szCs w:val="24"/>
        </w:rPr>
      </w:pPr>
    </w:p>
    <w:p>
      <w:pPr>
        <w:pStyle w:val="6"/>
        <w:rPr>
          <w:rFonts w:ascii="宋体" w:eastAsia="宋体" w:cs="宋体"/>
          <w:kern w:val="0"/>
          <w:sz w:val="24"/>
          <w:szCs w:val="24"/>
        </w:rPr>
      </w:pPr>
    </w:p>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autoSpaceDE w:val="0"/>
        <w:autoSpaceDN w:val="0"/>
        <w:adjustRightInd w:val="0"/>
        <w:ind w:left="315" w:leftChars="150"/>
        <w:jc w:val="left"/>
        <w:rPr>
          <w:rFonts w:ascii="宋体" w:eastAsia="宋体" w:cs="宋体"/>
          <w:kern w:val="0"/>
          <w:sz w:val="24"/>
          <w:szCs w:val="24"/>
        </w:rPr>
      </w:pPr>
    </w:p>
    <w:p>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pPr>
        <w:pStyle w:val="17"/>
        <w:rPr>
          <w:sz w:val="72"/>
          <w:szCs w:val="72"/>
        </w:rPr>
      </w:pPr>
    </w:p>
    <w:p>
      <w:pPr>
        <w:pStyle w:val="17"/>
        <w:rPr>
          <w:sz w:val="72"/>
          <w:szCs w:val="72"/>
        </w:rPr>
      </w:pPr>
    </w:p>
    <w:p>
      <w:pPr>
        <w:pStyle w:val="17"/>
        <w:rPr>
          <w:sz w:val="72"/>
          <w:szCs w:val="72"/>
        </w:rPr>
      </w:pPr>
    </w:p>
    <w:p>
      <w:pPr>
        <w:pStyle w:val="17"/>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pPr>
        <w:pStyle w:val="17"/>
        <w:jc w:val="center"/>
        <w:rPr>
          <w:rFonts w:hint="eastAsia" w:ascii="方正小标宋_GBK" w:hAnsi="方正小标宋_GBK" w:eastAsia="方正小标宋_GBK" w:cs="方正小标宋_GBK"/>
          <w:sz w:val="70"/>
          <w:szCs w:val="70"/>
        </w:rPr>
      </w:pPr>
    </w:p>
    <w:p>
      <w:pPr>
        <w:pStyle w:val="17"/>
        <w:jc w:val="center"/>
        <w:rPr>
          <w:rFonts w:hint="eastAsia" w:ascii="方正小标宋_GBK" w:hAnsi="方正小标宋_GBK" w:eastAsia="方正小标宋_GBK" w:cs="方正小标宋_GBK"/>
          <w:sz w:val="64"/>
          <w:szCs w:val="64"/>
        </w:rPr>
      </w:pPr>
      <w:r>
        <w:rPr>
          <w:rFonts w:hint="eastAsia" w:ascii="方正小标宋_GBK" w:hAnsi="方正小标宋_GBK" w:eastAsia="方正小标宋_GBK" w:cs="方正小标宋_GBK"/>
          <w:sz w:val="64"/>
          <w:szCs w:val="64"/>
        </w:rPr>
        <w:t>202</w:t>
      </w:r>
      <w:r>
        <w:rPr>
          <w:rFonts w:hint="eastAsia" w:ascii="方正小标宋_GBK" w:hAnsi="方正小标宋_GBK" w:eastAsia="方正小标宋_GBK" w:cs="方正小标宋_GBK"/>
          <w:sz w:val="64"/>
          <w:szCs w:val="64"/>
          <w:lang w:val="en-US" w:eastAsia="zh-CN"/>
        </w:rPr>
        <w:t>3</w:t>
      </w:r>
      <w:r>
        <w:rPr>
          <w:rFonts w:hint="eastAsia" w:ascii="方正小标宋_GBK" w:hAnsi="方正小标宋_GBK" w:eastAsia="方正小标宋_GBK" w:cs="方正小标宋_GBK"/>
          <w:sz w:val="64"/>
          <w:szCs w:val="64"/>
        </w:rPr>
        <w:t>年度部门决算情况说明</w:t>
      </w:r>
    </w:p>
    <w:p>
      <w:pPr>
        <w:pStyle w:val="17"/>
        <w:jc w:val="center"/>
        <w:rPr>
          <w:rFonts w:hint="eastAsia" w:ascii="方正小标宋_GBK" w:hAnsi="方正小标宋_GBK" w:eastAsia="方正小标宋_GBK" w:cs="方正小标宋_GBK"/>
          <w:sz w:val="70"/>
          <w:szCs w:val="70"/>
        </w:rPr>
      </w:pPr>
    </w:p>
    <w:p>
      <w:pPr>
        <w:pStyle w:val="17"/>
        <w:jc w:val="center"/>
        <w:rPr>
          <w:rFonts w:hint="eastAsia" w:ascii="方正小标宋_GBK" w:hAnsi="方正小标宋_GBK" w:eastAsia="方正小标宋_GBK" w:cs="方正小标宋_GBK"/>
          <w:sz w:val="70"/>
          <w:szCs w:val="70"/>
        </w:rPr>
      </w:pPr>
    </w:p>
    <w:p>
      <w:pPr>
        <w:pStyle w:val="17"/>
        <w:jc w:val="center"/>
        <w:rPr>
          <w:rFonts w:hint="eastAsia" w:ascii="方正小标宋_GBK" w:hAnsi="方正小标宋_GBK" w:eastAsia="方正小标宋_GBK" w:cs="方正小标宋_GBK"/>
          <w:sz w:val="70"/>
          <w:szCs w:val="70"/>
        </w:rPr>
      </w:pPr>
    </w:p>
    <w:p>
      <w:pPr>
        <w:pStyle w:val="17"/>
        <w:jc w:val="center"/>
        <w:rPr>
          <w:rFonts w:hint="eastAsia" w:ascii="方正小标宋_GBK" w:hAnsi="方正小标宋_GBK" w:eastAsia="方正小标宋_GBK" w:cs="方正小标宋_GBK"/>
          <w:sz w:val="70"/>
          <w:szCs w:val="70"/>
        </w:rPr>
      </w:pPr>
    </w:p>
    <w:p>
      <w:pPr>
        <w:pStyle w:val="17"/>
        <w:jc w:val="center"/>
        <w:rPr>
          <w:rFonts w:hint="eastAsia" w:ascii="方正小标宋_GBK" w:hAnsi="方正小标宋_GBK" w:eastAsia="方正小标宋_GBK" w:cs="方正小标宋_GBK"/>
          <w:sz w:val="70"/>
          <w:szCs w:val="70"/>
        </w:rPr>
      </w:pPr>
    </w:p>
    <w:p>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18576.86</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6755.3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57.14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w:t>
      </w:r>
      <w:r>
        <w:rPr>
          <w:rFonts w:hint="eastAsia" w:ascii="Times New Roman" w:hAnsi="Times New Roman" w:eastAsia="仿宋_GB2312"/>
          <w:sz w:val="32"/>
          <w:szCs w:val="32"/>
          <w:lang w:eastAsia="zh-CN"/>
        </w:rPr>
        <w:t>原因有四：一是</w:t>
      </w:r>
      <w:r>
        <w:rPr>
          <w:rFonts w:hint="eastAsia" w:ascii="Times New Roman" w:hAnsi="Times New Roman" w:eastAsia="仿宋_GB2312"/>
          <w:sz w:val="32"/>
          <w:szCs w:val="32"/>
          <w:lang w:val="en-US" w:eastAsia="zh-CN"/>
        </w:rPr>
        <w:t>“市纪委监委留置场所（垦新园）改扩建工程”未完工，本年度继续支出工程款；二是本年度新增“怀化市清廉文化教育馆项目”工程建设，增加工程建设支出；三是新增“市清廉文化作品巡回演出活动经费”支出；四是新增“</w:t>
      </w:r>
      <w:r>
        <w:rPr>
          <w:rFonts w:hint="eastAsia" w:ascii="Times New Roman" w:hAnsi="Times New Roman" w:eastAsia="仿宋_GB2312" w:cs="Times New Roman"/>
          <w:sz w:val="32"/>
          <w:szCs w:val="32"/>
          <w:lang w:eastAsia="zh-CN"/>
        </w:rPr>
        <w:t>中巡办联系点</w:t>
      </w:r>
      <w:r>
        <w:rPr>
          <w:rFonts w:hint="default" w:ascii="Times New Roman" w:hAnsi="Times New Roman" w:eastAsia="仿宋_GB2312" w:cs="Times New Roman"/>
          <w:sz w:val="32"/>
          <w:szCs w:val="32"/>
          <w:lang w:eastAsia="zh-CN"/>
        </w:rPr>
        <w:t>业务工作经费</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sz w:val="32"/>
          <w:szCs w:val="32"/>
          <w:lang w:val="en-US" w:eastAsia="zh-CN"/>
        </w:rPr>
        <w:t>。</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w:t>
      </w:r>
      <w:r>
        <w:rPr>
          <w:rFonts w:hint="eastAsia" w:ascii="Times New Roman" w:hAnsi="Times New Roman" w:eastAsia="仿宋_GB2312"/>
          <w:sz w:val="32"/>
          <w:szCs w:val="32"/>
          <w:lang w:val="en-US" w:eastAsia="zh-CN"/>
        </w:rPr>
        <w:t>18576.86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18576.86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X%；上级补助收入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1857686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4622.81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24.88</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13954.05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75.12</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pPr>
        <w:pStyle w:val="17"/>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18576.86</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6755.3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57.14</w:t>
      </w:r>
      <w:r>
        <w:rPr>
          <w:rFonts w:hint="eastAsia" w:ascii="Times New Roman" w:hAnsi="Times New Roman" w:eastAsia="仿宋_GB2312"/>
          <w:sz w:val="32"/>
          <w:szCs w:val="32"/>
        </w:rPr>
        <w:t>%，主要</w:t>
      </w:r>
      <w:r>
        <w:rPr>
          <w:rFonts w:hint="eastAsia" w:ascii="Times New Roman" w:hAnsi="Times New Roman" w:eastAsia="仿宋_GB2312"/>
          <w:sz w:val="32"/>
          <w:szCs w:val="32"/>
          <w:lang w:eastAsia="zh-CN"/>
        </w:rPr>
        <w:t>原因有四：一是</w:t>
      </w:r>
      <w:r>
        <w:rPr>
          <w:rFonts w:hint="eastAsia" w:ascii="Times New Roman" w:hAnsi="Times New Roman" w:eastAsia="仿宋_GB2312"/>
          <w:sz w:val="32"/>
          <w:szCs w:val="32"/>
          <w:lang w:val="en-US" w:eastAsia="zh-CN"/>
        </w:rPr>
        <w:t>“市纪委监委留置场所（垦新园）改扩建工程”未完工，本年度继续支出工程款；二是本年度新增“怀化市清廉文化教育馆项目”工程建设，增加工程建设支出；三是新增“市清廉文化作品巡回演出活动经费”支出；四是新增“</w:t>
      </w:r>
      <w:r>
        <w:rPr>
          <w:rFonts w:hint="eastAsia" w:ascii="Times New Roman" w:hAnsi="Times New Roman" w:eastAsia="仿宋_GB2312" w:cs="Times New Roman"/>
          <w:sz w:val="32"/>
          <w:szCs w:val="32"/>
          <w:lang w:eastAsia="zh-CN"/>
        </w:rPr>
        <w:t>中巡办联系点</w:t>
      </w:r>
      <w:r>
        <w:rPr>
          <w:rFonts w:hint="default" w:ascii="Times New Roman" w:hAnsi="Times New Roman" w:eastAsia="仿宋_GB2312" w:cs="Times New Roman"/>
          <w:sz w:val="32"/>
          <w:szCs w:val="32"/>
          <w:lang w:eastAsia="zh-CN"/>
        </w:rPr>
        <w:t>业务工作经费</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sz w:val="32"/>
          <w:szCs w:val="32"/>
          <w:lang w:val="en-US" w:eastAsia="zh-CN"/>
        </w:rPr>
        <w:t>。</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18576.86</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6755.3</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57.14</w:t>
      </w:r>
      <w:r>
        <w:rPr>
          <w:rFonts w:hint="eastAsia" w:ascii="Times New Roman" w:hAnsi="Times New Roman" w:eastAsia="仿宋_GB2312"/>
          <w:sz w:val="32"/>
          <w:szCs w:val="32"/>
        </w:rPr>
        <w:t>%，主要</w:t>
      </w:r>
      <w:r>
        <w:rPr>
          <w:rFonts w:hint="eastAsia" w:ascii="Times New Roman" w:hAnsi="Times New Roman" w:eastAsia="仿宋_GB2312"/>
          <w:sz w:val="32"/>
          <w:szCs w:val="32"/>
          <w:lang w:eastAsia="zh-CN"/>
        </w:rPr>
        <w:t>原因有四：一是</w:t>
      </w:r>
      <w:r>
        <w:rPr>
          <w:rFonts w:hint="eastAsia" w:ascii="Times New Roman" w:hAnsi="Times New Roman" w:eastAsia="仿宋_GB2312"/>
          <w:sz w:val="32"/>
          <w:szCs w:val="32"/>
          <w:lang w:val="en-US" w:eastAsia="zh-CN"/>
        </w:rPr>
        <w:t>“市纪委监委留置场所（垦新园）改扩建工程”未完工，本年度继续支出工程款；二是本年度新增“怀化市清廉文化教育馆项目”工程建设，增加工程建设支出；三是新增“市清廉文化作品巡回演出活动经费”支出；四是新增“</w:t>
      </w:r>
      <w:r>
        <w:rPr>
          <w:rFonts w:hint="eastAsia" w:ascii="Times New Roman" w:hAnsi="Times New Roman" w:eastAsia="仿宋_GB2312" w:cs="Times New Roman"/>
          <w:sz w:val="32"/>
          <w:szCs w:val="32"/>
          <w:lang w:eastAsia="zh-CN"/>
        </w:rPr>
        <w:t>中巡办联系点</w:t>
      </w:r>
      <w:r>
        <w:rPr>
          <w:rFonts w:hint="default" w:ascii="Times New Roman" w:hAnsi="Times New Roman" w:eastAsia="仿宋_GB2312" w:cs="Times New Roman"/>
          <w:sz w:val="32"/>
          <w:szCs w:val="32"/>
          <w:lang w:eastAsia="zh-CN"/>
        </w:rPr>
        <w:t>业务工作经费</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sz w:val="32"/>
          <w:szCs w:val="32"/>
          <w:lang w:val="en-US" w:eastAsia="zh-CN"/>
        </w:rPr>
        <w:t>。</w:t>
      </w:r>
    </w:p>
    <w:p>
      <w:pPr>
        <w:pStyle w:val="17"/>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18576.86</w:t>
      </w:r>
      <w:r>
        <w:rPr>
          <w:rFonts w:hint="eastAsia" w:ascii="Times New Roman" w:hAnsi="Times New Roman" w:eastAsia="仿宋_GB2312"/>
          <w:sz w:val="32"/>
          <w:szCs w:val="32"/>
        </w:rPr>
        <w:t>万元，主要用于以下方面：一般公共服务（类）支出</w:t>
      </w:r>
      <w:r>
        <w:rPr>
          <w:rFonts w:hint="eastAsia" w:ascii="Times New Roman" w:hAnsi="Times New Roman" w:eastAsia="仿宋_GB2312"/>
          <w:sz w:val="32"/>
          <w:szCs w:val="32"/>
          <w:lang w:val="en-US" w:eastAsia="zh-CN"/>
        </w:rPr>
        <w:t>17885.27</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96.28</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社会保障和就业</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486.63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2.62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卫生健康支出</w:t>
      </w:r>
      <w:r>
        <w:rPr>
          <w:rFonts w:hint="eastAsia" w:ascii="Times New Roman" w:hAnsi="Times New Roman" w:eastAsia="仿宋_GB2312"/>
          <w:sz w:val="32"/>
          <w:szCs w:val="32"/>
          <w:lang w:val="en-US" w:eastAsia="zh-CN"/>
        </w:rPr>
        <w:t>204.95万元，占1.10%。</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10865.38</w:t>
      </w:r>
      <w:r>
        <w:rPr>
          <w:rFonts w:hint="eastAsia" w:ascii="Times New Roman" w:hAnsi="Times New Roman" w:eastAsia="仿宋_GB2312"/>
          <w:sz w:val="32"/>
          <w:szCs w:val="32"/>
        </w:rPr>
        <w:t>万元，支出决算数为</w:t>
      </w:r>
      <w:r>
        <w:rPr>
          <w:rFonts w:hint="eastAsia" w:ascii="Times New Roman" w:hAnsi="Times New Roman" w:eastAsia="仿宋_GB2312"/>
          <w:sz w:val="32"/>
          <w:szCs w:val="32"/>
          <w:lang w:val="en-US" w:eastAsia="zh-CN"/>
        </w:rPr>
        <w:t>18576.86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170.97</w:t>
      </w:r>
      <w:r>
        <w:rPr>
          <w:rFonts w:hint="eastAsia" w:ascii="Times New Roman" w:hAnsi="Times New Roman" w:eastAsia="仿宋_GB2312"/>
          <w:sz w:val="32"/>
          <w:szCs w:val="32"/>
        </w:rPr>
        <w:t>%，其中：</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纪检监察事务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行政运行</w:t>
      </w:r>
      <w:r>
        <w:rPr>
          <w:rFonts w:hint="eastAsia" w:ascii="Times New Roman" w:hAnsi="Times New Roman" w:eastAsia="仿宋_GB2312"/>
          <w:sz w:val="32"/>
          <w:szCs w:val="32"/>
        </w:rPr>
        <w:t>（项）。</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4522.04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3619.28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80.03</w:t>
      </w:r>
      <w:r>
        <w:rPr>
          <w:rFonts w:hint="eastAsia" w:ascii="Times New Roman" w:hAnsi="Times New Roman" w:eastAsia="仿宋_GB2312"/>
          <w:sz w:val="32"/>
          <w:szCs w:val="32"/>
        </w:rPr>
        <w:t>%，决算数</w:t>
      </w:r>
      <w:r>
        <w:rPr>
          <w:rFonts w:hint="eastAsia" w:ascii="Times New Roman" w:hAnsi="Times New Roman" w:eastAsia="仿宋_GB2312"/>
          <w:sz w:val="32"/>
          <w:szCs w:val="32"/>
          <w:lang w:eastAsia="zh-CN"/>
        </w:rPr>
        <w:t>小</w:t>
      </w:r>
      <w:r>
        <w:rPr>
          <w:rFonts w:hint="eastAsia" w:ascii="Times New Roman" w:hAnsi="Times New Roman" w:eastAsia="仿宋_GB2312"/>
          <w:sz w:val="32"/>
          <w:szCs w:val="32"/>
        </w:rPr>
        <w:t>于年初预算数的主要原因</w:t>
      </w:r>
      <w:r>
        <w:rPr>
          <w:rFonts w:hint="eastAsia" w:ascii="Times New Roman" w:hAnsi="Times New Roman" w:eastAsia="仿宋_GB2312"/>
          <w:sz w:val="32"/>
          <w:szCs w:val="32"/>
          <w:lang w:eastAsia="zh-CN"/>
        </w:rPr>
        <w:t>有四：一是人员异动；二是</w:t>
      </w:r>
      <w:r>
        <w:rPr>
          <w:rFonts w:hint="eastAsia" w:ascii="Times New Roman" w:hAnsi="Times New Roman" w:eastAsia="仿宋_GB2312"/>
          <w:sz w:val="32"/>
          <w:szCs w:val="32"/>
          <w:lang w:val="en-US" w:eastAsia="zh-CN"/>
        </w:rPr>
        <w:t>2023年度</w:t>
      </w:r>
      <w:r>
        <w:rPr>
          <w:rFonts w:hint="eastAsia" w:ascii="Times New Roman" w:hAnsi="Times New Roman" w:eastAsia="仿宋_GB2312"/>
          <w:sz w:val="32"/>
          <w:szCs w:val="32"/>
          <w:lang w:eastAsia="zh-CN"/>
        </w:rPr>
        <w:t>绩效奖金支出列入</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纪检监察事务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其他纪检监察事务支出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；三是住房公积金列入预算，但实际由市财政直接缴费，未列入单位实际支出；</w:t>
      </w:r>
      <w:r>
        <w:rPr>
          <w:rFonts w:hint="eastAsia" w:ascii="Times New Roman" w:hAnsi="Times New Roman" w:eastAsia="仿宋_GB2312"/>
          <w:sz w:val="32"/>
          <w:szCs w:val="32"/>
          <w:lang w:val="en-US" w:eastAsia="zh-CN"/>
        </w:rPr>
        <w:t>四是新增“</w:t>
      </w:r>
      <w:r>
        <w:rPr>
          <w:rFonts w:hint="eastAsia" w:ascii="Times New Roman" w:hAnsi="Times New Roman" w:eastAsia="仿宋_GB2312" w:cs="Times New Roman"/>
          <w:sz w:val="32"/>
          <w:szCs w:val="32"/>
          <w:lang w:eastAsia="zh-CN"/>
        </w:rPr>
        <w:t>中巡办联系点</w:t>
      </w:r>
      <w:r>
        <w:rPr>
          <w:rFonts w:hint="default" w:ascii="Times New Roman" w:hAnsi="Times New Roman" w:eastAsia="仿宋_GB2312" w:cs="Times New Roman"/>
          <w:sz w:val="32"/>
          <w:szCs w:val="32"/>
          <w:lang w:eastAsia="zh-CN"/>
        </w:rPr>
        <w:t>业务工作经费</w:t>
      </w:r>
      <w:r>
        <w:rPr>
          <w:rFonts w:hint="eastAsia" w:ascii="Times New Roman" w:hAnsi="Times New Roman" w:eastAsia="仿宋_GB2312" w:cs="Times New Roman"/>
          <w:sz w:val="32"/>
          <w:szCs w:val="32"/>
          <w:lang w:eastAsia="zh-CN"/>
        </w:rPr>
        <w:t>”支出。</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w:t>
      </w:r>
      <w:r>
        <w:rPr>
          <w:rFonts w:hint="eastAsia" w:ascii="Times New Roman" w:hAnsi="Times New Roman" w:eastAsia="仿宋_GB2312"/>
          <w:sz w:val="32"/>
          <w:szCs w:val="32"/>
          <w:lang w:eastAsia="zh-CN"/>
        </w:rPr>
        <w:t>纪检监察事务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一般行政管理事务</w:t>
      </w:r>
      <w:r>
        <w:rPr>
          <w:rFonts w:hint="eastAsia" w:ascii="Times New Roman" w:hAnsi="Times New Roman" w:eastAsia="仿宋_GB2312"/>
          <w:sz w:val="32"/>
          <w:szCs w:val="32"/>
        </w:rPr>
        <w:t>（项）。</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882.5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792.47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89.80</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继续落实过紧日子要求，节约支出成本。</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纪检监察事务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大案要案查处</w:t>
      </w:r>
      <w:r>
        <w:rPr>
          <w:rFonts w:hint="eastAsia" w:ascii="Times New Roman" w:hAnsi="Times New Roman" w:eastAsia="仿宋_GB2312"/>
          <w:sz w:val="32"/>
          <w:szCs w:val="32"/>
        </w:rPr>
        <w:t>（项）。</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3900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3869.84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99.23</w:t>
      </w:r>
      <w:r>
        <w:rPr>
          <w:rFonts w:hint="eastAsia" w:ascii="Times New Roman" w:hAnsi="Times New Roman" w:eastAsia="仿宋_GB2312"/>
          <w:sz w:val="32"/>
          <w:szCs w:val="32"/>
        </w:rPr>
        <w:t>%，决算数小于年初预算数的主要原因</w:t>
      </w:r>
      <w:r>
        <w:rPr>
          <w:rFonts w:hint="eastAsia" w:ascii="Times New Roman" w:hAnsi="Times New Roman" w:eastAsia="仿宋_GB2312"/>
          <w:sz w:val="32"/>
          <w:szCs w:val="32"/>
          <w:lang w:eastAsia="zh-CN"/>
        </w:rPr>
        <w:t>落实政策，未执行旧车换购预算。</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纪检监察事务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巡视工作</w:t>
      </w:r>
      <w:r>
        <w:rPr>
          <w:rFonts w:hint="eastAsia" w:ascii="Times New Roman" w:hAnsi="Times New Roman" w:eastAsia="仿宋_GB2312"/>
          <w:sz w:val="32"/>
          <w:szCs w:val="32"/>
        </w:rPr>
        <w:t>（项）。</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430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405.43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94.29</w:t>
      </w:r>
      <w:r>
        <w:rPr>
          <w:rFonts w:hint="eastAsia" w:ascii="Times New Roman" w:hAnsi="Times New Roman" w:eastAsia="仿宋_GB2312"/>
          <w:sz w:val="32"/>
          <w:szCs w:val="32"/>
        </w:rPr>
        <w:t>%，决算数小于年初预算数的主要原因是</w:t>
      </w:r>
      <w:r>
        <w:rPr>
          <w:rFonts w:hint="eastAsia" w:ascii="Times New Roman" w:hAnsi="Times New Roman" w:eastAsia="仿宋_GB2312"/>
          <w:sz w:val="32"/>
          <w:szCs w:val="32"/>
          <w:lang w:eastAsia="zh-CN"/>
        </w:rPr>
        <w:t>落实政策，未执行旧车换购预算。</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纪检监察事务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其他纪检监察事务支出</w:t>
      </w:r>
      <w:r>
        <w:rPr>
          <w:rFonts w:hint="eastAsia" w:ascii="Times New Roman" w:hAnsi="Times New Roman" w:eastAsia="仿宋_GB2312"/>
          <w:sz w:val="32"/>
          <w:szCs w:val="32"/>
        </w:rPr>
        <w:t>（项）。</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9047.96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12063.95</w:t>
      </w:r>
      <w:r>
        <w:rPr>
          <w:rFonts w:hint="eastAsia" w:ascii="Times New Roman" w:hAnsi="Times New Roman" w:eastAsia="仿宋_GB2312"/>
          <w:sz w:val="32"/>
          <w:szCs w:val="32"/>
        </w:rPr>
        <w:t>%，决算数大于年初预算数的主要原因</w:t>
      </w:r>
      <w:r>
        <w:rPr>
          <w:rFonts w:hint="eastAsia" w:ascii="Times New Roman" w:hAnsi="Times New Roman" w:eastAsia="仿宋_GB2312"/>
          <w:sz w:val="32"/>
          <w:szCs w:val="32"/>
          <w:lang w:eastAsia="zh-CN"/>
        </w:rPr>
        <w:t>有四</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一是政策原因，</w:t>
      </w:r>
      <w:r>
        <w:rPr>
          <w:rFonts w:hint="eastAsia" w:ascii="Times New Roman" w:hAnsi="Times New Roman" w:eastAsia="仿宋_GB2312"/>
          <w:sz w:val="32"/>
          <w:szCs w:val="32"/>
          <w:lang w:val="en-US" w:eastAsia="zh-CN"/>
        </w:rPr>
        <w:t>“市纪委监委留置场所（垦新园）改扩建工程”未</w:t>
      </w:r>
      <w:r>
        <w:rPr>
          <w:rFonts w:hint="default" w:ascii="Times New Roman" w:hAnsi="Times New Roman" w:eastAsia="仿宋_GB2312" w:cs="Times New Roman"/>
          <w:color w:val="000000"/>
          <w:sz w:val="32"/>
          <w:szCs w:val="32"/>
          <w:lang w:val="en-US" w:eastAsia="zh-CN"/>
        </w:rPr>
        <w:t>纳入年初部门预算编列范围</w:t>
      </w:r>
      <w:r>
        <w:rPr>
          <w:rFonts w:hint="eastAsia" w:ascii="Times New Roman" w:hAnsi="Times New Roman" w:eastAsia="仿宋_GB2312"/>
          <w:sz w:val="32"/>
          <w:szCs w:val="32"/>
          <w:lang w:val="en-US" w:eastAsia="zh-CN"/>
        </w:rPr>
        <w:t>；二是本年度新增“怀化市清廉文化教育馆项目”、“市清廉文化作品巡回演出活动经费”未</w:t>
      </w:r>
      <w:r>
        <w:rPr>
          <w:rFonts w:hint="default" w:ascii="Times New Roman" w:hAnsi="Times New Roman" w:eastAsia="仿宋_GB2312" w:cs="Times New Roman"/>
          <w:color w:val="000000"/>
          <w:sz w:val="32"/>
          <w:szCs w:val="32"/>
          <w:lang w:val="en-US" w:eastAsia="zh-CN"/>
        </w:rPr>
        <w:t>纳入年初部门预算编列范围</w:t>
      </w:r>
      <w:r>
        <w:rPr>
          <w:rFonts w:hint="eastAsia" w:ascii="Times New Roman" w:hAnsi="Times New Roman" w:eastAsia="仿宋_GB2312" w:cs="Times New Roman"/>
          <w:color w:val="000000"/>
          <w:sz w:val="32"/>
          <w:szCs w:val="32"/>
          <w:lang w:val="en-US" w:eastAsia="zh-CN"/>
        </w:rPr>
        <w:t>；三是中央转移支出未纳入年初</w:t>
      </w:r>
      <w:r>
        <w:rPr>
          <w:rFonts w:hint="default" w:ascii="Times New Roman" w:hAnsi="Times New Roman" w:eastAsia="仿宋_GB2312" w:cs="Times New Roman"/>
          <w:color w:val="000000"/>
          <w:sz w:val="32"/>
          <w:szCs w:val="32"/>
          <w:lang w:val="en-US" w:eastAsia="zh-CN"/>
        </w:rPr>
        <w:t>部门预算编列范围</w:t>
      </w:r>
      <w:r>
        <w:rPr>
          <w:rFonts w:hint="eastAsia" w:ascii="Times New Roman" w:hAnsi="Times New Roman" w:eastAsia="仿宋_GB2312" w:cs="Times New Roman"/>
          <w:color w:val="000000"/>
          <w:sz w:val="32"/>
          <w:szCs w:val="32"/>
          <w:lang w:val="en-US" w:eastAsia="zh-CN"/>
        </w:rPr>
        <w:t>；四是</w:t>
      </w:r>
      <w:r>
        <w:rPr>
          <w:rFonts w:hint="eastAsia" w:ascii="Times New Roman" w:hAnsi="Times New Roman" w:eastAsia="仿宋_GB2312"/>
          <w:sz w:val="32"/>
          <w:szCs w:val="32"/>
          <w:lang w:val="en-US" w:eastAsia="zh-CN"/>
        </w:rPr>
        <w:t>2023年度</w:t>
      </w:r>
      <w:r>
        <w:rPr>
          <w:rFonts w:hint="eastAsia" w:ascii="Times New Roman" w:hAnsi="Times New Roman" w:eastAsia="仿宋_GB2312"/>
          <w:sz w:val="32"/>
          <w:szCs w:val="32"/>
          <w:lang w:eastAsia="zh-CN"/>
        </w:rPr>
        <w:t>绩效奖金支出列入本项。</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eastAsia="zh-CN"/>
        </w:rPr>
        <w:t>其他一般公共服务支出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其他一般公共服务支出</w:t>
      </w:r>
      <w:r>
        <w:rPr>
          <w:rFonts w:hint="eastAsia" w:ascii="Times New Roman" w:hAnsi="Times New Roman" w:eastAsia="仿宋_GB2312"/>
          <w:sz w:val="32"/>
          <w:szCs w:val="32"/>
        </w:rPr>
        <w:t>（项）。</w:t>
      </w:r>
    </w:p>
    <w:p>
      <w:pPr>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150.30</w:t>
      </w:r>
      <w:r>
        <w:rPr>
          <w:rFonts w:hint="eastAsia" w:ascii="Times New Roman" w:hAnsi="Times New Roman" w:eastAsia="仿宋_GB2312"/>
          <w:sz w:val="32"/>
          <w:szCs w:val="32"/>
        </w:rPr>
        <w:t>万元，年初预算</w:t>
      </w:r>
      <w:r>
        <w:rPr>
          <w:rFonts w:hint="eastAsia" w:ascii="Times New Roman" w:hAnsi="Times New Roman" w:eastAsia="仿宋_GB2312"/>
          <w:sz w:val="32"/>
          <w:szCs w:val="32"/>
          <w:lang w:eastAsia="zh-CN"/>
        </w:rPr>
        <w:t>未安排，</w:t>
      </w:r>
      <w:r>
        <w:rPr>
          <w:rFonts w:hint="default" w:ascii="Times New Roman" w:hAnsi="Times New Roman" w:eastAsia="仿宋_GB2312" w:cs="Times New Roman"/>
          <w:sz w:val="32"/>
          <w:szCs w:val="32"/>
          <w:lang w:eastAsia="zh-CN"/>
        </w:rPr>
        <w:t>为年中追加安排的</w:t>
      </w:r>
      <w:r>
        <w:rPr>
          <w:rFonts w:hint="eastAsia" w:ascii="Times New Roman" w:hAnsi="Times New Roman" w:eastAsia="仿宋_GB2312" w:cs="Times New Roman"/>
          <w:sz w:val="32"/>
          <w:szCs w:val="32"/>
          <w:lang w:eastAsia="zh-CN"/>
        </w:rPr>
        <w:t>中巡办联系点</w:t>
      </w:r>
      <w:r>
        <w:rPr>
          <w:rFonts w:hint="default" w:ascii="Times New Roman" w:hAnsi="Times New Roman" w:eastAsia="仿宋_GB2312" w:cs="Times New Roman"/>
          <w:sz w:val="32"/>
          <w:szCs w:val="32"/>
          <w:lang w:eastAsia="zh-CN"/>
        </w:rPr>
        <w:t>业务工作经费</w:t>
      </w:r>
      <w:r>
        <w:rPr>
          <w:rFonts w:hint="eastAsia" w:ascii="Times New Roman" w:hAnsi="Times New Roman" w:eastAsia="仿宋_GB2312" w:cs="Times New Roman"/>
          <w:sz w:val="32"/>
          <w:szCs w:val="32"/>
          <w:lang w:val="en-US" w:eastAsia="zh-CN"/>
        </w:rPr>
        <w:t>150万元及市政府奖励个人三等功奖金0.3万元</w:t>
      </w:r>
      <w:r>
        <w:rPr>
          <w:rFonts w:hint="default" w:ascii="Times New Roman" w:hAnsi="Times New Roman" w:eastAsia="仿宋_GB2312" w:cs="Times New Roman"/>
          <w:sz w:val="32"/>
          <w:szCs w:val="32"/>
          <w:lang w:eastAsia="zh-CN"/>
        </w:rPr>
        <w:t>。</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机关事业单位基本养老保险缴费支出</w:t>
      </w:r>
      <w:r>
        <w:rPr>
          <w:rFonts w:hint="eastAsia" w:ascii="Times New Roman" w:hAnsi="Times New Roman" w:eastAsia="仿宋_GB2312"/>
          <w:sz w:val="32"/>
          <w:szCs w:val="32"/>
        </w:rPr>
        <w:t>（项）。</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414.44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408.94</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98.67</w:t>
      </w:r>
      <w:r>
        <w:rPr>
          <w:rFonts w:hint="eastAsia" w:ascii="Times New Roman" w:hAnsi="Times New Roman" w:eastAsia="仿宋_GB2312"/>
          <w:sz w:val="32"/>
          <w:szCs w:val="32"/>
        </w:rPr>
        <w:t>%，决算数小于年初预算数的主要原因</w:t>
      </w:r>
      <w:r>
        <w:rPr>
          <w:rFonts w:hint="eastAsia" w:ascii="Times New Roman" w:hAnsi="Times New Roman" w:eastAsia="仿宋_GB2312"/>
          <w:sz w:val="32"/>
          <w:szCs w:val="32"/>
          <w:lang w:eastAsia="zh-CN"/>
        </w:rPr>
        <w:t>人员异动。</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（项）。</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67.11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年初预算数安排在社会保障和就业支出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（项）</w:t>
      </w:r>
      <w:r>
        <w:rPr>
          <w:rFonts w:hint="eastAsia" w:ascii="Times New Roman" w:hAnsi="Times New Roman" w:eastAsia="仿宋_GB2312"/>
          <w:sz w:val="32"/>
          <w:szCs w:val="32"/>
          <w:lang w:eastAsia="zh-CN"/>
        </w:rPr>
        <w:t>。</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（项）。</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74.76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10.58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14.15</w:t>
      </w:r>
      <w:r>
        <w:rPr>
          <w:rFonts w:hint="eastAsia" w:ascii="Times New Roman" w:hAnsi="Times New Roman" w:eastAsia="仿宋_GB2312"/>
          <w:sz w:val="32"/>
          <w:szCs w:val="32"/>
        </w:rPr>
        <w:t>%，决算数小于年初预算数的主要原因</w:t>
      </w:r>
      <w:r>
        <w:rPr>
          <w:rFonts w:hint="eastAsia" w:ascii="Times New Roman" w:hAnsi="Times New Roman" w:eastAsia="仿宋_GB2312"/>
          <w:sz w:val="32"/>
          <w:szCs w:val="32"/>
          <w:lang w:eastAsia="zh-CN"/>
        </w:rPr>
        <w:t>主要支出列入社会保障和就业支出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其他行政事业单位养老支出</w:t>
      </w:r>
      <w:r>
        <w:rPr>
          <w:rFonts w:hint="eastAsia" w:ascii="Times New Roman" w:hAnsi="Times New Roman" w:eastAsia="仿宋_GB2312"/>
          <w:sz w:val="32"/>
          <w:szCs w:val="32"/>
        </w:rPr>
        <w:t>（项）。</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lang w:eastAsia="zh-CN"/>
        </w:rPr>
        <w:t>卫生健康支出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174.07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204.95</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117.74</w:t>
      </w:r>
      <w:r>
        <w:rPr>
          <w:rFonts w:hint="eastAsia" w:ascii="Times New Roman" w:hAnsi="Times New Roman" w:eastAsia="仿宋_GB2312"/>
          <w:sz w:val="32"/>
          <w:szCs w:val="32"/>
        </w:rPr>
        <w:t>%，决算数大于年初预算数的主要原因是</w:t>
      </w:r>
      <w:r>
        <w:rPr>
          <w:rFonts w:hint="default" w:ascii="Times New Roman" w:hAnsi="Times New Roman" w:eastAsia="仿宋_GB2312" w:cs="Times New Roman"/>
          <w:sz w:val="32"/>
          <w:szCs w:val="32"/>
          <w:lang w:eastAsia="zh-CN"/>
        </w:rPr>
        <w:t>由于政策调整，</w:t>
      </w:r>
      <w:r>
        <w:rPr>
          <w:rFonts w:hint="eastAsia" w:ascii="Times New Roman" w:hAnsi="Times New Roman" w:eastAsia="仿宋_GB2312" w:cs="Times New Roman"/>
          <w:sz w:val="32"/>
          <w:szCs w:val="32"/>
          <w:lang w:eastAsia="zh-CN"/>
        </w:rPr>
        <w:t>医疗</w:t>
      </w:r>
      <w:r>
        <w:rPr>
          <w:rFonts w:hint="default" w:ascii="Times New Roman" w:hAnsi="Times New Roman" w:eastAsia="仿宋_GB2312" w:cs="Times New Roman"/>
          <w:sz w:val="32"/>
          <w:szCs w:val="32"/>
          <w:lang w:eastAsia="zh-CN"/>
        </w:rPr>
        <w:t>保险缴费基数口径变大，</w:t>
      </w:r>
      <w:r>
        <w:rPr>
          <w:rFonts w:hint="eastAsia" w:ascii="Times New Roman" w:hAnsi="Times New Roman" w:eastAsia="仿宋_GB2312" w:cs="Times New Roman"/>
          <w:sz w:val="32"/>
          <w:szCs w:val="32"/>
          <w:lang w:eastAsia="zh-CN"/>
        </w:rPr>
        <w:t>医疗</w:t>
      </w:r>
      <w:r>
        <w:rPr>
          <w:rFonts w:hint="default" w:ascii="Times New Roman" w:hAnsi="Times New Roman" w:eastAsia="仿宋_GB2312" w:cs="Times New Roman"/>
          <w:sz w:val="32"/>
          <w:szCs w:val="32"/>
          <w:lang w:eastAsia="zh-CN"/>
        </w:rPr>
        <w:t>保险缴费支出相应提升</w:t>
      </w:r>
      <w:r>
        <w:rPr>
          <w:rFonts w:hint="eastAsia" w:ascii="Times New Roman" w:hAnsi="Times New Roman" w:eastAsia="仿宋_GB2312"/>
          <w:sz w:val="32"/>
          <w:szCs w:val="32"/>
          <w:lang w:eastAsia="zh-CN"/>
        </w:rPr>
        <w:t>。</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4622.81</w:t>
      </w:r>
      <w:r>
        <w:rPr>
          <w:rFonts w:hint="eastAsia" w:ascii="Times New Roman" w:hAnsi="Times New Roman" w:eastAsia="仿宋_GB2312"/>
          <w:sz w:val="32"/>
          <w:szCs w:val="32"/>
        </w:rPr>
        <w:t>万元，其中：</w:t>
      </w:r>
    </w:p>
    <w:p>
      <w:pPr>
        <w:pStyle w:val="17"/>
        <w:keepNext w:val="0"/>
        <w:keepLines w:val="0"/>
        <w:pageBreakBefore w:val="0"/>
        <w:widowControl w:val="0"/>
        <w:kinsoku/>
        <w:wordWrap/>
        <w:overflowPunct w:val="0"/>
        <w:topLinePunct w:val="0"/>
        <w:autoSpaceDE/>
        <w:autoSpaceDN/>
        <w:bidi w:val="0"/>
        <w:spacing w:line="600" w:lineRule="exact"/>
        <w:ind w:left="0" w:leftChars="0" w:firstLine="640" w:firstLineChars="200"/>
        <w:jc w:val="both"/>
        <w:textAlignment w:val="auto"/>
        <w:rPr>
          <w:rFonts w:hint="eastAsia" w:ascii="Times New Roman" w:hAnsi="Times New Roman" w:eastAsia="仿宋_GB2312"/>
          <w:b/>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3916.92</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84.73</w:t>
      </w:r>
      <w:r>
        <w:rPr>
          <w:rFonts w:hint="eastAsia" w:ascii="Times New Roman" w:hAnsi="Times New Roman" w:eastAsia="仿宋_GB2312"/>
          <w:sz w:val="32"/>
          <w:szCs w:val="32"/>
        </w:rPr>
        <w:t>%,主要包括</w:t>
      </w:r>
      <w:r>
        <w:rPr>
          <w:rFonts w:hint="default" w:ascii="Times New Roman" w:hAnsi="Times New Roman" w:eastAsia="仿宋_GB2312" w:cs="Times New Roman"/>
          <w:color w:val="auto"/>
          <w:kern w:val="2"/>
          <w:sz w:val="32"/>
          <w:szCs w:val="32"/>
          <w:lang w:val="en-US" w:eastAsia="zh-CN" w:bidi="ar-SA"/>
        </w:rPr>
        <w:t>基本工资、津贴补贴、奖金、机关事业单位基本养老保险缴费、职工基本医疗保险缴费、其他社会保障缴费、住房公积金、离休费、退休费；公用经费</w:t>
      </w:r>
      <w:r>
        <w:rPr>
          <w:rFonts w:hint="eastAsia" w:ascii="Times New Roman" w:hAnsi="Times New Roman" w:eastAsia="仿宋_GB2312" w:cs="Times New Roman"/>
          <w:color w:val="auto"/>
          <w:kern w:val="2"/>
          <w:sz w:val="32"/>
          <w:szCs w:val="32"/>
          <w:lang w:val="en-US" w:eastAsia="zh-CN" w:bidi="ar-SA"/>
        </w:rPr>
        <w:t>705.89</w:t>
      </w:r>
      <w:r>
        <w:rPr>
          <w:rFonts w:hint="default" w:ascii="Times New Roman" w:hAnsi="Times New Roman" w:eastAsia="仿宋_GB2312" w:cs="Times New Roman"/>
          <w:color w:val="auto"/>
          <w:kern w:val="2"/>
          <w:sz w:val="32"/>
          <w:szCs w:val="32"/>
          <w:lang w:val="en-US" w:eastAsia="zh-CN" w:bidi="ar-SA"/>
        </w:rPr>
        <w:t>万元，占基本支出的</w:t>
      </w:r>
      <w:r>
        <w:rPr>
          <w:rFonts w:hint="eastAsia" w:ascii="Times New Roman" w:hAnsi="Times New Roman" w:eastAsia="仿宋_GB2312" w:cs="Times New Roman"/>
          <w:color w:val="auto"/>
          <w:kern w:val="2"/>
          <w:sz w:val="32"/>
          <w:szCs w:val="32"/>
          <w:lang w:val="en-US" w:eastAsia="zh-CN" w:bidi="ar-SA"/>
        </w:rPr>
        <w:t>15.27</w:t>
      </w:r>
      <w:r>
        <w:rPr>
          <w:rFonts w:hint="default" w:ascii="Times New Roman" w:hAnsi="Times New Roman" w:eastAsia="仿宋_GB2312" w:cs="Times New Roman"/>
          <w:color w:val="auto"/>
          <w:kern w:val="2"/>
          <w:sz w:val="32"/>
          <w:szCs w:val="32"/>
          <w:lang w:val="en-US" w:eastAsia="zh-CN" w:bidi="ar-SA"/>
        </w:rPr>
        <w:t>%，主要包括办公费、印刷费、水费、电费、差旅费、</w:t>
      </w:r>
      <w:r>
        <w:rPr>
          <w:rFonts w:hint="eastAsia" w:ascii="Times New Roman" w:hAnsi="Times New Roman" w:eastAsia="仿宋_GB2312" w:cs="Times New Roman"/>
          <w:color w:val="auto"/>
          <w:kern w:val="2"/>
          <w:sz w:val="32"/>
          <w:szCs w:val="32"/>
          <w:lang w:val="en-US" w:eastAsia="zh-CN" w:bidi="ar-SA"/>
        </w:rPr>
        <w:t>公务用车运行维护费、</w:t>
      </w:r>
      <w:r>
        <w:rPr>
          <w:rFonts w:hint="default" w:ascii="Times New Roman" w:hAnsi="Times New Roman" w:eastAsia="仿宋_GB2312" w:cs="Times New Roman"/>
          <w:color w:val="auto"/>
          <w:kern w:val="2"/>
          <w:sz w:val="32"/>
          <w:szCs w:val="32"/>
          <w:lang w:val="en-US" w:eastAsia="zh-CN" w:bidi="ar-SA"/>
        </w:rPr>
        <w:t>工会经费、福利费、其他交通费用、其他商品与服务支出。</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sz w:val="32"/>
          <w:szCs w:val="32"/>
        </w:rPr>
      </w:pPr>
      <w:r>
        <w:rPr>
          <w:rFonts w:hint="eastAsia" w:ascii="黑体" w:hAnsi="黑体" w:eastAsia="黑体" w:cs="黑体"/>
          <w:b w:val="0"/>
          <w:bCs/>
          <w:sz w:val="32"/>
          <w:szCs w:val="32"/>
        </w:rPr>
        <w:t>七、财政拨款三公经费支出决算情况说明</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175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120.46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68.83</w:t>
      </w:r>
      <w:r>
        <w:rPr>
          <w:rFonts w:hint="eastAsia" w:ascii="Times New Roman" w:hAnsi="Times New Roman" w:eastAsia="仿宋_GB2312"/>
          <w:sz w:val="32"/>
          <w:szCs w:val="32"/>
        </w:rPr>
        <w:t>%，决算数小于预算数的主要原因</w:t>
      </w:r>
      <w:r>
        <w:rPr>
          <w:rFonts w:hint="eastAsia" w:ascii="Times New Roman" w:hAnsi="Times New Roman" w:eastAsia="仿宋_GB2312"/>
          <w:sz w:val="32"/>
          <w:szCs w:val="32"/>
          <w:lang w:eastAsia="zh-CN"/>
        </w:rPr>
        <w:t>一</w:t>
      </w:r>
      <w:r>
        <w:rPr>
          <w:rFonts w:hint="eastAsia" w:ascii="Times New Roman" w:hAnsi="Times New Roman" w:eastAsia="仿宋_GB2312"/>
          <w:sz w:val="32"/>
          <w:szCs w:val="32"/>
        </w:rPr>
        <w:t>是</w:t>
      </w:r>
      <w:r>
        <w:rPr>
          <w:rFonts w:hint="eastAsia" w:ascii="Times New Roman" w:hAnsi="Times New Roman" w:eastAsia="仿宋_GB2312"/>
          <w:sz w:val="32"/>
          <w:szCs w:val="32"/>
          <w:lang w:eastAsia="zh-CN"/>
        </w:rPr>
        <w:t>公务车辆购置费</w:t>
      </w:r>
      <w:r>
        <w:rPr>
          <w:rFonts w:hint="eastAsia" w:ascii="Times New Roman" w:hAnsi="Times New Roman" w:eastAsia="仿宋_GB2312"/>
          <w:sz w:val="32"/>
          <w:szCs w:val="32"/>
          <w:lang w:val="en-US" w:eastAsia="zh-CN"/>
        </w:rPr>
        <w:t>40万元，因财政政策未执行；二是严格执行公务接待政策，厉行节约，公务接待费减少。</w:t>
      </w:r>
      <w:r>
        <w:rPr>
          <w:rFonts w:hint="eastAsia" w:ascii="Times New Roman" w:hAnsi="Times New Roman" w:eastAsia="仿宋_GB2312"/>
          <w:sz w:val="32"/>
          <w:szCs w:val="32"/>
        </w:rPr>
        <w:t>其中：</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1.46</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9.73</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严格执行公务接待政策，厉行节约，公务接待费减少。</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0.43</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22.75</w:t>
      </w:r>
      <w:r>
        <w:rPr>
          <w:rFonts w:hint="eastAsia" w:ascii="Times New Roman" w:hAnsi="Times New Roman" w:eastAsia="仿宋_GB2312"/>
          <w:sz w:val="32"/>
          <w:szCs w:val="32"/>
        </w:rPr>
        <w:t>%,减少的主要原因是</w:t>
      </w:r>
      <w:r>
        <w:rPr>
          <w:rFonts w:hint="eastAsia" w:ascii="Times New Roman" w:hAnsi="Times New Roman" w:eastAsia="仿宋_GB2312"/>
          <w:sz w:val="32"/>
          <w:szCs w:val="32"/>
          <w:lang w:val="en-US" w:eastAsia="zh-CN"/>
        </w:rPr>
        <w:t>严格执行公务接待政策，厉行节约，公务接待费减少。</w:t>
      </w:r>
      <w:r>
        <w:rPr>
          <w:rFonts w:hint="eastAsia" w:ascii="Times New Roman" w:hAnsi="Times New Roman" w:eastAsia="仿宋_GB2312"/>
          <w:sz w:val="32"/>
          <w:szCs w:val="32"/>
        </w:rPr>
        <w:t>。</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%，决算数小于预算数的主要原因是</w:t>
      </w:r>
      <w:r>
        <w:rPr>
          <w:rFonts w:hint="eastAsia" w:ascii="Times New Roman" w:hAnsi="Times New Roman" w:eastAsia="仿宋_GB2312"/>
          <w:sz w:val="32"/>
          <w:szCs w:val="32"/>
          <w:lang w:val="en-US" w:eastAsia="zh-CN"/>
        </w:rPr>
        <w:t>因财政政策未执行</w:t>
      </w:r>
      <w:r>
        <w:rPr>
          <w:rFonts w:hint="eastAsia" w:ascii="Times New Roman" w:hAnsi="Times New Roman" w:eastAsia="仿宋_GB2312"/>
          <w:sz w:val="32"/>
          <w:szCs w:val="32"/>
        </w:rPr>
        <w:t>。</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120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99.17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基本完成预算数</w:t>
      </w:r>
      <w:r>
        <w:rPr>
          <w:rFonts w:hint="eastAsia" w:ascii="Times New Roman" w:hAnsi="Times New Roman" w:eastAsia="仿宋_GB2312"/>
          <w:sz w:val="32"/>
          <w:szCs w:val="32"/>
        </w:rPr>
        <w:t>，与上年相比增加</w:t>
      </w:r>
      <w:r>
        <w:rPr>
          <w:rFonts w:hint="eastAsia" w:ascii="Times New Roman" w:hAnsi="Times New Roman" w:eastAsia="仿宋_GB2312"/>
          <w:sz w:val="32"/>
          <w:szCs w:val="32"/>
          <w:lang w:val="en-US" w:eastAsia="zh-CN"/>
        </w:rPr>
        <w:t>23.9</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25.13</w:t>
      </w:r>
      <w:r>
        <w:rPr>
          <w:rFonts w:hint="eastAsia" w:ascii="Times New Roman" w:hAnsi="Times New Roman" w:eastAsia="仿宋_GB2312"/>
          <w:sz w:val="32"/>
          <w:szCs w:val="32"/>
        </w:rPr>
        <w:t>%,增长的主要原因是</w:t>
      </w:r>
      <w:r>
        <w:rPr>
          <w:rFonts w:hint="eastAsia" w:ascii="Times New Roman" w:hAnsi="Times New Roman" w:eastAsia="仿宋_GB2312"/>
          <w:sz w:val="32"/>
          <w:szCs w:val="32"/>
          <w:lang w:eastAsia="zh-CN"/>
        </w:rPr>
        <w:t>我委执法车辆老旧，保养维修费增加。</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1.21</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119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98.79</w:t>
      </w:r>
      <w:r>
        <w:rPr>
          <w:rFonts w:hint="eastAsia" w:ascii="Times New Roman" w:hAnsi="Times New Roman" w:eastAsia="仿宋_GB2312"/>
          <w:sz w:val="32"/>
          <w:szCs w:val="32"/>
        </w:rPr>
        <w:t>%。其中：</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1.46</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159</w:t>
      </w:r>
      <w:r>
        <w:rPr>
          <w:rFonts w:hint="eastAsia" w:ascii="Times New Roman" w:hAnsi="Times New Roman" w:eastAsia="仿宋_GB2312"/>
          <w:sz w:val="32"/>
          <w:szCs w:val="32"/>
        </w:rPr>
        <w:t>人次，主要是纪检监察业务交流发生的接待支出。</w:t>
      </w:r>
    </w:p>
    <w:p>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119</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119</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执法车辆汽油费、保养维修费、保险费、过桥过路费及洗车费等</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辆。</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stheme="minorBidi"/>
          <w:color w:val="auto"/>
          <w:kern w:val="2"/>
          <w:sz w:val="32"/>
          <w:szCs w:val="32"/>
          <w:lang w:val="en-US" w:eastAsia="zh-CN" w:bidi="ar-SA"/>
        </w:rPr>
        <w:t>2023年度本单位无政府性基金预算收支。</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color w:val="auto"/>
          <w:sz w:val="32"/>
          <w:szCs w:val="32"/>
        </w:rPr>
        <w:t>九、关于机关运行经费支出说明</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705.89</w:t>
      </w:r>
      <w:r>
        <w:rPr>
          <w:rFonts w:hint="eastAsia" w:ascii="Times New Roman" w:hAnsi="Times New Roman" w:eastAsia="仿宋_GB2312"/>
          <w:sz w:val="32"/>
          <w:szCs w:val="32"/>
        </w:rPr>
        <w:t>万元，比年初预算数</w:t>
      </w:r>
      <w:r>
        <w:rPr>
          <w:rFonts w:hint="eastAsia" w:ascii="Times New Roman" w:hAnsi="Times New Roman" w:eastAsia="仿宋_GB2312"/>
          <w:sz w:val="32"/>
          <w:szCs w:val="32"/>
          <w:lang w:eastAsia="zh-CN"/>
        </w:rPr>
        <w:t>减少</w:t>
      </w:r>
      <w:r>
        <w:rPr>
          <w:rFonts w:hint="eastAsia" w:ascii="Times New Roman" w:hAnsi="Times New Roman" w:eastAsia="仿宋_GB2312"/>
          <w:sz w:val="32"/>
          <w:szCs w:val="32"/>
          <w:lang w:val="en-US" w:eastAsia="zh-CN"/>
        </w:rPr>
        <w:t>95.11</w:t>
      </w:r>
      <w:r>
        <w:rPr>
          <w:rFonts w:hint="eastAsia" w:ascii="Times New Roman" w:hAnsi="Times New Roman" w:eastAsia="仿宋_GB2312"/>
          <w:sz w:val="32"/>
          <w:szCs w:val="32"/>
        </w:rPr>
        <w:t xml:space="preserve"> 万元，降低</w:t>
      </w:r>
      <w:r>
        <w:rPr>
          <w:rFonts w:hint="eastAsia" w:ascii="Times New Roman" w:hAnsi="Times New Roman" w:eastAsia="仿宋_GB2312"/>
          <w:sz w:val="32"/>
          <w:szCs w:val="32"/>
          <w:lang w:val="en-US" w:eastAsia="zh-CN"/>
        </w:rPr>
        <w:t>11.87</w:t>
      </w:r>
      <w:r>
        <w:rPr>
          <w:rFonts w:hint="eastAsia" w:ascii="Times New Roman" w:hAnsi="Times New Roman" w:eastAsia="仿宋_GB2312"/>
          <w:sz w:val="32"/>
          <w:szCs w:val="32"/>
        </w:rPr>
        <w:t>%。主要原因</w:t>
      </w:r>
      <w:r>
        <w:rPr>
          <w:rFonts w:hint="eastAsia" w:ascii="Times New Roman" w:hAnsi="Times New Roman" w:eastAsia="仿宋_GB2312"/>
          <w:sz w:val="32"/>
          <w:szCs w:val="32"/>
          <w:lang w:eastAsia="zh-CN"/>
        </w:rPr>
        <w:t>一是财政对年初机关运行经费压减</w:t>
      </w:r>
      <w:r>
        <w:rPr>
          <w:rFonts w:hint="eastAsia" w:ascii="Times New Roman" w:hAnsi="Times New Roman" w:eastAsia="仿宋_GB2312"/>
          <w:sz w:val="32"/>
          <w:szCs w:val="32"/>
          <w:lang w:val="en-US" w:eastAsia="zh-CN"/>
        </w:rPr>
        <w:t>20%，金额160.2万元；二是</w:t>
      </w:r>
      <w:r>
        <w:rPr>
          <w:rFonts w:hint="eastAsia" w:ascii="Times New Roman" w:hAnsi="Times New Roman" w:eastAsia="仿宋_GB2312"/>
          <w:sz w:val="32"/>
          <w:szCs w:val="32"/>
          <w:lang w:eastAsia="zh-CN"/>
        </w:rPr>
        <w:t>机关运行经费中包含本单位人员工资中车补支出</w:t>
      </w:r>
      <w:r>
        <w:rPr>
          <w:rFonts w:hint="eastAsia" w:ascii="Times New Roman" w:hAnsi="Times New Roman" w:eastAsia="仿宋_GB2312"/>
          <w:sz w:val="32"/>
          <w:szCs w:val="32"/>
          <w:lang w:val="en-US" w:eastAsia="zh-CN"/>
        </w:rPr>
        <w:t>252.45万元。</w:t>
      </w:r>
    </w:p>
    <w:p>
      <w:pPr>
        <w:pStyle w:val="17"/>
        <w:keepNext w:val="0"/>
        <w:keepLines w:val="0"/>
        <w:pageBreakBefore w:val="0"/>
        <w:widowControl w:val="0"/>
        <w:numPr>
          <w:ilvl w:val="0"/>
          <w:numId w:val="1"/>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一般性支出情况说明</w:t>
      </w:r>
    </w:p>
    <w:p>
      <w:pPr>
        <w:pStyle w:val="17"/>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default"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2023年本部门开支会议费38.70万元，主要用于召开中国共产党怀化市第六届纪律检查委员会第四次全体会议，人数180人，内容为深入学习贯彻党的二十大精神，回顾2022年纪检监察工作、部署2023年工作任务；用于全市清廉文化建设宣传、廉政教育宣传会议9次，人次1204次，主要内容为党纪党规学习及部署廉政建设工作等；用于全市巡视巡察工作会议8次，人次1018次，主要内容为党纪党规学习、部署巡视巡察工作及巡视巡察工作反馈等。</w:t>
      </w:r>
    </w:p>
    <w:p>
      <w:pPr>
        <w:pStyle w:val="17"/>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开支培训费15.44万元，主要用于开展全市纪委组织部长暨村纪检委员培训，人数81人，内容为党的二十大精神宣传讲及业务培训；用于全市纪检监察干部业务培训，人数957人，内容为加强政治理论和党性教育、纪律作风教育，提高纪检监察业务知识，组织开展党性分析，加强交流研讨。</w:t>
      </w:r>
    </w:p>
    <w:p>
      <w:pPr>
        <w:pStyle w:val="17"/>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十一、关于政府采购支出说明</w:t>
      </w:r>
    </w:p>
    <w:p>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1166.91</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1054.30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112.61</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1054.3</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90.35</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989.20</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93.83</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十二、关于国有资产占用情况说明</w:t>
      </w:r>
    </w:p>
    <w:p>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我委</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21</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主要领导干部用车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辆，机要通信用车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15</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（救护车）</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公务用车</w:t>
      </w:r>
      <w:r>
        <w:rPr>
          <w:rFonts w:hint="eastAsia" w:ascii="Times New Roman" w:hAnsi="Times New Roman" w:eastAsia="仿宋_GB2312"/>
          <w:color w:val="auto"/>
          <w:sz w:val="32"/>
          <w:szCs w:val="32"/>
          <w:lang w:val="en-US" w:eastAsia="zh-CN"/>
        </w:rPr>
        <w:t>2辆，</w:t>
      </w:r>
      <w:r>
        <w:rPr>
          <w:rFonts w:hint="eastAsia" w:ascii="Times New Roman" w:hAnsi="Times New Roman" w:eastAsia="仿宋_GB2312"/>
          <w:color w:val="auto"/>
          <w:sz w:val="32"/>
          <w:szCs w:val="32"/>
        </w:rPr>
        <w:t>其他用车</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辆，其</w:t>
      </w:r>
      <w:r>
        <w:rPr>
          <w:rFonts w:hint="eastAsia" w:ascii="Times New Roman" w:hAnsi="Times New Roman" w:eastAsia="仿宋_GB2312"/>
          <w:sz w:val="32"/>
          <w:szCs w:val="32"/>
        </w:rPr>
        <w:t>他用车主要</w:t>
      </w:r>
      <w:r>
        <w:rPr>
          <w:rFonts w:hint="eastAsia" w:ascii="Times New Roman" w:hAnsi="Times New Roman" w:eastAsia="仿宋_GB2312"/>
          <w:sz w:val="32"/>
          <w:szCs w:val="32"/>
          <w:lang w:eastAsia="zh-CN"/>
        </w:rPr>
        <w:t>是业务用车</w:t>
      </w:r>
      <w:r>
        <w:rPr>
          <w:rFonts w:hint="eastAsia" w:ascii="Times New Roman" w:hAnsi="Times New Roman" w:eastAsia="仿宋_GB2312"/>
          <w:sz w:val="32"/>
          <w:szCs w:val="32"/>
        </w:rPr>
        <w:t>；</w:t>
      </w:r>
      <w:r>
        <w:rPr>
          <w:rFonts w:hint="eastAsia" w:ascii="Times New Roman" w:hAnsi="Times New Roman" w:eastAsia="仿宋_GB2312"/>
          <w:color w:val="auto"/>
          <w:sz w:val="32"/>
          <w:szCs w:val="32"/>
        </w:rPr>
        <w:t>单位价值50万元以上通用设备</w:t>
      </w:r>
      <w:r>
        <w:rPr>
          <w:rFonts w:hint="eastAsia" w:ascii="Times New Roman" w:hAnsi="Times New Roman" w:eastAsia="仿宋_GB2312"/>
          <w:color w:val="auto"/>
          <w:sz w:val="32"/>
          <w:szCs w:val="32"/>
          <w:lang w:val="en-US" w:eastAsia="zh-CN"/>
        </w:rPr>
        <w:t>1</w:t>
      </w:r>
      <w:r>
        <w:rPr>
          <w:rFonts w:hint="eastAsia" w:ascii="Times New Roman" w:hAnsi="Times New Roman" w:eastAsia="仿宋_GB2312"/>
          <w:color w:val="auto"/>
          <w:sz w:val="32"/>
          <w:szCs w:val="32"/>
        </w:rPr>
        <w:t>台（套）</w:t>
      </w:r>
      <w:r>
        <w:rPr>
          <w:rFonts w:hint="eastAsia" w:ascii="Times New Roman" w:hAnsi="Times New Roman" w:eastAsia="仿宋_GB2312"/>
          <w:color w:val="auto"/>
          <w:sz w:val="32"/>
          <w:szCs w:val="32"/>
          <w:lang w:eastAsia="zh-CN"/>
        </w:rPr>
        <w:t>（文印室打印机）</w:t>
      </w:r>
      <w:r>
        <w:rPr>
          <w:rFonts w:hint="eastAsia" w:ascii="Times New Roman" w:hAnsi="Times New Roman" w:eastAsia="仿宋_GB2312"/>
          <w:color w:val="auto"/>
          <w:sz w:val="32"/>
          <w:szCs w:val="32"/>
        </w:rPr>
        <w:t>；单位价值100万元以上专用设备</w:t>
      </w:r>
      <w:r>
        <w:rPr>
          <w:rFonts w:hint="eastAsia" w:ascii="Times New Roman" w:hAnsi="Times New Roman" w:eastAsia="仿宋_GB2312"/>
          <w:color w:val="auto"/>
          <w:sz w:val="32"/>
          <w:szCs w:val="32"/>
          <w:lang w:val="en-US" w:eastAsia="zh-CN"/>
        </w:rPr>
        <w:t>2</w:t>
      </w:r>
      <w:r>
        <w:rPr>
          <w:rFonts w:hint="eastAsia" w:ascii="Times New Roman" w:hAnsi="Times New Roman" w:eastAsia="仿宋_GB2312"/>
          <w:color w:val="auto"/>
          <w:sz w:val="32"/>
          <w:szCs w:val="32"/>
        </w:rPr>
        <w:t>台（套）</w:t>
      </w:r>
      <w:r>
        <w:rPr>
          <w:rFonts w:hint="eastAsia" w:ascii="Times New Roman" w:hAnsi="Times New Roman" w:eastAsia="仿宋_GB2312"/>
          <w:color w:val="auto"/>
          <w:sz w:val="32"/>
          <w:szCs w:val="32"/>
          <w:lang w:eastAsia="zh-CN"/>
        </w:rPr>
        <w:t>（垦新园空调、暖通、热水系统、视频监控系统）</w:t>
      </w:r>
      <w:r>
        <w:rPr>
          <w:rFonts w:hint="eastAsia" w:ascii="Times New Roman" w:hAnsi="Times New Roman" w:eastAsia="仿宋_GB2312"/>
          <w:color w:val="auto"/>
          <w:sz w:val="32"/>
          <w:szCs w:val="32"/>
        </w:rPr>
        <w:t>。</w:t>
      </w:r>
    </w:p>
    <w:p>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十三、关于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pPr>
        <w:pStyle w:val="17"/>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default" w:ascii="Times New Roman" w:hAnsi="Times New Roman" w:eastAsia="仿宋_GB2312" w:cs="Times New Roman"/>
          <w:sz w:val="32"/>
          <w:szCs w:val="32"/>
          <w:lang w:eastAsia="zh-CN"/>
        </w:rPr>
        <w:t>详见附件</w:t>
      </w:r>
    </w:p>
    <w:p>
      <w:pPr>
        <w:pStyle w:val="17"/>
        <w:jc w:val="both"/>
        <w:rPr>
          <w:sz w:val="72"/>
          <w:szCs w:val="72"/>
        </w:rPr>
      </w:pPr>
    </w:p>
    <w:p>
      <w:pPr>
        <w:pStyle w:val="17"/>
        <w:jc w:val="center"/>
        <w:rPr>
          <w:sz w:val="72"/>
          <w:szCs w:val="72"/>
        </w:rPr>
      </w:pPr>
    </w:p>
    <w:p>
      <w:pPr>
        <w:pStyle w:val="17"/>
        <w:jc w:val="both"/>
        <w:rPr>
          <w:rFonts w:hint="eastAsia" w:ascii="方正小标宋_GBK" w:hAnsi="方正小标宋_GBK" w:eastAsia="方正小标宋_GBK" w:cs="方正小标宋_GBK"/>
          <w:sz w:val="72"/>
          <w:szCs w:val="72"/>
        </w:rPr>
      </w:pPr>
    </w:p>
    <w:p>
      <w:pPr>
        <w:pStyle w:val="17"/>
        <w:jc w:val="center"/>
        <w:rPr>
          <w:rFonts w:hint="eastAsia" w:ascii="方正小标宋_GBK" w:hAnsi="方正小标宋_GBK" w:eastAsia="方正小标宋_GBK" w:cs="方正小标宋_GBK"/>
          <w:sz w:val="72"/>
          <w:szCs w:val="72"/>
        </w:rPr>
      </w:pPr>
    </w:p>
    <w:p>
      <w:pPr>
        <w:pStyle w:val="17"/>
        <w:jc w:val="center"/>
        <w:rPr>
          <w:rFonts w:hint="eastAsia" w:ascii="方正小标宋_GBK" w:hAnsi="方正小标宋_GBK" w:eastAsia="方正小标宋_GBK" w:cs="方正小标宋_GBK"/>
          <w:sz w:val="72"/>
          <w:szCs w:val="72"/>
        </w:rPr>
      </w:pPr>
    </w:p>
    <w:p>
      <w:pPr>
        <w:pStyle w:val="17"/>
        <w:jc w:val="center"/>
        <w:rPr>
          <w:rFonts w:hint="eastAsia" w:ascii="方正小标宋_GBK" w:hAnsi="方正小标宋_GBK" w:eastAsia="方正小标宋_GBK" w:cs="方正小标宋_GBK"/>
          <w:sz w:val="72"/>
          <w:szCs w:val="72"/>
        </w:rPr>
      </w:pPr>
    </w:p>
    <w:p>
      <w:pPr>
        <w:pStyle w:val="17"/>
        <w:jc w:val="center"/>
        <w:rPr>
          <w:rFonts w:hint="eastAsia" w:ascii="方正小标宋_GBK" w:hAnsi="方正小标宋_GBK" w:eastAsia="方正小标宋_GBK" w:cs="方正小标宋_GBK"/>
          <w:sz w:val="72"/>
          <w:szCs w:val="72"/>
        </w:rPr>
      </w:pPr>
    </w:p>
    <w:p>
      <w:pPr>
        <w:pStyle w:val="17"/>
        <w:jc w:val="center"/>
        <w:rPr>
          <w:rFonts w:hint="eastAsia" w:ascii="方正小标宋_GBK" w:hAnsi="方正小标宋_GBK" w:eastAsia="方正小标宋_GBK" w:cs="方正小标宋_GBK"/>
          <w:sz w:val="72"/>
          <w:szCs w:val="72"/>
        </w:rPr>
      </w:pPr>
    </w:p>
    <w:p>
      <w:pPr>
        <w:pStyle w:val="17"/>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pPr>
        <w:jc w:val="center"/>
        <w:rPr>
          <w:rFonts w:hint="eastAsia" w:ascii="方正小标宋_GBK" w:hAnsi="方正小标宋_GBK" w:eastAsia="方正小标宋_GBK" w:cs="方正小标宋_GBK"/>
          <w:color w:val="000000"/>
          <w:kern w:val="0"/>
          <w:sz w:val="70"/>
          <w:szCs w:val="70"/>
        </w:rPr>
      </w:pPr>
    </w:p>
    <w:p>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pPr>
        <w:pStyle w:val="10"/>
        <w:rPr>
          <w:rFonts w:hint="eastAsia" w:ascii="方正小标宋_GBK" w:hAnsi="方正小标宋_GBK" w:eastAsia="方正小标宋_GBK" w:cs="方正小标宋_GBK"/>
          <w:color w:val="000000"/>
          <w:kern w:val="0"/>
          <w:sz w:val="70"/>
          <w:szCs w:val="70"/>
        </w:rPr>
      </w:pPr>
    </w:p>
    <w:p>
      <w:pPr>
        <w:pStyle w:val="6"/>
        <w:rPr>
          <w:rFonts w:hint="eastAsia" w:ascii="方正小标宋_GBK" w:hAnsi="方正小标宋_GBK" w:eastAsia="方正小标宋_GBK" w:cs="方正小标宋_GBK"/>
          <w:color w:val="000000"/>
          <w:kern w:val="0"/>
          <w:sz w:val="70"/>
          <w:szCs w:val="70"/>
        </w:rPr>
      </w:pPr>
    </w:p>
    <w:p>
      <w:pPr>
        <w:rPr>
          <w:rFonts w:hint="eastAsia" w:ascii="方正小标宋_GBK" w:hAnsi="方正小标宋_GBK" w:eastAsia="方正小标宋_GBK" w:cs="方正小标宋_GBK"/>
          <w:color w:val="000000"/>
          <w:kern w:val="0"/>
          <w:sz w:val="70"/>
          <w:szCs w:val="70"/>
        </w:rPr>
      </w:pPr>
    </w:p>
    <w:p>
      <w:pPr>
        <w:pStyle w:val="10"/>
        <w:rPr>
          <w:rFonts w:hint="eastAsia" w:ascii="方正小标宋_GBK" w:hAnsi="方正小标宋_GBK" w:eastAsia="方正小标宋_GBK" w:cs="方正小标宋_GBK"/>
          <w:color w:val="000000"/>
          <w:kern w:val="0"/>
          <w:sz w:val="70"/>
          <w:szCs w:val="70"/>
        </w:rPr>
      </w:pPr>
    </w:p>
    <w:p>
      <w:pPr>
        <w:pStyle w:val="6"/>
        <w:rPr>
          <w:rFonts w:hint="eastAsia"/>
        </w:rPr>
      </w:pPr>
    </w:p>
    <w:p>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pPr>
        <w:pStyle w:val="17"/>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b/>
          <w:bCs/>
          <w:sz w:val="32"/>
          <w:szCs w:val="32"/>
          <w:lang w:eastAsia="zh-CN"/>
        </w:rPr>
        <w:t>一般公共财政拨款</w:t>
      </w:r>
      <w:r>
        <w:rPr>
          <w:rFonts w:hint="eastAsia" w:ascii="仿宋" w:hAnsi="仿宋" w:eastAsia="仿宋" w:cs="仿宋"/>
          <w:sz w:val="32"/>
          <w:szCs w:val="32"/>
        </w:rPr>
        <w:t>：</w:t>
      </w:r>
      <w:r>
        <w:rPr>
          <w:rFonts w:hint="eastAsia" w:ascii="仿宋" w:hAnsi="仿宋" w:eastAsia="仿宋" w:cs="仿宋"/>
          <w:sz w:val="32"/>
          <w:szCs w:val="32"/>
          <w:lang w:eastAsia="zh-CN"/>
        </w:rPr>
        <w:t>指市级财政当年拨付的资金</w:t>
      </w:r>
      <w:r>
        <w:rPr>
          <w:rFonts w:hint="eastAsia" w:ascii="仿宋" w:hAnsi="仿宋" w:eastAsia="仿宋" w:cs="仿宋"/>
          <w:sz w:val="32"/>
          <w:szCs w:val="32"/>
        </w:rPr>
        <w:t>。</w:t>
      </w:r>
    </w:p>
    <w:p>
      <w:pPr>
        <w:pStyle w:val="17"/>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基本支出：指为保障机构正常运转、完成日常工作任务而发生的人员支出和公用支出。</w:t>
      </w:r>
    </w:p>
    <w:p>
      <w:pPr>
        <w:pStyle w:val="17"/>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项目支出：</w:t>
      </w:r>
      <w:r>
        <w:rPr>
          <w:rFonts w:hint="eastAsia" w:ascii="仿宋" w:hAnsi="仿宋" w:eastAsia="仿宋" w:cs="仿宋"/>
          <w:sz w:val="32"/>
          <w:szCs w:val="32"/>
          <w:lang w:eastAsia="zh-CN"/>
        </w:rPr>
        <w:t>指在基本支出以外完成相关行政任务和事业发展目标所发生的支出。</w:t>
      </w:r>
    </w:p>
    <w:p>
      <w:pPr>
        <w:pStyle w:val="17"/>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“三公”经费：</w:t>
      </w:r>
      <w:r>
        <w:rPr>
          <w:rFonts w:hint="eastAsia" w:ascii="仿宋" w:hAnsi="仿宋" w:eastAsia="仿宋" w:cs="仿宋"/>
          <w:sz w:val="32"/>
          <w:szCs w:val="32"/>
          <w:lang w:eastAsia="zh-CN"/>
        </w:rPr>
        <w:t>指通过财政拨款资金安排的因公出国(境)费、公务用车购置及运行费和公务接待费支出。其中：因公出国(境)费指单位工作人员公务出国(境)的往返机票费、住宿费、伙食费、培训费等支出;公务用车购置及运行费指单位购置公务用车支出及公务用车使用过程中发生的租用费、燃料费、维修费、过路过桥费、保险费等支出;公务接待费指单位按规定开支的各类公务接待支出。</w:t>
      </w:r>
    </w:p>
    <w:p>
      <w:pPr>
        <w:pStyle w:val="17"/>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rFonts w:hint="eastAsia" w:ascii="仿宋" w:hAnsi="仿宋" w:eastAsia="仿宋" w:cs="仿宋"/>
          <w:color w:val="000000"/>
          <w:kern w:val="0"/>
          <w:sz w:val="32"/>
          <w:szCs w:val="32"/>
          <w:lang w:val="en-US" w:eastAsia="zh-CN" w:bidi="ar-SA"/>
        </w:rPr>
      </w:pPr>
      <w:r>
        <w:rPr>
          <w:rFonts w:hint="eastAsia" w:ascii="仿宋" w:hAnsi="仿宋" w:eastAsia="仿宋" w:cs="仿宋"/>
          <w:b/>
          <w:bCs/>
          <w:color w:val="000000"/>
          <w:kern w:val="0"/>
          <w:sz w:val="32"/>
          <w:szCs w:val="32"/>
          <w:lang w:val="en-US" w:eastAsia="zh-CN" w:bidi="ar-SA"/>
        </w:rPr>
        <w:t>机关运行经费：</w:t>
      </w:r>
      <w:r>
        <w:rPr>
          <w:rFonts w:hint="eastAsia" w:ascii="仿宋" w:hAnsi="仿宋" w:eastAsia="仿宋" w:cs="仿宋"/>
          <w:color w:val="000000"/>
          <w:kern w:val="0"/>
          <w:sz w:val="32"/>
          <w:szCs w:val="32"/>
          <w:lang w:val="en-US" w:eastAsia="zh-CN" w:bidi="ar-SA"/>
        </w:rPr>
        <w:t>是指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17"/>
        <w:keepNext w:val="0"/>
        <w:keepLines w:val="0"/>
        <w:pageBreakBefore w:val="0"/>
        <w:widowControl w:val="0"/>
        <w:kinsoku/>
        <w:wordWrap/>
        <w:overflowPunct/>
        <w:topLinePunct w:val="0"/>
        <w:autoSpaceDE w:val="0"/>
        <w:autoSpaceDN w:val="0"/>
        <w:bidi w:val="0"/>
        <w:adjustRightInd w:val="0"/>
        <w:snapToGrid/>
        <w:spacing w:line="560" w:lineRule="exact"/>
        <w:ind w:firstLine="640" w:firstLineChars="200"/>
        <w:textAlignment w:val="auto"/>
        <w:rPr>
          <w:sz w:val="72"/>
          <w:szCs w:val="72"/>
        </w:rPr>
      </w:pPr>
      <w:r>
        <w:rPr>
          <w:rFonts w:hint="eastAsia" w:ascii="仿宋" w:hAnsi="仿宋" w:eastAsia="仿宋" w:cs="仿宋"/>
          <w:b/>
          <w:bCs/>
          <w:color w:val="000000"/>
          <w:kern w:val="0"/>
          <w:sz w:val="32"/>
          <w:szCs w:val="32"/>
          <w:lang w:val="en-US" w:eastAsia="zh-CN" w:bidi="ar-SA"/>
        </w:rPr>
        <w:t>年末结转和结余：</w:t>
      </w:r>
      <w:r>
        <w:rPr>
          <w:rFonts w:hint="eastAsia" w:ascii="仿宋" w:hAnsi="仿宋" w:eastAsia="仿宋" w:cs="仿宋"/>
          <w:color w:val="000000"/>
          <w:kern w:val="0"/>
          <w:sz w:val="32"/>
          <w:szCs w:val="32"/>
          <w:lang w:val="en-US" w:eastAsia="zh-CN" w:bidi="ar-SA"/>
        </w:rPr>
        <w:t>指本年度或以前年度预算安排、因客观条件发生变化无法按原计划实施，需要延迟到以后年度按有关规定继续使用的资金，既包括财政拨款结转和结余，也包括事业收入、其他收入的结转和结余。</w:t>
      </w:r>
    </w:p>
    <w:p>
      <w:pPr>
        <w:pStyle w:val="17"/>
        <w:jc w:val="center"/>
        <w:rPr>
          <w:rFonts w:hint="eastAsia" w:ascii="方正小标宋_GBK" w:hAnsi="方正小标宋_GBK" w:eastAsia="方正小标宋_GBK" w:cs="方正小标宋_GBK"/>
          <w:sz w:val="72"/>
          <w:szCs w:val="72"/>
        </w:rPr>
      </w:pPr>
    </w:p>
    <w:p>
      <w:pPr>
        <w:pStyle w:val="17"/>
        <w:jc w:val="center"/>
        <w:rPr>
          <w:rFonts w:hint="eastAsia" w:ascii="方正小标宋_GBK" w:hAnsi="方正小标宋_GBK" w:eastAsia="方正小标宋_GBK" w:cs="方正小标宋_GBK"/>
          <w:sz w:val="72"/>
          <w:szCs w:val="72"/>
        </w:rPr>
      </w:pPr>
    </w:p>
    <w:p>
      <w:pPr>
        <w:pStyle w:val="17"/>
        <w:jc w:val="center"/>
        <w:rPr>
          <w:rFonts w:hint="eastAsia" w:ascii="方正小标宋_GBK" w:hAnsi="方正小标宋_GBK" w:eastAsia="方正小标宋_GBK" w:cs="方正小标宋_GBK"/>
          <w:sz w:val="72"/>
          <w:szCs w:val="72"/>
        </w:rPr>
      </w:pPr>
    </w:p>
    <w:p>
      <w:pPr>
        <w:pStyle w:val="17"/>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pPr>
        <w:pStyle w:val="17"/>
        <w:jc w:val="center"/>
        <w:rPr>
          <w:rFonts w:hint="eastAsia" w:ascii="方正小标宋_GBK" w:hAnsi="方正小标宋_GBK" w:eastAsia="方正小标宋_GBK" w:cs="方正小标宋_GBK"/>
          <w:sz w:val="70"/>
          <w:szCs w:val="70"/>
        </w:rPr>
      </w:pPr>
    </w:p>
    <w:p>
      <w:pPr>
        <w:pStyle w:val="17"/>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pPr>
        <w:rPr>
          <w:sz w:val="72"/>
          <w:szCs w:val="72"/>
        </w:rPr>
      </w:pPr>
      <w:r>
        <w:rPr>
          <w:sz w:val="72"/>
          <w:szCs w:val="72"/>
        </w:rPr>
        <w:br w:type="page"/>
      </w: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eastAsia" w:ascii="Times New Roman" w:hAnsi="Times New Roman" w:eastAsia="方正小标宋_GBK" w:cs="Times New Roman"/>
          <w:color w:val="000000" w:themeColor="text1"/>
          <w:sz w:val="44"/>
          <w:szCs w:val="44"/>
          <w:lang w:eastAsia="zh-CN"/>
          <w14:textFill>
            <w14:solidFill>
              <w14:schemeClr w14:val="tx1"/>
            </w14:solidFill>
          </w14:textFill>
        </w:rPr>
        <w:t>中共怀化市纪委监委</w:t>
      </w:r>
      <w:r>
        <w:rPr>
          <w:rFonts w:hint="default" w:ascii="Times New Roman" w:hAnsi="Times New Roman" w:eastAsia="方正小标宋_GBK" w:cs="Times New Roman"/>
          <w:color w:val="000000" w:themeColor="text1"/>
          <w:sz w:val="44"/>
          <w:szCs w:val="44"/>
          <w14:textFill>
            <w14:solidFill>
              <w14:schemeClr w14:val="tx1"/>
            </w14:solidFill>
          </w14:textFill>
        </w:rPr>
        <w:t>20</w:t>
      </w:r>
      <w:r>
        <w:rPr>
          <w:rFonts w:hint="default" w:ascii="Times New Roman" w:hAnsi="Times New Roman" w:eastAsia="方正小标宋_GBK" w:cs="Times New Roman"/>
          <w:color w:val="000000" w:themeColor="text1"/>
          <w:sz w:val="44"/>
          <w:szCs w:val="44"/>
          <w:lang w:val="en-US" w:eastAsia="zh-CN"/>
          <w14:textFill>
            <w14:solidFill>
              <w14:schemeClr w14:val="tx1"/>
            </w14:solidFill>
          </w14:textFill>
        </w:rPr>
        <w:t>23</w:t>
      </w:r>
      <w:r>
        <w:rPr>
          <w:rFonts w:hint="default" w:ascii="Times New Roman" w:hAnsi="Times New Roman" w:eastAsia="方正小标宋_GBK" w:cs="Times New Roman"/>
          <w:color w:val="000000" w:themeColor="text1"/>
          <w:sz w:val="44"/>
          <w:szCs w:val="44"/>
          <w14:textFill>
            <w14:solidFill>
              <w14:schemeClr w14:val="tx1"/>
            </w14:solidFill>
          </w14:textFill>
        </w:rPr>
        <w:t>年度部门</w:t>
      </w:r>
    </w:p>
    <w:p>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小标宋_GBK" w:cs="Times New Roman"/>
          <w:color w:val="000000" w:themeColor="text1"/>
          <w:sz w:val="44"/>
          <w:szCs w:val="44"/>
          <w14:textFill>
            <w14:solidFill>
              <w14:schemeClr w14:val="tx1"/>
            </w14:solidFill>
          </w14:textFill>
        </w:rPr>
      </w:pPr>
      <w:r>
        <w:rPr>
          <w:rFonts w:hint="default" w:ascii="Times New Roman" w:hAnsi="Times New Roman" w:eastAsia="方正小标宋_GBK" w:cs="Times New Roman"/>
          <w:color w:val="000000" w:themeColor="text1"/>
          <w:sz w:val="44"/>
          <w:szCs w:val="44"/>
          <w14:textFill>
            <w14:solidFill>
              <w14:schemeClr w14:val="tx1"/>
            </w14:solidFill>
          </w14:textFill>
        </w:rPr>
        <w:t>整体支出绩效评价报告</w:t>
      </w:r>
    </w:p>
    <w:p>
      <w:pPr>
        <w:keepNext w:val="0"/>
        <w:keepLines w:val="0"/>
        <w:pageBreakBefore w:val="0"/>
        <w:widowControl w:val="0"/>
        <w:kinsoku/>
        <w:wordWrap/>
        <w:overflowPunct/>
        <w:topLinePunct w:val="0"/>
        <w:autoSpaceDE/>
        <w:autoSpaceDN/>
        <w:bidi w:val="0"/>
        <w:adjustRightInd/>
        <w:spacing w:line="600" w:lineRule="exact"/>
        <w:ind w:firstLine="645"/>
        <w:textAlignment w:val="auto"/>
        <w:rPr>
          <w:rFonts w:hint="default" w:ascii="Times New Roman" w:hAnsi="Times New Roman" w:eastAsia="仿宋_GB2312" w:cs="Times New Roman"/>
          <w:color w:val="FF0000"/>
          <w:sz w:val="32"/>
          <w:szCs w:val="32"/>
        </w:rPr>
      </w:pPr>
    </w:p>
    <w:p>
      <w:pPr>
        <w:keepNext w:val="0"/>
        <w:keepLines w:val="0"/>
        <w:pageBreakBefore w:val="0"/>
        <w:widowControl w:val="0"/>
        <w:kinsoku/>
        <w:wordWrap/>
        <w:overflowPunct w:val="0"/>
        <w:topLinePunct w:val="0"/>
        <w:autoSpaceDE/>
        <w:autoSpaceDN/>
        <w:bidi w:val="0"/>
        <w:adjustRightInd/>
        <w:spacing w:line="600" w:lineRule="exact"/>
        <w:ind w:firstLine="640" w:firstLineChars="200"/>
        <w:jc w:val="both"/>
        <w:textAlignment w:val="auto"/>
        <w:rPr>
          <w:rFonts w:hint="default" w:ascii="Times New Roman" w:hAnsi="Times New Roman" w:eastAsia="仿宋_GB2312" w:cs="Times New Roman"/>
          <w:color w:val="FF0000"/>
          <w:w w:val="98"/>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根据《中共中央 国务院关于全面实施预算绩效管理的意见》和《湖南省财政厅关于开展20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23</w:t>
      </w:r>
      <w:r>
        <w:rPr>
          <w:rFonts w:hint="default" w:ascii="Times New Roman" w:hAnsi="Times New Roman" w:eastAsia="仿宋_GB2312" w:cs="Times New Roman"/>
          <w:color w:val="000000" w:themeColor="text1"/>
          <w:sz w:val="32"/>
          <w:szCs w:val="32"/>
          <w14:textFill>
            <w14:solidFill>
              <w14:schemeClr w14:val="tx1"/>
            </w14:solidFill>
          </w14:textFill>
        </w:rPr>
        <w:t>年度部门整体支出绩效自评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和省级专项资金部门评价</w:t>
      </w:r>
      <w:r>
        <w:rPr>
          <w:rFonts w:hint="default" w:ascii="Times New Roman" w:hAnsi="Times New Roman" w:eastAsia="仿宋_GB2312" w:cs="Times New Roman"/>
          <w:color w:val="000000" w:themeColor="text1"/>
          <w:sz w:val="32"/>
          <w:szCs w:val="32"/>
          <w14:textFill>
            <w14:solidFill>
              <w14:schemeClr w14:val="tx1"/>
            </w14:solidFill>
          </w14:textFill>
        </w:rPr>
        <w:t>工作的通知》（湘财绩〔20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24</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号）</w:t>
      </w:r>
      <w:r>
        <w:rPr>
          <w:rFonts w:hint="default" w:ascii="Times New Roman" w:hAnsi="Times New Roman" w:eastAsia="仿宋_GB2312" w:cs="Times New Roman"/>
          <w:color w:val="000000" w:themeColor="text1"/>
          <w:w w:val="98"/>
          <w:sz w:val="32"/>
          <w:szCs w:val="32"/>
          <w14:textFill>
            <w14:solidFill>
              <w14:schemeClr w14:val="tx1"/>
            </w14:solidFill>
          </w14:textFill>
        </w:rPr>
        <w:t>的</w:t>
      </w:r>
      <w:r>
        <w:rPr>
          <w:rFonts w:hint="eastAsia" w:ascii="Times New Roman" w:hAnsi="Times New Roman" w:eastAsia="仿宋_GB2312" w:cs="Times New Roman"/>
          <w:color w:val="000000" w:themeColor="text1"/>
          <w:w w:val="98"/>
          <w:sz w:val="32"/>
          <w:szCs w:val="32"/>
          <w:lang w:eastAsia="zh-CN"/>
          <w14:textFill>
            <w14:solidFill>
              <w14:schemeClr w14:val="tx1"/>
            </w14:solidFill>
          </w14:textFill>
        </w:rPr>
        <w:t>等</w:t>
      </w:r>
      <w:r>
        <w:rPr>
          <w:rFonts w:hint="default" w:ascii="Times New Roman" w:hAnsi="Times New Roman" w:eastAsia="仿宋_GB2312" w:cs="Times New Roman"/>
          <w:color w:val="000000" w:themeColor="text1"/>
          <w:w w:val="98"/>
          <w:sz w:val="32"/>
          <w:szCs w:val="32"/>
          <w14:textFill>
            <w14:solidFill>
              <w14:schemeClr w14:val="tx1"/>
            </w14:solidFill>
          </w14:textFill>
        </w:rPr>
        <w:t>文件精神，我</w:t>
      </w:r>
      <w:r>
        <w:rPr>
          <w:rFonts w:hint="eastAsia" w:ascii="Times New Roman" w:hAnsi="Times New Roman" w:eastAsia="仿宋_GB2312" w:cs="Times New Roman"/>
          <w:color w:val="000000" w:themeColor="text1"/>
          <w:w w:val="98"/>
          <w:sz w:val="32"/>
          <w:szCs w:val="32"/>
          <w:lang w:eastAsia="zh-CN"/>
          <w14:textFill>
            <w14:solidFill>
              <w14:schemeClr w14:val="tx1"/>
            </w14:solidFill>
          </w14:textFill>
        </w:rPr>
        <w:t>委</w:t>
      </w:r>
      <w:r>
        <w:rPr>
          <w:rFonts w:hint="default" w:ascii="Times New Roman" w:hAnsi="Times New Roman" w:eastAsia="仿宋_GB2312" w:cs="Times New Roman"/>
          <w:color w:val="000000" w:themeColor="text1"/>
          <w:w w:val="98"/>
          <w:sz w:val="32"/>
          <w:szCs w:val="32"/>
          <w14:textFill>
            <w14:solidFill>
              <w14:schemeClr w14:val="tx1"/>
            </w14:solidFill>
          </w14:textFill>
        </w:rPr>
        <w:t>对部门整体支出进行了绩效评价，现报告如下：</w:t>
      </w:r>
    </w:p>
    <w:p>
      <w:pPr>
        <w:keepNext w:val="0"/>
        <w:keepLines w:val="0"/>
        <w:pageBreakBefore w:val="0"/>
        <w:widowControl w:val="0"/>
        <w:numPr>
          <w:ilvl w:val="0"/>
          <w:numId w:val="0"/>
        </w:numPr>
        <w:kinsoku/>
        <w:wordWrap/>
        <w:overflowPunct w:val="0"/>
        <w:topLinePunct w:val="0"/>
        <w:autoSpaceDE/>
        <w:autoSpaceDN/>
        <w:bidi w:val="0"/>
        <w:adjustRightInd/>
        <w:spacing w:line="60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一、</w:t>
      </w:r>
      <w:r>
        <w:rPr>
          <w:rFonts w:hint="default" w:ascii="Times New Roman" w:hAnsi="Times New Roman" w:eastAsia="黑体" w:cs="Times New Roman"/>
          <w:color w:val="000000" w:themeColor="text1"/>
          <w:sz w:val="32"/>
          <w:szCs w:val="32"/>
          <w14:textFill>
            <w14:solidFill>
              <w14:schemeClr w14:val="tx1"/>
            </w14:solidFill>
          </w14:textFill>
        </w:rPr>
        <w:t>部门基本情况</w:t>
      </w:r>
    </w:p>
    <w:p>
      <w:pPr>
        <w:keepNext w:val="0"/>
        <w:keepLines w:val="0"/>
        <w:pageBreakBefore w:val="0"/>
        <w:widowControl w:val="0"/>
        <w:kinsoku/>
        <w:wordWrap/>
        <w:overflowPunct w:val="0"/>
        <w:topLinePunct w:val="0"/>
        <w:autoSpaceDE/>
        <w:autoSpaceDN/>
        <w:bidi w:val="0"/>
        <w:adjustRightInd/>
        <w:spacing w:line="600" w:lineRule="exact"/>
        <w:ind w:firstLine="640" w:firstLineChars="200"/>
        <w:jc w:val="both"/>
        <w:textAlignment w:val="auto"/>
        <w:rPr>
          <w:rFonts w:hint="eastAsia" w:ascii="Times New Roman" w:hAnsi="Times New Roman" w:eastAsia="楷体_GB2312" w:cs="Times New Roman"/>
          <w:b/>
          <w:snapToGrid w:val="0"/>
          <w:color w:val="000000" w:themeColor="text1"/>
          <w:kern w:val="0"/>
          <w:sz w:val="32"/>
          <w:szCs w:val="32"/>
          <w:lang w:val="en-US" w:eastAsia="zh-CN"/>
          <w14:textFill>
            <w14:solidFill>
              <w14:schemeClr w14:val="tx1"/>
            </w14:solidFill>
          </w14:textFill>
        </w:rPr>
      </w:pPr>
      <w:r>
        <w:rPr>
          <w:rFonts w:hint="eastAsia" w:ascii="Times New Roman" w:hAnsi="Times New Roman" w:eastAsia="楷体_GB2312" w:cs="Times New Roman"/>
          <w:b/>
          <w:snapToGrid w:val="0"/>
          <w:color w:val="000000" w:themeColor="text1"/>
          <w:kern w:val="0"/>
          <w:sz w:val="32"/>
          <w:szCs w:val="32"/>
          <w:lang w:eastAsia="zh-CN"/>
          <w14:textFill>
            <w14:solidFill>
              <w14:schemeClr w14:val="tx1"/>
            </w14:solidFill>
          </w14:textFill>
        </w:rPr>
        <w:t>（一）部门职责</w:t>
      </w:r>
    </w:p>
    <w:p>
      <w:pPr>
        <w:pStyle w:val="18"/>
        <w:numPr>
          <w:ilvl w:val="0"/>
          <w:numId w:val="0"/>
        </w:numPr>
        <w:ind w:leftChars="0" w:firstLine="640" w:firstLineChars="200"/>
        <w:jc w:val="left"/>
        <w:rPr>
          <w:rFonts w:hint="eastAsia" w:ascii="Times New Roman" w:hAnsi="Times New Roman" w:eastAsia="仿宋_GB2312" w:cs="仿宋_GB2312"/>
          <w:bCs/>
          <w:kern w:val="0"/>
          <w:sz w:val="32"/>
          <w:szCs w:val="32"/>
          <w:lang w:val="en-US" w:eastAsia="zh-CN" w:bidi="ar-SA"/>
        </w:rPr>
      </w:pPr>
      <w:r>
        <w:rPr>
          <w:rFonts w:hint="eastAsia" w:ascii="Times New Roman" w:hAnsi="Times New Roman" w:eastAsia="仿宋_GB2312" w:cs="仿宋_GB2312"/>
          <w:bCs/>
          <w:kern w:val="0"/>
          <w:sz w:val="32"/>
          <w:szCs w:val="32"/>
          <w:lang w:val="en-US" w:eastAsia="zh-CN" w:bidi="ar-SA"/>
        </w:rPr>
        <w:t>根据《中共怀化市纪律检查委员会  怀化市监察委员会机关内设机构和人员编制方案》，怀化市纪委监委是中国共产党统一领导下的推进全面从严治党，开展党风廉政建设和反腐败斗争的工作机构，履行纪检、监察两项职责，实行一套工作机构、两个机关名称、共同设立内设机构的运转管理模式。</w:t>
      </w:r>
    </w:p>
    <w:p>
      <w:pPr>
        <w:keepNext w:val="0"/>
        <w:keepLines w:val="0"/>
        <w:pageBreakBefore w:val="0"/>
        <w:widowControl w:val="0"/>
        <w:kinsoku/>
        <w:wordWrap/>
        <w:overflowPunct w:val="0"/>
        <w:topLinePunct w:val="0"/>
        <w:autoSpaceDE/>
        <w:autoSpaceDN/>
        <w:bidi w:val="0"/>
        <w:adjustRightInd/>
        <w:spacing w:line="600" w:lineRule="exact"/>
        <w:ind w:firstLine="640" w:firstLineChars="200"/>
        <w:jc w:val="both"/>
        <w:textAlignment w:val="auto"/>
        <w:rPr>
          <w:rFonts w:hint="eastAsia" w:ascii="Times New Roman" w:hAnsi="Times New Roman" w:eastAsia="楷体_GB2312" w:cs="Times New Roman"/>
          <w:b/>
          <w:snapToGrid w:val="0"/>
          <w:color w:val="000000" w:themeColor="text1"/>
          <w:kern w:val="0"/>
          <w:sz w:val="32"/>
          <w:szCs w:val="32"/>
          <w:lang w:eastAsia="zh-CN"/>
          <w14:textFill>
            <w14:solidFill>
              <w14:schemeClr w14:val="tx1"/>
            </w14:solidFill>
          </w14:textFill>
        </w:rPr>
      </w:pPr>
      <w:r>
        <w:rPr>
          <w:rFonts w:hint="eastAsia" w:ascii="Times New Roman" w:hAnsi="Times New Roman" w:eastAsia="楷体_GB2312" w:cs="Times New Roman"/>
          <w:b/>
          <w:snapToGrid w:val="0"/>
          <w:color w:val="000000" w:themeColor="text1"/>
          <w:kern w:val="0"/>
          <w:sz w:val="32"/>
          <w:szCs w:val="32"/>
          <w:lang w:eastAsia="zh-CN"/>
          <w14:textFill>
            <w14:solidFill>
              <w14:schemeClr w14:val="tx1"/>
            </w14:solidFill>
          </w14:textFill>
        </w:rPr>
        <w:t>（</w:t>
      </w:r>
      <w:r>
        <w:rPr>
          <w:rFonts w:hint="eastAsia" w:ascii="Times New Roman" w:hAnsi="Times New Roman" w:eastAsia="楷体_GB2312" w:cs="Times New Roman"/>
          <w:b/>
          <w:snapToGrid w:val="0"/>
          <w:color w:val="000000" w:themeColor="text1"/>
          <w:kern w:val="0"/>
          <w:sz w:val="32"/>
          <w:szCs w:val="32"/>
          <w14:textFill>
            <w14:solidFill>
              <w14:schemeClr w14:val="tx1"/>
            </w14:solidFill>
          </w14:textFill>
        </w:rPr>
        <w:t>二</w:t>
      </w:r>
      <w:r>
        <w:rPr>
          <w:rFonts w:hint="eastAsia" w:ascii="Times New Roman" w:hAnsi="Times New Roman" w:eastAsia="楷体_GB2312" w:cs="Times New Roman"/>
          <w:b/>
          <w:snapToGrid w:val="0"/>
          <w:color w:val="000000" w:themeColor="text1"/>
          <w:kern w:val="0"/>
          <w:sz w:val="32"/>
          <w:szCs w:val="32"/>
          <w:lang w:eastAsia="zh-CN"/>
          <w14:textFill>
            <w14:solidFill>
              <w14:schemeClr w14:val="tx1"/>
            </w14:solidFill>
          </w14:textFill>
        </w:rPr>
        <w:t>）</w:t>
      </w:r>
      <w:r>
        <w:rPr>
          <w:rFonts w:hint="eastAsia" w:ascii="Times New Roman" w:hAnsi="Times New Roman" w:eastAsia="楷体_GB2312" w:cs="Times New Roman"/>
          <w:b/>
          <w:snapToGrid w:val="0"/>
          <w:color w:val="000000" w:themeColor="text1"/>
          <w:kern w:val="0"/>
          <w:sz w:val="32"/>
          <w:szCs w:val="32"/>
          <w14:textFill>
            <w14:solidFill>
              <w14:schemeClr w14:val="tx1"/>
            </w14:solidFill>
          </w14:textFill>
        </w:rPr>
        <w:t>机构设置</w:t>
      </w:r>
      <w:r>
        <w:rPr>
          <w:rFonts w:hint="eastAsia" w:ascii="Times New Roman" w:hAnsi="Times New Roman" w:eastAsia="楷体_GB2312" w:cs="Times New Roman"/>
          <w:b/>
          <w:snapToGrid w:val="0"/>
          <w:color w:val="000000" w:themeColor="text1"/>
          <w:kern w:val="0"/>
          <w:sz w:val="32"/>
          <w:szCs w:val="32"/>
          <w:lang w:eastAsia="zh-CN"/>
          <w14:textFill>
            <w14:solidFill>
              <w14:schemeClr w14:val="tx1"/>
            </w14:solidFill>
          </w14:textFill>
        </w:rPr>
        <w:t>情况</w:t>
      </w:r>
    </w:p>
    <w:p>
      <w:pPr>
        <w:widowControl/>
        <w:spacing w:line="600" w:lineRule="exact"/>
        <w:ind w:firstLine="640" w:firstLineChars="200"/>
        <w:rPr>
          <w:rFonts w:hint="default"/>
        </w:rPr>
      </w:pPr>
      <w:r>
        <w:rPr>
          <w:rFonts w:hint="eastAsia" w:ascii="Times New Roman" w:hAnsi="Times New Roman" w:eastAsia="仿宋_GB2312" w:cs="仿宋_GB2312"/>
          <w:bCs/>
          <w:kern w:val="0"/>
          <w:sz w:val="32"/>
          <w:szCs w:val="32"/>
          <w:lang w:eastAsia="zh-CN"/>
        </w:rPr>
        <w:t>怀化市纪委监委</w:t>
      </w:r>
      <w:r>
        <w:rPr>
          <w:rFonts w:hint="eastAsia" w:ascii="Times New Roman" w:hAnsi="Times New Roman" w:eastAsia="仿宋_GB2312" w:cs="仿宋_GB2312"/>
          <w:bCs/>
          <w:kern w:val="0"/>
          <w:sz w:val="32"/>
          <w:szCs w:val="32"/>
        </w:rPr>
        <w:t>内设机构包括：</w:t>
      </w:r>
      <w:r>
        <w:rPr>
          <w:rFonts w:hint="eastAsia" w:ascii="仿宋" w:hAnsi="仿宋" w:eastAsia="仿宋" w:cs="仿宋"/>
          <w:sz w:val="32"/>
          <w:szCs w:val="32"/>
        </w:rPr>
        <w:t>怀化市纪委监委作为一级部门预算单位，内设19个部室为：办公室、组织部、宣传部、调研法规室、党风政风监督室、信访室、案件监督管理室、第一至第五监督检查室、第六至第九审查调查室、案件审理室、纪检监察干部监督室、信息技术保障室；3个下属事业单位</w:t>
      </w:r>
      <w:r>
        <w:rPr>
          <w:rFonts w:hint="eastAsia" w:ascii="仿宋" w:hAnsi="仿宋" w:eastAsia="仿宋" w:cs="仿宋"/>
          <w:sz w:val="32"/>
          <w:szCs w:val="32"/>
          <w:lang w:eastAsia="zh-CN"/>
        </w:rPr>
        <w:t>（财务未独立核算）</w:t>
      </w:r>
      <w:r>
        <w:rPr>
          <w:rFonts w:hint="eastAsia" w:ascii="仿宋" w:hAnsi="仿宋" w:eastAsia="仿宋" w:cs="仿宋"/>
          <w:sz w:val="32"/>
          <w:szCs w:val="32"/>
        </w:rPr>
        <w:t>：</w:t>
      </w:r>
      <w:r>
        <w:rPr>
          <w:rFonts w:hint="eastAsia" w:ascii="仿宋" w:hAnsi="仿宋" w:eastAsia="仿宋" w:cs="仿宋"/>
          <w:sz w:val="32"/>
          <w:szCs w:val="32"/>
          <w:lang w:eastAsia="zh-CN"/>
        </w:rPr>
        <w:t>中共</w:t>
      </w:r>
      <w:r>
        <w:rPr>
          <w:rFonts w:hint="eastAsia" w:ascii="仿宋" w:hAnsi="仿宋" w:eastAsia="仿宋" w:cs="仿宋"/>
          <w:sz w:val="32"/>
          <w:szCs w:val="32"/>
        </w:rPr>
        <w:t>怀化市</w:t>
      </w:r>
      <w:r>
        <w:rPr>
          <w:rFonts w:hint="eastAsia" w:ascii="仿宋" w:hAnsi="仿宋" w:eastAsia="仿宋" w:cs="仿宋"/>
          <w:sz w:val="32"/>
          <w:szCs w:val="32"/>
          <w:lang w:eastAsia="zh-CN"/>
        </w:rPr>
        <w:t>纪委监委案件管理中心</w:t>
      </w:r>
      <w:r>
        <w:rPr>
          <w:rFonts w:hint="eastAsia" w:ascii="仿宋" w:hAnsi="仿宋" w:eastAsia="仿宋" w:cs="仿宋"/>
          <w:sz w:val="32"/>
          <w:szCs w:val="32"/>
        </w:rPr>
        <w:t>、</w:t>
      </w:r>
      <w:r>
        <w:rPr>
          <w:rFonts w:hint="eastAsia" w:ascii="仿宋" w:hAnsi="仿宋" w:eastAsia="仿宋" w:cs="仿宋"/>
          <w:sz w:val="32"/>
          <w:szCs w:val="32"/>
          <w:lang w:eastAsia="zh-CN"/>
        </w:rPr>
        <w:t>中共</w:t>
      </w:r>
      <w:r>
        <w:rPr>
          <w:rFonts w:hint="eastAsia" w:ascii="仿宋" w:hAnsi="仿宋" w:eastAsia="仿宋" w:cs="仿宋"/>
          <w:sz w:val="32"/>
          <w:szCs w:val="32"/>
        </w:rPr>
        <w:t>怀化市</w:t>
      </w:r>
      <w:r>
        <w:rPr>
          <w:rFonts w:hint="eastAsia" w:ascii="仿宋" w:hAnsi="仿宋" w:eastAsia="仿宋" w:cs="仿宋"/>
          <w:sz w:val="32"/>
          <w:szCs w:val="32"/>
          <w:lang w:eastAsia="zh-CN"/>
        </w:rPr>
        <w:t>纪委监委大数据监督服务中心</w:t>
      </w:r>
      <w:r>
        <w:rPr>
          <w:rFonts w:hint="eastAsia" w:ascii="仿宋" w:hAnsi="仿宋" w:eastAsia="仿宋" w:cs="仿宋"/>
          <w:sz w:val="32"/>
          <w:szCs w:val="32"/>
        </w:rPr>
        <w:t>、</w:t>
      </w:r>
      <w:r>
        <w:rPr>
          <w:rFonts w:hint="eastAsia" w:ascii="仿宋" w:hAnsi="仿宋" w:eastAsia="仿宋" w:cs="仿宋"/>
          <w:sz w:val="32"/>
          <w:szCs w:val="32"/>
          <w:lang w:eastAsia="zh-CN"/>
        </w:rPr>
        <w:t>中共</w:t>
      </w:r>
      <w:r>
        <w:rPr>
          <w:rFonts w:hint="eastAsia" w:ascii="仿宋" w:hAnsi="仿宋" w:eastAsia="仿宋" w:cs="仿宋"/>
          <w:sz w:val="32"/>
          <w:szCs w:val="32"/>
        </w:rPr>
        <w:t>怀化市</w:t>
      </w:r>
      <w:r>
        <w:rPr>
          <w:rFonts w:hint="eastAsia" w:ascii="仿宋" w:hAnsi="仿宋" w:eastAsia="仿宋" w:cs="仿宋"/>
          <w:sz w:val="32"/>
          <w:szCs w:val="32"/>
          <w:lang w:eastAsia="zh-CN"/>
        </w:rPr>
        <w:t>纪委监委</w:t>
      </w:r>
      <w:r>
        <w:rPr>
          <w:rFonts w:hint="eastAsia" w:ascii="仿宋" w:hAnsi="仿宋" w:eastAsia="仿宋" w:cs="仿宋"/>
          <w:sz w:val="32"/>
          <w:szCs w:val="32"/>
        </w:rPr>
        <w:t>信息中心；1个代管机构</w:t>
      </w:r>
      <w:r>
        <w:rPr>
          <w:rFonts w:hint="eastAsia" w:ascii="仿宋" w:hAnsi="仿宋" w:eastAsia="仿宋" w:cs="仿宋"/>
          <w:sz w:val="32"/>
          <w:szCs w:val="32"/>
          <w:lang w:eastAsia="zh-CN"/>
        </w:rPr>
        <w:t>（财务未独立核算）</w:t>
      </w:r>
      <w:r>
        <w:rPr>
          <w:rFonts w:hint="eastAsia" w:ascii="仿宋" w:hAnsi="仿宋" w:eastAsia="仿宋" w:cs="仿宋"/>
          <w:sz w:val="32"/>
          <w:szCs w:val="32"/>
        </w:rPr>
        <w:t>：怀化市委巡察办。</w:t>
      </w:r>
    </w:p>
    <w:p>
      <w:pPr>
        <w:keepNext w:val="0"/>
        <w:keepLines w:val="0"/>
        <w:pageBreakBefore w:val="0"/>
        <w:widowControl w:val="0"/>
        <w:kinsoku/>
        <w:wordWrap/>
        <w:overflowPunct w:val="0"/>
        <w:topLinePunct w:val="0"/>
        <w:autoSpaceDE/>
        <w:autoSpaceDN/>
        <w:bidi w:val="0"/>
        <w:adjustRightInd/>
        <w:spacing w:line="600" w:lineRule="exact"/>
        <w:ind w:firstLine="640" w:firstLineChars="200"/>
        <w:jc w:val="both"/>
        <w:textAlignment w:val="auto"/>
        <w:rPr>
          <w:rFonts w:hint="default" w:ascii="Times New Roman" w:hAnsi="Times New Roman" w:eastAsia="楷体_GB2312" w:cs="Times New Roman"/>
          <w:b/>
          <w:snapToGrid w:val="0"/>
          <w:color w:val="000000" w:themeColor="text1"/>
          <w:kern w:val="0"/>
          <w:sz w:val="32"/>
          <w:szCs w:val="32"/>
          <w14:textFill>
            <w14:solidFill>
              <w14:schemeClr w14:val="tx1"/>
            </w14:solidFill>
          </w14:textFill>
        </w:rPr>
      </w:pPr>
      <w:r>
        <w:rPr>
          <w:rFonts w:hint="default" w:ascii="Times New Roman" w:hAnsi="Times New Roman" w:eastAsia="楷体_GB2312" w:cs="Times New Roman"/>
          <w:b/>
          <w:snapToGrid w:val="0"/>
          <w:color w:val="000000" w:themeColor="text1"/>
          <w:kern w:val="0"/>
          <w:sz w:val="32"/>
          <w:szCs w:val="32"/>
          <w14:textFill>
            <w14:solidFill>
              <w14:schemeClr w14:val="tx1"/>
            </w14:solidFill>
          </w14:textFill>
        </w:rPr>
        <w:t>（三）人员编制情况</w:t>
      </w:r>
    </w:p>
    <w:p>
      <w:pPr>
        <w:pStyle w:val="10"/>
        <w:keepNext w:val="0"/>
        <w:keepLines w:val="0"/>
        <w:pageBreakBefore w:val="0"/>
        <w:widowControl w:val="0"/>
        <w:kinsoku/>
        <w:wordWrap/>
        <w:overflowPunct w:val="0"/>
        <w:topLinePunct w:val="0"/>
        <w:autoSpaceDE/>
        <w:autoSpaceDN/>
        <w:bidi w:val="0"/>
        <w:adjustRightInd/>
        <w:snapToGrid w:val="0"/>
        <w:spacing w:line="600" w:lineRule="exact"/>
        <w:ind w:firstLine="640" w:firstLineChars="200"/>
        <w:jc w:val="both"/>
        <w:textAlignment w:val="auto"/>
        <w:rPr>
          <w:rFonts w:hint="default" w:ascii="Times New Roman" w:hAnsi="Times New Roman" w:eastAsia="仿宋_GB2312" w:cs="Times New Roman"/>
          <w:color w:val="FF0000"/>
          <w:kern w:val="0"/>
          <w:sz w:val="32"/>
          <w:szCs w:val="32"/>
          <w:lang w:val="en-US" w:eastAsia="zh-CN" w:bidi="ar-SA"/>
        </w:rPr>
      </w:pP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2023年末，我单位共有编制</w:t>
      </w:r>
      <w:r>
        <w:rPr>
          <w:rFonts w:hint="eastAsia" w:ascii="Times New Roman" w:hAnsi="Times New Roman" w:eastAsia="仿宋_GB2312" w:cs="Times New Roman"/>
          <w:color w:val="000000" w:themeColor="text1"/>
          <w:kern w:val="0"/>
          <w:sz w:val="32"/>
          <w:szCs w:val="32"/>
          <w:lang w:val="en-US" w:eastAsia="zh-CN" w:bidi="ar-SA"/>
          <w14:textFill>
            <w14:solidFill>
              <w14:schemeClr w14:val="tx1"/>
            </w14:solidFill>
          </w14:textFill>
        </w:rPr>
        <w:t>286</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名，其中行政编制</w:t>
      </w:r>
      <w:r>
        <w:rPr>
          <w:rFonts w:hint="eastAsia" w:ascii="Times New Roman" w:hAnsi="Times New Roman" w:eastAsia="仿宋_GB2312" w:cs="Times New Roman"/>
          <w:color w:val="000000" w:themeColor="text1"/>
          <w:kern w:val="0"/>
          <w:sz w:val="32"/>
          <w:szCs w:val="32"/>
          <w:lang w:val="en-US" w:eastAsia="zh-CN" w:bidi="ar-SA"/>
          <w14:textFill>
            <w14:solidFill>
              <w14:schemeClr w14:val="tx1"/>
            </w14:solidFill>
          </w14:textFill>
        </w:rPr>
        <w:t>256</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名，事业编制</w:t>
      </w:r>
      <w:r>
        <w:rPr>
          <w:rFonts w:hint="eastAsia" w:ascii="Times New Roman" w:hAnsi="Times New Roman" w:eastAsia="仿宋_GB2312" w:cs="Times New Roman"/>
          <w:color w:val="000000" w:themeColor="text1"/>
          <w:kern w:val="0"/>
          <w:sz w:val="32"/>
          <w:szCs w:val="32"/>
          <w:lang w:val="en-US" w:eastAsia="zh-CN" w:bidi="ar-SA"/>
          <w14:textFill>
            <w14:solidFill>
              <w14:schemeClr w14:val="tx1"/>
            </w14:solidFill>
          </w14:textFill>
        </w:rPr>
        <w:t>28</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名</w:t>
      </w:r>
      <w:r>
        <w:rPr>
          <w:rFonts w:hint="eastAsia" w:ascii="Times New Roman" w:hAnsi="Times New Roman" w:eastAsia="仿宋_GB2312" w:cs="Times New Roman"/>
          <w:color w:val="000000" w:themeColor="text1"/>
          <w:kern w:val="0"/>
          <w:sz w:val="32"/>
          <w:szCs w:val="32"/>
          <w:lang w:val="en-US" w:eastAsia="zh-CN" w:bidi="ar-SA"/>
          <w14:textFill>
            <w14:solidFill>
              <w14:schemeClr w14:val="tx1"/>
            </w14:solidFill>
          </w14:textFill>
        </w:rPr>
        <w:t>，工勤编制2名</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。年末实有在职人员</w:t>
      </w:r>
      <w:r>
        <w:rPr>
          <w:rFonts w:hint="eastAsia" w:ascii="Times New Roman" w:hAnsi="Times New Roman" w:eastAsia="仿宋_GB2312" w:cs="Times New Roman"/>
          <w:color w:val="000000" w:themeColor="text1"/>
          <w:kern w:val="0"/>
          <w:sz w:val="32"/>
          <w:szCs w:val="32"/>
          <w:lang w:val="en-US" w:eastAsia="zh-CN" w:bidi="ar-SA"/>
          <w14:textFill>
            <w14:solidFill>
              <w14:schemeClr w14:val="tx1"/>
            </w14:solidFill>
          </w14:textFill>
        </w:rPr>
        <w:t>273</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人。</w:t>
      </w:r>
    </w:p>
    <w:p>
      <w:pPr>
        <w:pStyle w:val="10"/>
        <w:keepNext w:val="0"/>
        <w:keepLines w:val="0"/>
        <w:pageBreakBefore w:val="0"/>
        <w:widowControl w:val="0"/>
        <w:kinsoku/>
        <w:wordWrap/>
        <w:overflowPunct w:val="0"/>
        <w:topLinePunct w:val="0"/>
        <w:autoSpaceDE/>
        <w:autoSpaceDN/>
        <w:bidi w:val="0"/>
        <w:adjustRightInd/>
        <w:snapToGrid w:val="0"/>
        <w:spacing w:line="600"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二、</w:t>
      </w:r>
      <w:r>
        <w:rPr>
          <w:rFonts w:hint="default" w:ascii="Times New Roman" w:hAnsi="Times New Roman" w:eastAsia="黑体" w:cs="Times New Roman"/>
          <w:color w:val="000000" w:themeColor="text1"/>
          <w:sz w:val="32"/>
          <w:szCs w:val="32"/>
          <w14:textFill>
            <w14:solidFill>
              <w14:schemeClr w14:val="tx1"/>
            </w14:solidFill>
          </w14:textFill>
        </w:rPr>
        <w:t>一般公共预算支出情况</w:t>
      </w:r>
    </w:p>
    <w:p>
      <w:pPr>
        <w:keepNext w:val="0"/>
        <w:keepLines w:val="0"/>
        <w:pageBreakBefore w:val="0"/>
        <w:widowControl w:val="0"/>
        <w:kinsoku/>
        <w:wordWrap/>
        <w:overflowPunct w:val="0"/>
        <w:topLinePunct w:val="0"/>
        <w:autoSpaceDE/>
        <w:autoSpaceDN/>
        <w:bidi w:val="0"/>
        <w:adjustRightInd/>
        <w:spacing w:line="600" w:lineRule="exact"/>
        <w:ind w:firstLine="640" w:firstLineChars="200"/>
        <w:jc w:val="both"/>
        <w:textAlignment w:val="auto"/>
        <w:rPr>
          <w:rFonts w:hint="default" w:ascii="Times New Roman" w:hAnsi="Times New Roman" w:eastAsia="楷体_GB2312" w:cs="Times New Roman"/>
          <w:b/>
          <w:snapToGrid w:val="0"/>
          <w:color w:val="000000" w:themeColor="text1"/>
          <w:kern w:val="0"/>
          <w:sz w:val="32"/>
          <w:szCs w:val="32"/>
          <w14:textFill>
            <w14:solidFill>
              <w14:schemeClr w14:val="tx1"/>
            </w14:solidFill>
          </w14:textFill>
        </w:rPr>
      </w:pPr>
      <w:r>
        <w:rPr>
          <w:rFonts w:hint="default" w:ascii="Times New Roman" w:hAnsi="Times New Roman" w:eastAsia="楷体_GB2312" w:cs="Times New Roman"/>
          <w:b/>
          <w:snapToGrid w:val="0"/>
          <w:color w:val="000000" w:themeColor="text1"/>
          <w:kern w:val="0"/>
          <w:sz w:val="32"/>
          <w:szCs w:val="32"/>
          <w14:textFill>
            <w14:solidFill>
              <w14:schemeClr w14:val="tx1"/>
            </w14:solidFill>
          </w14:textFill>
        </w:rPr>
        <w:t>（一）基本支出情况</w:t>
      </w:r>
    </w:p>
    <w:p>
      <w:pPr>
        <w:keepNext w:val="0"/>
        <w:keepLines w:val="0"/>
        <w:pageBreakBefore w:val="0"/>
        <w:widowControl w:val="0"/>
        <w:tabs>
          <w:tab w:val="left" w:pos="2296"/>
        </w:tabs>
        <w:kinsoku/>
        <w:wordWrap/>
        <w:overflowPunct w:val="0"/>
        <w:topLinePunct w:val="0"/>
        <w:autoSpaceDE/>
        <w:autoSpaceDN/>
        <w:bidi w:val="0"/>
        <w:adjustRightInd/>
        <w:spacing w:line="60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基本支出系保障我</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委</w:t>
      </w:r>
      <w:r>
        <w:rPr>
          <w:rFonts w:hint="default" w:ascii="Times New Roman" w:hAnsi="Times New Roman" w:eastAsia="仿宋_GB2312" w:cs="Times New Roman"/>
          <w:color w:val="000000" w:themeColor="text1"/>
          <w:sz w:val="32"/>
          <w:szCs w:val="32"/>
          <w14:textFill>
            <w14:solidFill>
              <w14:schemeClr w14:val="tx1"/>
            </w14:solidFill>
          </w14:textFill>
        </w:rPr>
        <w:t>机构正常运转、完成日常工作任务而发生的各项支出，包括用于在职和离退休人员基本工资、津贴补贴等人员经费以及办公费、印刷费、水电费、办公设备购置等日常公用经费。20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23</w:t>
      </w:r>
      <w:r>
        <w:rPr>
          <w:rFonts w:hint="default" w:ascii="Times New Roman" w:hAnsi="Times New Roman" w:eastAsia="仿宋_GB2312" w:cs="Times New Roman"/>
          <w:color w:val="000000" w:themeColor="text1"/>
          <w:sz w:val="32"/>
          <w:szCs w:val="32"/>
          <w14:textFill>
            <w14:solidFill>
              <w14:schemeClr w14:val="tx1"/>
            </w14:solidFill>
          </w14:textFill>
        </w:rPr>
        <w:t>年基本支出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4622.81</w:t>
      </w:r>
      <w:r>
        <w:rPr>
          <w:rFonts w:hint="default" w:ascii="Times New Roman" w:hAnsi="Times New Roman" w:eastAsia="仿宋_GB2312" w:cs="Times New Roman"/>
          <w:color w:val="000000" w:themeColor="text1"/>
          <w:sz w:val="32"/>
          <w:szCs w:val="32"/>
          <w14:textFill>
            <w14:solidFill>
              <w14:schemeClr w14:val="tx1"/>
            </w14:solidFill>
          </w14:textFill>
        </w:rPr>
        <w:t>万元，较上年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减少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106.52</w:t>
      </w:r>
      <w:r>
        <w:rPr>
          <w:rFonts w:hint="default" w:ascii="Times New Roman" w:hAnsi="Times New Roman" w:eastAsia="仿宋_GB2312" w:cs="Times New Roman"/>
          <w:color w:val="000000" w:themeColor="text1"/>
          <w:sz w:val="32"/>
          <w:szCs w:val="32"/>
          <w14:textFill>
            <w14:solidFill>
              <w14:schemeClr w14:val="tx1"/>
            </w14:solidFill>
          </w14:textFill>
        </w:rPr>
        <w:t>万元。基本支出中人员经费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3916.92</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较上年减少</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93.61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万元</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主要是由于政策原因，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2021年度奖金推迟至2022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年发放，</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2023年恢复正常</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日常公用经费</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705.89</w:t>
      </w:r>
      <w:r>
        <w:rPr>
          <w:rFonts w:hint="default" w:ascii="Times New Roman" w:hAnsi="Times New Roman" w:eastAsia="仿宋_GB2312" w:cs="Times New Roman"/>
          <w:color w:val="000000" w:themeColor="text1"/>
          <w:sz w:val="32"/>
          <w:szCs w:val="32"/>
          <w14:textFill>
            <w14:solidFill>
              <w14:schemeClr w14:val="tx1"/>
            </w14:solidFill>
          </w14:textFill>
        </w:rPr>
        <w:t>万元，占基本支出的</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15.27</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 xml:space="preserve"> </w:t>
      </w:r>
      <w:r>
        <w:rPr>
          <w:rFonts w:hint="default" w:ascii="Times New Roman" w:hAnsi="Times New Roman" w:eastAsia="仿宋_GB2312" w:cs="Times New Roman"/>
          <w:color w:val="000000" w:themeColor="text1"/>
          <w:sz w:val="32"/>
          <w:szCs w:val="32"/>
          <w14:textFill>
            <w14:solidFill>
              <w14:schemeClr w14:val="tx1"/>
            </w14:solidFill>
          </w14:textFill>
        </w:rPr>
        <w:t>%，较上年</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下降</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2.65</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val="0"/>
        <w:topLinePunct w:val="0"/>
        <w:autoSpaceDE/>
        <w:autoSpaceDN/>
        <w:bidi w:val="0"/>
        <w:adjustRightInd/>
        <w:spacing w:line="600" w:lineRule="exact"/>
        <w:ind w:firstLine="640" w:firstLineChars="200"/>
        <w:jc w:val="both"/>
        <w:textAlignment w:val="auto"/>
        <w:rPr>
          <w:rFonts w:hint="default" w:ascii="Times New Roman" w:hAnsi="Times New Roman" w:eastAsia="楷体_GB2312" w:cs="Times New Roman"/>
          <w:b/>
          <w:snapToGrid w:val="0"/>
          <w:color w:val="auto"/>
          <w:kern w:val="0"/>
          <w:sz w:val="32"/>
          <w:szCs w:val="32"/>
        </w:rPr>
      </w:pPr>
      <w:r>
        <w:rPr>
          <w:rFonts w:hint="default" w:ascii="Times New Roman" w:hAnsi="Times New Roman" w:eastAsia="楷体_GB2312" w:cs="Times New Roman"/>
          <w:b/>
          <w:snapToGrid w:val="0"/>
          <w:color w:val="auto"/>
          <w:kern w:val="0"/>
          <w:sz w:val="32"/>
          <w:szCs w:val="32"/>
        </w:rPr>
        <w:t>（二）项目支出情况</w:t>
      </w:r>
    </w:p>
    <w:p>
      <w:pPr>
        <w:pStyle w:val="17"/>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s="Times New Roman"/>
          <w:color w:val="FF0000"/>
          <w:sz w:val="32"/>
          <w:szCs w:val="32"/>
        </w:rPr>
      </w:pPr>
      <w:r>
        <w:rPr>
          <w:rFonts w:hint="default" w:ascii="Times New Roman" w:hAnsi="Times New Roman" w:eastAsia="仿宋_GB2312" w:cs="Times New Roman"/>
          <w:color w:val="000000" w:themeColor="text1"/>
          <w:sz w:val="32"/>
          <w:szCs w:val="32"/>
          <w14:textFill>
            <w14:solidFill>
              <w14:schemeClr w14:val="tx1"/>
            </w14:solidFill>
          </w14:textFill>
        </w:rPr>
        <w:t>项目支出系我</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委</w:t>
      </w:r>
      <w:r>
        <w:rPr>
          <w:rFonts w:hint="default" w:ascii="Times New Roman" w:hAnsi="Times New Roman" w:eastAsia="仿宋_GB2312" w:cs="Times New Roman"/>
          <w:color w:val="000000" w:themeColor="text1"/>
          <w:sz w:val="32"/>
          <w:szCs w:val="32"/>
          <w14:textFill>
            <w14:solidFill>
              <w14:schemeClr w14:val="tx1"/>
            </w14:solidFill>
          </w14:textFill>
        </w:rPr>
        <w:t>为完成</w:t>
      </w:r>
      <w:r>
        <w:rPr>
          <w:rFonts w:hint="eastAsia" w:ascii="Times New Roman" w:hAnsi="Times New Roman" w:eastAsia="仿宋_GB2312" w:cs="仿宋_GB2312"/>
          <w:bCs/>
          <w:color w:val="000000" w:themeColor="text1"/>
          <w:kern w:val="0"/>
          <w:sz w:val="32"/>
          <w:szCs w:val="32"/>
          <w:lang w:val="en-US" w:eastAsia="zh-CN" w:bidi="ar-SA"/>
          <w14:textFill>
            <w14:solidFill>
              <w14:schemeClr w14:val="tx1"/>
            </w14:solidFill>
          </w14:textFill>
        </w:rPr>
        <w:t>纪检、监察</w:t>
      </w:r>
      <w:r>
        <w:rPr>
          <w:rFonts w:hint="default" w:ascii="Times New Roman" w:hAnsi="Times New Roman" w:eastAsia="仿宋_GB2312" w:cs="Times New Roman"/>
          <w:color w:val="000000" w:themeColor="text1"/>
          <w:sz w:val="32"/>
          <w:szCs w:val="32"/>
          <w14:textFill>
            <w14:solidFill>
              <w14:schemeClr w14:val="tx1"/>
            </w14:solidFill>
          </w14:textFill>
        </w:rPr>
        <w:t>工作而发生的支出，包括业务工作经费</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运行维护经费</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及基建工程支出</w:t>
      </w:r>
      <w:r>
        <w:rPr>
          <w:rFonts w:hint="default" w:ascii="Times New Roman" w:hAnsi="Times New Roman" w:eastAsia="仿宋_GB2312" w:cs="Times New Roman"/>
          <w:color w:val="000000" w:themeColor="text1"/>
          <w:sz w:val="32"/>
          <w:szCs w:val="32"/>
          <w14:textFill>
            <w14:solidFill>
              <w14:schemeClr w14:val="tx1"/>
            </w14:solidFill>
          </w14:textFill>
        </w:rPr>
        <w:t>。业务工作经费支出主要用于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大案要案查处、追逃追赃、农村信访化解、《五溪廉话》栏目制作、党风政风专项整治、党风廉政建设宣传、清廉怀化建设、巡察工作等方面</w:t>
      </w:r>
      <w:r>
        <w:rPr>
          <w:rFonts w:hint="default" w:ascii="Times New Roman" w:hAnsi="Times New Roman" w:eastAsia="仿宋_GB2312" w:cs="Times New Roman"/>
          <w:color w:val="000000" w:themeColor="text1"/>
          <w:sz w:val="32"/>
          <w:szCs w:val="32"/>
          <w14:textFill>
            <w14:solidFill>
              <w14:schemeClr w14:val="tx1"/>
            </w14:solidFill>
          </w14:textFill>
        </w:rPr>
        <w:t>；运行维护经费支出，主要用于</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案管中心（留置场所）日常经营维护及大数据监督服务中心</w:t>
      </w:r>
      <w:r>
        <w:rPr>
          <w:rFonts w:hint="default" w:ascii="Times New Roman" w:hAnsi="Times New Roman" w:eastAsia="仿宋_GB2312" w:cs="Times New Roman"/>
          <w:color w:val="000000" w:themeColor="text1"/>
          <w:sz w:val="32"/>
          <w:szCs w:val="32"/>
          <w14:textFill>
            <w14:solidFill>
              <w14:schemeClr w14:val="tx1"/>
            </w14:solidFill>
          </w14:textFill>
        </w:rPr>
        <w:t>信息网络建设和维护等方面。20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23</w:t>
      </w:r>
      <w:r>
        <w:rPr>
          <w:rFonts w:hint="default" w:ascii="Times New Roman" w:hAnsi="Times New Roman" w:eastAsia="仿宋_GB2312" w:cs="Times New Roman"/>
          <w:color w:val="000000" w:themeColor="text1"/>
          <w:sz w:val="32"/>
          <w:szCs w:val="32"/>
          <w14:textFill>
            <w14:solidFill>
              <w14:schemeClr w14:val="tx1"/>
            </w14:solidFill>
          </w14:textFill>
        </w:rPr>
        <w:t>年项目支出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13954.05</w:t>
      </w:r>
      <w:r>
        <w:rPr>
          <w:rFonts w:hint="default" w:ascii="Times New Roman" w:hAnsi="Times New Roman" w:eastAsia="仿宋_GB2312" w:cs="Times New Roman"/>
          <w:color w:val="000000" w:themeColor="text1"/>
          <w:sz w:val="32"/>
          <w:szCs w:val="32"/>
          <w14:textFill>
            <w14:solidFill>
              <w14:schemeClr w14:val="tx1"/>
            </w14:solidFill>
          </w14:textFill>
        </w:rPr>
        <w:t>万元，比上年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增加</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6861.83</w:t>
      </w:r>
      <w:r>
        <w:rPr>
          <w:rFonts w:hint="default" w:ascii="Times New Roman" w:hAnsi="Times New Roman" w:eastAsia="仿宋_GB2312" w:cs="Times New Roman"/>
          <w:color w:val="000000" w:themeColor="text1"/>
          <w:sz w:val="32"/>
          <w:szCs w:val="32"/>
          <w14:textFill>
            <w14:solidFill>
              <w14:schemeClr w14:val="tx1"/>
            </w14:solidFill>
          </w14:textFill>
        </w:rPr>
        <w:t>万元，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增长</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96.75</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，其中业务工作经费支出</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5027.78</w:t>
      </w:r>
      <w:r>
        <w:rPr>
          <w:rFonts w:hint="default" w:ascii="Times New Roman" w:hAnsi="Times New Roman" w:eastAsia="仿宋_GB2312" w:cs="Times New Roman"/>
          <w:color w:val="000000" w:themeColor="text1"/>
          <w:spacing w:val="-6"/>
          <w:sz w:val="32"/>
          <w:szCs w:val="32"/>
          <w14:textFill>
            <w14:solidFill>
              <w14:schemeClr w14:val="tx1"/>
            </w14:solidFill>
          </w14:textFill>
        </w:rPr>
        <w:t>万元，比上年</w:t>
      </w: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增加</w:t>
      </w:r>
      <w:r>
        <w:rPr>
          <w:rFonts w:hint="eastAsia" w:ascii="Times New Roman" w:hAnsi="Times New Roman" w:eastAsia="仿宋_GB2312" w:cs="Times New Roman"/>
          <w:color w:val="000000" w:themeColor="text1"/>
          <w:spacing w:val="-6"/>
          <w:sz w:val="32"/>
          <w:szCs w:val="32"/>
          <w:lang w:val="en-US" w:eastAsia="zh-CN"/>
          <w14:textFill>
            <w14:solidFill>
              <w14:schemeClr w14:val="tx1"/>
            </w14:solidFill>
          </w14:textFill>
        </w:rPr>
        <w:t>114.15</w:t>
      </w:r>
      <w:r>
        <w:rPr>
          <w:rFonts w:hint="default" w:ascii="Times New Roman" w:hAnsi="Times New Roman" w:eastAsia="仿宋_GB2312" w:cs="Times New Roman"/>
          <w:color w:val="000000" w:themeColor="text1"/>
          <w:spacing w:val="-6"/>
          <w:sz w:val="32"/>
          <w:szCs w:val="32"/>
          <w14:textFill>
            <w14:solidFill>
              <w14:schemeClr w14:val="tx1"/>
            </w14:solidFill>
          </w14:textFill>
        </w:rPr>
        <w:t>万元，</w:t>
      </w: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增长</w:t>
      </w:r>
      <w:r>
        <w:rPr>
          <w:rFonts w:hint="eastAsia" w:ascii="Times New Roman" w:hAnsi="Times New Roman" w:eastAsia="仿宋_GB2312" w:cs="Times New Roman"/>
          <w:color w:val="000000" w:themeColor="text1"/>
          <w:spacing w:val="-6"/>
          <w:sz w:val="32"/>
          <w:szCs w:val="32"/>
          <w:lang w:val="en-US" w:eastAsia="zh-CN"/>
          <w14:textFill>
            <w14:solidFill>
              <w14:schemeClr w14:val="tx1"/>
            </w14:solidFill>
          </w14:textFill>
        </w:rPr>
        <w:t>23.23</w:t>
      </w:r>
      <w:r>
        <w:rPr>
          <w:rFonts w:hint="default" w:ascii="Times New Roman" w:hAnsi="Times New Roman" w:eastAsia="仿宋_GB2312" w:cs="Times New Roman"/>
          <w:color w:val="000000" w:themeColor="text1"/>
          <w:spacing w:val="-6"/>
          <w:sz w:val="32"/>
          <w:szCs w:val="32"/>
          <w14:textFill>
            <w14:solidFill>
              <w14:schemeClr w14:val="tx1"/>
            </w14:solidFill>
          </w14:textFill>
        </w:rPr>
        <w:t>%，主要是</w:t>
      </w:r>
      <w:r>
        <w:rPr>
          <w:rFonts w:hint="eastAsia" w:ascii="Times New Roman" w:hAnsi="Times New Roman" w:eastAsia="仿宋_GB2312" w:cs="Times New Roman"/>
          <w:color w:val="000000" w:themeColor="text1"/>
          <w:spacing w:val="-6"/>
          <w:sz w:val="32"/>
          <w:szCs w:val="32"/>
          <w:lang w:eastAsia="zh-CN"/>
          <w14:textFill>
            <w14:solidFill>
              <w14:schemeClr w14:val="tx1"/>
            </w14:solidFill>
          </w14:textFill>
        </w:rPr>
        <w:t>今年新增</w:t>
      </w:r>
      <w:r>
        <w:rPr>
          <w:rFonts w:hint="eastAsia" w:ascii="Times New Roman" w:hAnsi="Times New Roman" w:eastAsia="仿宋_GB2312"/>
          <w:color w:val="000000" w:themeColor="text1"/>
          <w:sz w:val="32"/>
          <w:szCs w:val="32"/>
          <w:lang w:val="en-US" w:eastAsia="zh-CN"/>
          <w14:textFill>
            <w14:solidFill>
              <w14:schemeClr w14:val="tx1"/>
            </w14:solidFill>
          </w14:textFill>
        </w:rPr>
        <w:t>“市清廉文化作品巡回演出活动经费”及“</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中巡办联系点</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业务工作经费</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”支出</w:t>
      </w:r>
      <w:r>
        <w:rPr>
          <w:rFonts w:hint="eastAsia" w:ascii="Times New Roman" w:hAnsi="Times New Roman" w:eastAsia="仿宋_GB2312"/>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运行维护经费</w:t>
      </w:r>
      <w:bookmarkStart w:id="3" w:name="_GoBack"/>
      <w:bookmarkEnd w:id="3"/>
      <w:r>
        <w:rPr>
          <w:rFonts w:hint="default" w:ascii="Times New Roman" w:hAnsi="Times New Roman" w:eastAsia="仿宋_GB2312" w:cs="Times New Roman"/>
          <w:color w:val="000000" w:themeColor="text1"/>
          <w:spacing w:val="-6"/>
          <w:sz w:val="32"/>
          <w:szCs w:val="32"/>
          <w14:textFill>
            <w14:solidFill>
              <w14:schemeClr w14:val="tx1"/>
            </w14:solidFill>
          </w14:textFill>
        </w:rPr>
        <w:t>支出</w:t>
      </w:r>
      <w:r>
        <w:rPr>
          <w:rFonts w:hint="eastAsia" w:ascii="Times New Roman" w:hAnsi="Times New Roman" w:eastAsia="仿宋_GB2312" w:cs="Times New Roman"/>
          <w:color w:val="000000" w:themeColor="text1"/>
          <w:spacing w:val="-6"/>
          <w:sz w:val="32"/>
          <w:szCs w:val="32"/>
          <w:lang w:val="en-US" w:eastAsia="zh-CN"/>
          <w14:textFill>
            <w14:solidFill>
              <w14:schemeClr w14:val="tx1"/>
            </w14:solidFill>
          </w14:textFill>
        </w:rPr>
        <w:t>434.97</w:t>
      </w:r>
      <w:r>
        <w:rPr>
          <w:rFonts w:hint="default" w:ascii="Times New Roman" w:hAnsi="Times New Roman" w:eastAsia="仿宋_GB2312" w:cs="Times New Roman"/>
          <w:color w:val="000000" w:themeColor="text1"/>
          <w:spacing w:val="-6"/>
          <w:sz w:val="32"/>
          <w:szCs w:val="32"/>
          <w14:textFill>
            <w14:solidFill>
              <w14:schemeClr w14:val="tx1"/>
            </w14:solidFill>
          </w14:textFill>
        </w:rPr>
        <w:t>万元，比上年</w:t>
      </w: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增加</w:t>
      </w:r>
      <w:r>
        <w:rPr>
          <w:rFonts w:hint="eastAsia" w:ascii="Times New Roman" w:hAnsi="Times New Roman" w:eastAsia="仿宋_GB2312" w:cs="Times New Roman"/>
          <w:color w:val="000000" w:themeColor="text1"/>
          <w:spacing w:val="-6"/>
          <w:sz w:val="32"/>
          <w:szCs w:val="32"/>
          <w:lang w:val="en-US" w:eastAsia="zh-CN"/>
          <w14:textFill>
            <w14:solidFill>
              <w14:schemeClr w14:val="tx1"/>
            </w14:solidFill>
          </w14:textFill>
        </w:rPr>
        <w:t>45.26</w:t>
      </w:r>
      <w:r>
        <w:rPr>
          <w:rFonts w:hint="default" w:ascii="Times New Roman" w:hAnsi="Times New Roman" w:eastAsia="仿宋_GB2312" w:cs="Times New Roman"/>
          <w:color w:val="000000" w:themeColor="text1"/>
          <w:spacing w:val="-6"/>
          <w:sz w:val="32"/>
          <w:szCs w:val="32"/>
          <w14:textFill>
            <w14:solidFill>
              <w14:schemeClr w14:val="tx1"/>
            </w14:solidFill>
          </w14:textFill>
        </w:rPr>
        <w:t>万元，</w:t>
      </w: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增长</w:t>
      </w:r>
      <w:r>
        <w:rPr>
          <w:rFonts w:hint="eastAsia" w:ascii="Times New Roman" w:hAnsi="Times New Roman" w:eastAsia="仿宋_GB2312" w:cs="Times New Roman"/>
          <w:color w:val="000000" w:themeColor="text1"/>
          <w:spacing w:val="-6"/>
          <w:sz w:val="32"/>
          <w:szCs w:val="32"/>
          <w:lang w:val="en-US" w:eastAsia="zh-CN"/>
          <w14:textFill>
            <w14:solidFill>
              <w14:schemeClr w14:val="tx1"/>
            </w14:solidFill>
          </w14:textFill>
        </w:rPr>
        <w:t>11.61</w:t>
      </w:r>
      <w:r>
        <w:rPr>
          <w:rFonts w:hint="default" w:ascii="Times New Roman" w:hAnsi="Times New Roman" w:eastAsia="仿宋_GB2312" w:cs="Times New Roman"/>
          <w:color w:val="000000" w:themeColor="text1"/>
          <w:spacing w:val="-6"/>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pacing w:val="-6"/>
          <w:sz w:val="32"/>
          <w:szCs w:val="32"/>
          <w14:textFill>
            <w14:solidFill>
              <w14:schemeClr w14:val="tx1"/>
            </w14:solidFill>
          </w14:textFill>
        </w:rPr>
        <w:t>，主要是</w:t>
      </w:r>
      <w:r>
        <w:rPr>
          <w:rFonts w:hint="default" w:ascii="Times New Roman" w:hAnsi="Times New Roman" w:eastAsia="仿宋_GB2312" w:cs="Times New Roman"/>
          <w:color w:val="000000" w:themeColor="text1"/>
          <w:spacing w:val="-6"/>
          <w:sz w:val="32"/>
          <w:szCs w:val="32"/>
          <w:lang w:eastAsia="zh-CN"/>
          <w14:textFill>
            <w14:solidFill>
              <w14:schemeClr w14:val="tx1"/>
            </w14:solidFill>
          </w14:textFill>
        </w:rPr>
        <w:t>由于</w:t>
      </w:r>
      <w:r>
        <w:rPr>
          <w:rFonts w:hint="eastAsia" w:ascii="Times New Roman" w:hAnsi="Times New Roman" w:eastAsia="仿宋_GB2312"/>
          <w:color w:val="000000" w:themeColor="text1"/>
          <w:sz w:val="32"/>
          <w:szCs w:val="32"/>
          <w:lang w:val="en-US" w:eastAsia="zh-CN"/>
          <w14:textFill>
            <w14:solidFill>
              <w14:schemeClr w14:val="tx1"/>
            </w14:solidFill>
          </w14:textFill>
        </w:rPr>
        <w:t>“市纪委监委留置场所（垦新园）改扩建工程”完工投入使用，增加了运行成本</w:t>
      </w:r>
      <w:r>
        <w:rPr>
          <w:rFonts w:hint="eastAsia" w:ascii="Times New Roman" w:hAnsi="Times New Roman" w:eastAsia="仿宋_GB2312" w:cs="Times New Roman"/>
          <w:color w:val="auto"/>
          <w:spacing w:val="-6"/>
          <w:sz w:val="32"/>
          <w:szCs w:val="32"/>
          <w:lang w:val="en-US" w:eastAsia="zh-CN"/>
        </w:rPr>
        <w:t>；</w:t>
      </w:r>
      <w:r>
        <w:rPr>
          <w:rFonts w:hint="eastAsia" w:ascii="Times New Roman" w:hAnsi="Times New Roman" w:eastAsia="仿宋_GB2312" w:cs="Times New Roman"/>
          <w:color w:val="000000" w:themeColor="text1"/>
          <w:spacing w:val="-6"/>
          <w:sz w:val="32"/>
          <w:szCs w:val="32"/>
          <w:lang w:val="en-US" w:eastAsia="zh-CN"/>
          <w14:textFill>
            <w14:solidFill>
              <w14:schemeClr w14:val="tx1"/>
            </w14:solidFill>
          </w14:textFill>
        </w:rPr>
        <w:t>基建工程支出8491.30，比上年增加6702.42万元，增长374.67%，主要原因有四，</w:t>
      </w:r>
      <w:r>
        <w:rPr>
          <w:rFonts w:hint="eastAsia" w:ascii="Times New Roman" w:hAnsi="Times New Roman" w:eastAsia="仿宋_GB2312" w:cs="Times New Roman"/>
          <w:color w:val="auto"/>
          <w:spacing w:val="-6"/>
          <w:sz w:val="32"/>
          <w:szCs w:val="32"/>
          <w:lang w:val="en-US" w:eastAsia="zh-CN"/>
        </w:rPr>
        <w:t>一是</w:t>
      </w:r>
      <w:r>
        <w:rPr>
          <w:rFonts w:hint="eastAsia" w:ascii="Times New Roman" w:hAnsi="Times New Roman" w:eastAsia="仿宋_GB2312"/>
          <w:color w:val="auto"/>
          <w:sz w:val="32"/>
          <w:szCs w:val="32"/>
          <w:lang w:val="en-US" w:eastAsia="zh-CN"/>
        </w:rPr>
        <w:t>“市纪委监委留置场所（垦新园）改扩建工程”未完工，主要在本年度继续支付工程款；二是本年度新增“怀化市清廉文化教育馆项目”工程建设，增加工程建设支出；三是新增</w:t>
      </w:r>
      <w:r>
        <w:rPr>
          <w:rFonts w:hint="eastAsia" w:ascii="Times New Roman" w:hAnsi="Times New Roman" w:eastAsia="仿宋_GB2312"/>
          <w:sz w:val="32"/>
          <w:szCs w:val="32"/>
          <w:lang w:val="en-US" w:eastAsia="zh-CN"/>
        </w:rPr>
        <w:t>“市清廉文化作品巡回演出活动经费”支出；四是新增“</w:t>
      </w:r>
      <w:r>
        <w:rPr>
          <w:rFonts w:hint="eastAsia" w:ascii="Times New Roman" w:hAnsi="Times New Roman" w:eastAsia="仿宋_GB2312" w:cs="Times New Roman"/>
          <w:sz w:val="32"/>
          <w:szCs w:val="32"/>
          <w:lang w:eastAsia="zh-CN"/>
        </w:rPr>
        <w:t>中巡办联系点</w:t>
      </w:r>
      <w:r>
        <w:rPr>
          <w:rFonts w:hint="default" w:ascii="Times New Roman" w:hAnsi="Times New Roman" w:eastAsia="仿宋_GB2312" w:cs="Times New Roman"/>
          <w:sz w:val="32"/>
          <w:szCs w:val="32"/>
          <w:lang w:eastAsia="zh-CN"/>
        </w:rPr>
        <w:t>业务工作经费</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sz w:val="32"/>
          <w:szCs w:val="32"/>
          <w:lang w:val="en-US" w:eastAsia="zh-CN"/>
        </w:rPr>
        <w:t>。</w:t>
      </w:r>
    </w:p>
    <w:p>
      <w:pPr>
        <w:pStyle w:val="10"/>
        <w:keepNext w:val="0"/>
        <w:keepLines w:val="0"/>
        <w:pageBreakBefore w:val="0"/>
        <w:widowControl w:val="0"/>
        <w:kinsoku/>
        <w:wordWrap/>
        <w:overflowPunct w:val="0"/>
        <w:topLinePunct w:val="0"/>
        <w:autoSpaceDE/>
        <w:autoSpaceDN/>
        <w:bidi w:val="0"/>
        <w:adjustRightInd/>
        <w:snapToGrid w:val="0"/>
        <w:spacing w:line="600" w:lineRule="exact"/>
        <w:ind w:firstLine="640" w:firstLineChars="200"/>
        <w:jc w:val="both"/>
        <w:textAlignment w:val="auto"/>
        <w:rPr>
          <w:rFonts w:hint="default" w:ascii="Times New Roman" w:hAnsi="Times New Roman" w:eastAsia="黑体" w:cs="Times New Roman"/>
          <w:color w:val="000000" w:themeColor="text1"/>
          <w:sz w:val="32"/>
          <w:szCs w:val="32"/>
          <w:lang w:eastAsia="zh-CN"/>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三、部门整体支出绩效情况</w:t>
      </w:r>
    </w:p>
    <w:p>
      <w:pPr>
        <w:keepNext w:val="0"/>
        <w:keepLines w:val="0"/>
        <w:pageBreakBefore w:val="0"/>
        <w:widowControl w:val="0"/>
        <w:kinsoku/>
        <w:wordWrap/>
        <w:topLinePunct w:val="0"/>
        <w:autoSpaceDE/>
        <w:autoSpaceDN/>
        <w:bidi w:val="0"/>
        <w:spacing w:line="580" w:lineRule="exact"/>
        <w:ind w:firstLine="616" w:firstLineChars="200"/>
        <w:contextualSpacing/>
        <w:textAlignment w:val="auto"/>
        <w:rPr>
          <w:rFonts w:hint="default" w:ascii="Times New Roman" w:hAnsi="Times New Roman" w:eastAsia="仿宋_GB2312" w:cs="Times New Roman"/>
          <w:snapToGrid w:val="0"/>
          <w:color w:val="FF0000"/>
          <w:kern w:val="0"/>
          <w:sz w:val="32"/>
          <w:szCs w:val="32"/>
          <w:lang w:val="en-US" w:eastAsia="zh-CN"/>
        </w:rPr>
      </w:pPr>
      <w:r>
        <w:rPr>
          <w:rFonts w:hint="eastAsia" w:ascii="Times New Roman" w:hAnsi="Times New Roman" w:eastAsia="仿宋_GB2312" w:cs="Times New Roman"/>
          <w:color w:val="000000" w:themeColor="text1"/>
          <w:spacing w:val="-6"/>
          <w:kern w:val="0"/>
          <w:sz w:val="32"/>
          <w:szCs w:val="32"/>
          <w:lang w:val="en-US" w:eastAsia="zh-CN" w:bidi="ar-SA"/>
          <w14:textFill>
            <w14:solidFill>
              <w14:schemeClr w14:val="tx1"/>
            </w14:solidFill>
          </w14:textFill>
        </w:rPr>
        <w:t>2023年，在省纪委监委和市委的坚强领导下，全市纪检监察系统以党的二十大精神为引领，坚持用习近平新时代中国特色社会主义思想统领纪检监察一切工作，不折不扣贯彻落实中央纪委、省纪委全会部署和市委要求，扎实开展学习贯彻习近平新时代中国特色社会主义思想主题教育和纪检监察干部队伍教育整顿，着力推进“六大行动”，大力加强“四大建设”，纪检监察工作高质量发展迈出坚实步伐。全年处置问题线索4312件，立案2090件，结案2124件，处分2011人，留置93人，追赃挽损5.4亿元，检举控告量下降7.44%。怀化被确定为中央巡视办“发挥市级巡察作用联系点”。设立专家咨询委员会提升办案质量、分层分类加强纪律教育、对村巡察助力“三湘护农”、抓实“四化”推进教育整顿、“以学谋私”专项整治等工作被省纪委监委主要领导批示肯定或相关会议、刊物推介。</w:t>
      </w:r>
    </w:p>
    <w:p>
      <w:pPr>
        <w:keepNext w:val="0"/>
        <w:keepLines w:val="0"/>
        <w:pageBreakBefore w:val="0"/>
        <w:widowControl w:val="0"/>
        <w:kinsoku/>
        <w:wordWrap/>
        <w:overflowPunct w:val="0"/>
        <w:topLinePunct w:val="0"/>
        <w:autoSpaceDE/>
        <w:autoSpaceDN/>
        <w:bidi w:val="0"/>
        <w:adjustRightInd/>
        <w:spacing w:line="60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CN"/>
        </w:rPr>
        <w:t>四</w:t>
      </w:r>
      <w:r>
        <w:rPr>
          <w:rFonts w:hint="default" w:ascii="Times New Roman" w:hAnsi="Times New Roman" w:eastAsia="黑体" w:cs="Times New Roman"/>
          <w:color w:val="auto"/>
          <w:sz w:val="32"/>
          <w:szCs w:val="32"/>
        </w:rPr>
        <w:t>、存在的问题</w:t>
      </w:r>
    </w:p>
    <w:p>
      <w:pPr>
        <w:keepNext w:val="0"/>
        <w:keepLines w:val="0"/>
        <w:pageBreakBefore w:val="0"/>
        <w:widowControl w:val="0"/>
        <w:numPr>
          <w:ilvl w:val="0"/>
          <w:numId w:val="0"/>
        </w:numPr>
        <w:kinsoku/>
        <w:wordWrap/>
        <w:overflowPunct w:val="0"/>
        <w:topLinePunct w:val="0"/>
        <w:autoSpaceDE/>
        <w:autoSpaceDN/>
        <w:bidi w:val="0"/>
        <w:adjustRightInd/>
        <w:spacing w:line="600" w:lineRule="exact"/>
        <w:ind w:firstLine="640"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受改革深化、政策变化等因素影响，造成预算编制的前瞻性和精细化略有不足。在预算执行过程中出现部分项目支出预算有所调整，与年初预算存在一定结构性差异的现象。同时由于项目验收时间一般在年末，导致资金支付相对集中，预算执行均衡性有待进一步提高。</w:t>
      </w:r>
    </w:p>
    <w:p>
      <w:pPr>
        <w:keepNext w:val="0"/>
        <w:keepLines w:val="0"/>
        <w:pageBreakBefore w:val="0"/>
        <w:widowControl w:val="0"/>
        <w:numPr>
          <w:ilvl w:val="0"/>
          <w:numId w:val="0"/>
        </w:numPr>
        <w:kinsoku/>
        <w:wordWrap/>
        <w:overflowPunct w:val="0"/>
        <w:topLinePunct w:val="0"/>
        <w:autoSpaceDE/>
        <w:autoSpaceDN/>
        <w:bidi w:val="0"/>
        <w:adjustRightInd/>
        <w:spacing w:line="600"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eastAsia="zh-CN"/>
        </w:rPr>
        <w:t>五、</w:t>
      </w:r>
      <w:r>
        <w:rPr>
          <w:rFonts w:hint="default" w:ascii="Times New Roman" w:hAnsi="Times New Roman" w:eastAsia="黑体" w:cs="Times New Roman"/>
          <w:color w:val="auto"/>
          <w:sz w:val="32"/>
          <w:szCs w:val="32"/>
        </w:rPr>
        <w:t>下一步改进措施</w:t>
      </w:r>
    </w:p>
    <w:p>
      <w:pPr>
        <w:keepNext w:val="0"/>
        <w:keepLines w:val="0"/>
        <w:pageBreakBefore w:val="0"/>
        <w:widowControl w:val="0"/>
        <w:numPr>
          <w:ilvl w:val="0"/>
          <w:numId w:val="0"/>
        </w:numPr>
        <w:kinsoku/>
        <w:wordWrap/>
        <w:overflowPunct w:val="0"/>
        <w:topLinePunct w:val="0"/>
        <w:autoSpaceDE/>
        <w:autoSpaceDN/>
        <w:bidi w:val="0"/>
        <w:adjustRightInd/>
        <w:spacing w:line="600" w:lineRule="exact"/>
        <w:ind w:firstLine="640" w:firstLineChars="200"/>
        <w:jc w:val="both"/>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楷体_GB2312" w:cs="Times New Roman"/>
          <w:b/>
          <w:bCs/>
          <w:snapToGrid w:val="0"/>
          <w:color w:val="auto"/>
          <w:kern w:val="0"/>
          <w:sz w:val="32"/>
          <w:szCs w:val="32"/>
          <w:lang w:val="en-US" w:eastAsia="zh-CN"/>
        </w:rPr>
        <w:t>（一）细化预算编制，优化预算项目设置。</w:t>
      </w:r>
      <w:r>
        <w:rPr>
          <w:rFonts w:hint="default" w:ascii="Times New Roman" w:hAnsi="Times New Roman" w:eastAsia="仿宋_GB2312" w:cs="Times New Roman"/>
          <w:color w:val="auto"/>
          <w:sz w:val="32"/>
          <w:szCs w:val="32"/>
          <w:lang w:val="en-US" w:eastAsia="zh-CN"/>
        </w:rPr>
        <w:t>不断</w:t>
      </w:r>
      <w:r>
        <w:rPr>
          <w:rFonts w:hint="default" w:ascii="Times New Roman" w:hAnsi="Times New Roman" w:eastAsia="仿宋_GB2312" w:cs="Times New Roman"/>
          <w:b w:val="0"/>
          <w:bCs/>
          <w:color w:val="auto"/>
          <w:sz w:val="32"/>
          <w:szCs w:val="32"/>
          <w:lang w:val="en-US" w:eastAsia="zh-CN"/>
        </w:rPr>
        <w:t>完善部门预算编制管理，抓住预算一体化系统平台整合的契机，充分利用云</w:t>
      </w:r>
      <w:r>
        <w:rPr>
          <w:rFonts w:hint="default" w:ascii="Times New Roman" w:hAnsi="Times New Roman" w:eastAsia="仿宋_GB2312" w:cs="Times New Roman"/>
          <w:b w:val="0"/>
          <w:bCs/>
          <w:color w:val="auto"/>
          <w:spacing w:val="-6"/>
          <w:sz w:val="32"/>
          <w:szCs w:val="32"/>
          <w:lang w:val="en-US" w:eastAsia="zh-CN"/>
        </w:rPr>
        <w:t>平台数据，加强</w:t>
      </w:r>
      <w:r>
        <w:rPr>
          <w:rFonts w:hint="default" w:ascii="Times New Roman" w:hAnsi="Times New Roman" w:eastAsia="仿宋_GB2312" w:cs="Times New Roman"/>
          <w:color w:val="auto"/>
          <w:spacing w:val="-6"/>
          <w:sz w:val="32"/>
          <w:szCs w:val="32"/>
          <w:lang w:val="en-US" w:eastAsia="zh-CN"/>
        </w:rPr>
        <w:t>项目资金执行情况分析，并作为下年预算安排的依据，</w:t>
      </w:r>
      <w:r>
        <w:rPr>
          <w:rFonts w:hint="default" w:ascii="Times New Roman" w:hAnsi="Times New Roman" w:eastAsia="仿宋_GB2312" w:cs="Times New Roman"/>
          <w:b w:val="0"/>
          <w:bCs/>
          <w:color w:val="auto"/>
          <w:spacing w:val="-6"/>
          <w:sz w:val="32"/>
          <w:szCs w:val="32"/>
          <w:lang w:val="en-US" w:eastAsia="zh-CN"/>
        </w:rPr>
        <w:t>进一步提高预算编制的精准度和预算标准化水平。</w:t>
      </w:r>
    </w:p>
    <w:p>
      <w:pPr>
        <w:keepNext w:val="0"/>
        <w:keepLines w:val="0"/>
        <w:pageBreakBefore w:val="0"/>
        <w:widowControl w:val="0"/>
        <w:numPr>
          <w:ilvl w:val="0"/>
          <w:numId w:val="0"/>
        </w:numPr>
        <w:kinsoku/>
        <w:wordWrap/>
        <w:overflowPunct w:val="0"/>
        <w:topLinePunct w:val="0"/>
        <w:autoSpaceDE/>
        <w:autoSpaceDN/>
        <w:bidi w:val="0"/>
        <w:adjustRightInd/>
        <w:spacing w:line="600" w:lineRule="exact"/>
        <w:ind w:firstLine="640" w:firstLineChars="200"/>
        <w:jc w:val="both"/>
        <w:textAlignment w:val="auto"/>
        <w:rPr>
          <w:rFonts w:cs="黑体" w:asciiTheme="minorEastAsia" w:hAnsiTheme="minorEastAsia"/>
          <w:color w:val="auto"/>
          <w:kern w:val="0"/>
          <w:sz w:val="32"/>
          <w:szCs w:val="32"/>
        </w:rPr>
      </w:pPr>
      <w:r>
        <w:rPr>
          <w:rFonts w:hint="default" w:ascii="Times New Roman" w:hAnsi="Times New Roman" w:eastAsia="楷体_GB2312" w:cs="Times New Roman"/>
          <w:b/>
          <w:bCs/>
          <w:snapToGrid w:val="0"/>
          <w:color w:val="auto"/>
          <w:kern w:val="0"/>
          <w:sz w:val="32"/>
          <w:szCs w:val="32"/>
          <w:lang w:val="en-US" w:eastAsia="zh-CN"/>
        </w:rPr>
        <w:t>（二）强化预算约束，实行项目进度动态管理。</w:t>
      </w:r>
      <w:r>
        <w:rPr>
          <w:rFonts w:hint="default" w:ascii="Times New Roman" w:hAnsi="Times New Roman" w:eastAsia="仿宋_GB2312" w:cs="Times New Roman"/>
          <w:color w:val="auto"/>
          <w:sz w:val="32"/>
          <w:szCs w:val="32"/>
          <w:lang w:val="en-US" w:eastAsia="zh-CN"/>
        </w:rPr>
        <w:t>通过定期对项目实施和预算执行情况进行梳理，及时掌握项目进度，督促项目实施单位早启动、早实施、早验收，对符合条件的项目按照项目进度支付相关款项，将预算资金管理贯穿于项目实施全过程中。</w:t>
      </w:r>
    </w:p>
    <w:sectPr>
      <w:pgSz w:w="11906" w:h="16838"/>
      <w:pgMar w:top="2154" w:right="1531" w:bottom="1871" w:left="1531"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楷体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2965FB2"/>
    <w:multiLevelType w:val="singleLevel"/>
    <w:tmpl w:val="A2965FB2"/>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8F24F4"/>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1E23EC1"/>
    <w:rsid w:val="03FA4D6E"/>
    <w:rsid w:val="04830822"/>
    <w:rsid w:val="04D32F94"/>
    <w:rsid w:val="054908B9"/>
    <w:rsid w:val="06F33402"/>
    <w:rsid w:val="099C2150"/>
    <w:rsid w:val="0F32331C"/>
    <w:rsid w:val="125D7761"/>
    <w:rsid w:val="12FE29DC"/>
    <w:rsid w:val="153652F1"/>
    <w:rsid w:val="15E57EF0"/>
    <w:rsid w:val="17276A27"/>
    <w:rsid w:val="19430300"/>
    <w:rsid w:val="198B2EA3"/>
    <w:rsid w:val="1ACD1EE5"/>
    <w:rsid w:val="1BA65382"/>
    <w:rsid w:val="1C627153"/>
    <w:rsid w:val="1D84483E"/>
    <w:rsid w:val="1D97DEFF"/>
    <w:rsid w:val="1DFF72E5"/>
    <w:rsid w:val="1E5706AE"/>
    <w:rsid w:val="1EFC6F07"/>
    <w:rsid w:val="20A4799D"/>
    <w:rsid w:val="23A94D12"/>
    <w:rsid w:val="241E2852"/>
    <w:rsid w:val="247020C0"/>
    <w:rsid w:val="24C0021D"/>
    <w:rsid w:val="24F316E4"/>
    <w:rsid w:val="25E42B79"/>
    <w:rsid w:val="26D1352A"/>
    <w:rsid w:val="28441078"/>
    <w:rsid w:val="28D90B4F"/>
    <w:rsid w:val="299529E0"/>
    <w:rsid w:val="2B4B13BE"/>
    <w:rsid w:val="2C98289A"/>
    <w:rsid w:val="2D0B5A6C"/>
    <w:rsid w:val="2FDF85B8"/>
    <w:rsid w:val="2FEB2DDF"/>
    <w:rsid w:val="2FFFEE04"/>
    <w:rsid w:val="32264073"/>
    <w:rsid w:val="32DC57A2"/>
    <w:rsid w:val="331C6513"/>
    <w:rsid w:val="34DF85B0"/>
    <w:rsid w:val="36264D23"/>
    <w:rsid w:val="3B245A9C"/>
    <w:rsid w:val="3B8F36BC"/>
    <w:rsid w:val="3D6D3EFA"/>
    <w:rsid w:val="3E8B710D"/>
    <w:rsid w:val="422E6A22"/>
    <w:rsid w:val="42862880"/>
    <w:rsid w:val="42995B42"/>
    <w:rsid w:val="42EA0436"/>
    <w:rsid w:val="44E23ADF"/>
    <w:rsid w:val="45DC7B86"/>
    <w:rsid w:val="471B069A"/>
    <w:rsid w:val="4897281D"/>
    <w:rsid w:val="491FF225"/>
    <w:rsid w:val="4E89490C"/>
    <w:rsid w:val="4FFD214C"/>
    <w:rsid w:val="51EB1C5A"/>
    <w:rsid w:val="558A0977"/>
    <w:rsid w:val="5777D4F5"/>
    <w:rsid w:val="580C4198"/>
    <w:rsid w:val="584D526E"/>
    <w:rsid w:val="588B0060"/>
    <w:rsid w:val="59DD8326"/>
    <w:rsid w:val="5AF73D9D"/>
    <w:rsid w:val="5CD311F4"/>
    <w:rsid w:val="5DC24A16"/>
    <w:rsid w:val="5DEF592A"/>
    <w:rsid w:val="5E620C1B"/>
    <w:rsid w:val="5FC6BB1E"/>
    <w:rsid w:val="5FF720F1"/>
    <w:rsid w:val="615C62F3"/>
    <w:rsid w:val="61E7692D"/>
    <w:rsid w:val="65581076"/>
    <w:rsid w:val="655F30E6"/>
    <w:rsid w:val="67DD75CC"/>
    <w:rsid w:val="67FF5C0B"/>
    <w:rsid w:val="697F3A41"/>
    <w:rsid w:val="69AB197F"/>
    <w:rsid w:val="69B34A0D"/>
    <w:rsid w:val="6B68767F"/>
    <w:rsid w:val="6E9A41C8"/>
    <w:rsid w:val="6EFC0924"/>
    <w:rsid w:val="6FB74722"/>
    <w:rsid w:val="6FEF8B7E"/>
    <w:rsid w:val="70150A7D"/>
    <w:rsid w:val="71694F2C"/>
    <w:rsid w:val="71A6591B"/>
    <w:rsid w:val="737D59BA"/>
    <w:rsid w:val="73CA4524"/>
    <w:rsid w:val="74E1113F"/>
    <w:rsid w:val="751E68A2"/>
    <w:rsid w:val="77C37683"/>
    <w:rsid w:val="787049DC"/>
    <w:rsid w:val="79FF515B"/>
    <w:rsid w:val="7A224067"/>
    <w:rsid w:val="7A261017"/>
    <w:rsid w:val="7AA45105"/>
    <w:rsid w:val="7B275E73"/>
    <w:rsid w:val="7D853013"/>
    <w:rsid w:val="7E9E1962"/>
    <w:rsid w:val="7E9F11B4"/>
    <w:rsid w:val="7F37EC1E"/>
    <w:rsid w:val="7F7DCD9D"/>
    <w:rsid w:val="7F970A6F"/>
    <w:rsid w:val="7F9C2364"/>
    <w:rsid w:val="7FC1FFF3"/>
    <w:rsid w:val="7FC69637"/>
    <w:rsid w:val="7FD6502B"/>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方正楷体简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3"/>
    <w:unhideWhenUsed/>
    <w:qFormat/>
    <w:uiPriority w:val="99"/>
    <w:pPr>
      <w:ind w:left="111"/>
    </w:pPr>
    <w:rPr>
      <w:sz w:val="36"/>
      <w:szCs w:val="36"/>
    </w:rPr>
  </w:style>
  <w:style w:type="paragraph" w:styleId="3">
    <w:name w:val="toc 5"/>
    <w:basedOn w:val="1"/>
    <w:next w:val="1"/>
    <w:qFormat/>
    <w:uiPriority w:val="0"/>
    <w:pPr>
      <w:widowControl w:val="0"/>
      <w:ind w:left="1680" w:leftChars="800"/>
      <w:jc w:val="both"/>
    </w:pPr>
    <w:rPr>
      <w:rFonts w:ascii="Calibri" w:hAnsi="Calibri" w:eastAsia="宋体" w:cs="Times New Roman"/>
      <w:kern w:val="2"/>
      <w:sz w:val="21"/>
      <w:szCs w:val="24"/>
      <w:lang w:val="en-US" w:eastAsia="zh-CN" w:bidi="ar-SA"/>
    </w:rPr>
  </w:style>
  <w:style w:type="paragraph" w:styleId="4">
    <w:name w:val="index 5"/>
    <w:basedOn w:val="1"/>
    <w:next w:val="1"/>
    <w:unhideWhenUsed/>
    <w:qFormat/>
    <w:uiPriority w:val="99"/>
    <w:pPr>
      <w:ind w:left="1680"/>
    </w:pPr>
    <w:rPr>
      <w:rFonts w:ascii="Calibri" w:hAnsi="Calibri" w:eastAsia="宋体" w:cs="Times New Roman"/>
      <w:szCs w:val="22"/>
    </w:rPr>
  </w:style>
  <w:style w:type="paragraph" w:styleId="5">
    <w:name w:val="Body Text Indent"/>
    <w:basedOn w:val="1"/>
    <w:next w:val="6"/>
    <w:unhideWhenUsed/>
    <w:qFormat/>
    <w:uiPriority w:val="99"/>
    <w:pPr>
      <w:widowControl/>
      <w:spacing w:after="120"/>
      <w:ind w:left="420" w:leftChars="200"/>
      <w:jc w:val="left"/>
    </w:pPr>
    <w:rPr>
      <w:rFonts w:ascii="宋体" w:hAnsi="宋体" w:eastAsia="宋体" w:cs="宋体"/>
      <w:kern w:val="0"/>
      <w:sz w:val="24"/>
    </w:rPr>
  </w:style>
  <w:style w:type="paragraph" w:styleId="6">
    <w:name w:val="Body Text First Indent 2"/>
    <w:basedOn w:val="5"/>
    <w:next w:val="1"/>
    <w:unhideWhenUsed/>
    <w:qFormat/>
    <w:uiPriority w:val="99"/>
    <w:pPr>
      <w:ind w:firstLine="420" w:firstLineChars="200"/>
    </w:pPr>
  </w:style>
  <w:style w:type="paragraph" w:styleId="7">
    <w:name w:val="Balloon Text"/>
    <w:basedOn w:val="1"/>
    <w:link w:val="19"/>
    <w:semiHidden/>
    <w:unhideWhenUsed/>
    <w:qFormat/>
    <w:uiPriority w:val="99"/>
    <w:rPr>
      <w:sz w:val="18"/>
      <w:szCs w:val="18"/>
    </w:rPr>
  </w:style>
  <w:style w:type="paragraph" w:styleId="8">
    <w:name w:val="footer"/>
    <w:basedOn w:val="1"/>
    <w:next w:val="4"/>
    <w:link w:val="16"/>
    <w:unhideWhenUsed/>
    <w:qFormat/>
    <w:uiPriority w:val="99"/>
    <w:pPr>
      <w:tabs>
        <w:tab w:val="center" w:pos="4153"/>
        <w:tab w:val="right" w:pos="8306"/>
      </w:tabs>
      <w:snapToGrid w:val="0"/>
      <w:jc w:val="left"/>
    </w:pPr>
    <w:rPr>
      <w:sz w:val="18"/>
      <w:szCs w:val="18"/>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footnote text"/>
    <w:basedOn w:val="1"/>
    <w:next w:val="6"/>
    <w:semiHidden/>
    <w:qFormat/>
    <w:uiPriority w:val="0"/>
    <w:pPr>
      <w:snapToGrid w:val="0"/>
      <w:jc w:val="left"/>
    </w:pPr>
    <w:rPr>
      <w:sz w:val="18"/>
      <w:szCs w:val="18"/>
    </w:r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4">
    <w:name w:val="Strong"/>
    <w:basedOn w:val="13"/>
    <w:qFormat/>
    <w:uiPriority w:val="0"/>
    <w:rPr>
      <w:b/>
    </w:rPr>
  </w:style>
  <w:style w:type="character" w:customStyle="1" w:styleId="15">
    <w:name w:val="页眉 Char"/>
    <w:basedOn w:val="13"/>
    <w:link w:val="9"/>
    <w:qFormat/>
    <w:uiPriority w:val="99"/>
    <w:rPr>
      <w:sz w:val="18"/>
      <w:szCs w:val="18"/>
    </w:rPr>
  </w:style>
  <w:style w:type="character" w:customStyle="1" w:styleId="16">
    <w:name w:val="页脚 Char"/>
    <w:basedOn w:val="13"/>
    <w:link w:val="8"/>
    <w:qFormat/>
    <w:uiPriority w:val="99"/>
    <w:rPr>
      <w:sz w:val="18"/>
      <w:szCs w:val="18"/>
    </w:rPr>
  </w:style>
  <w:style w:type="paragraph" w:customStyle="1" w:styleId="17">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8">
    <w:name w:val="List Paragraph"/>
    <w:basedOn w:val="1"/>
    <w:qFormat/>
    <w:uiPriority w:val="34"/>
    <w:pPr>
      <w:ind w:firstLine="420" w:firstLineChars="200"/>
    </w:pPr>
  </w:style>
  <w:style w:type="character" w:customStyle="1" w:styleId="19">
    <w:name w:val="批注框文本 Char"/>
    <w:basedOn w:val="13"/>
    <w:link w:val="7"/>
    <w:semiHidden/>
    <w:qFormat/>
    <w:uiPriority w:val="99"/>
    <w:rPr>
      <w:sz w:val="18"/>
      <w:szCs w:val="18"/>
    </w:rPr>
  </w:style>
  <w:style w:type="character" w:customStyle="1" w:styleId="20">
    <w:name w:val="font01"/>
    <w:basedOn w:val="13"/>
    <w:qFormat/>
    <w:uiPriority w:val="0"/>
    <w:rPr>
      <w:rFonts w:hint="eastAsia" w:ascii="宋体" w:hAnsi="宋体" w:eastAsia="宋体" w:cs="宋体"/>
      <w:color w:val="000000"/>
      <w:sz w:val="22"/>
      <w:szCs w:val="22"/>
      <w:u w:val="none"/>
    </w:rPr>
  </w:style>
  <w:style w:type="character" w:customStyle="1" w:styleId="21">
    <w:name w:val="font21"/>
    <w:basedOn w:val="13"/>
    <w:qFormat/>
    <w:uiPriority w:val="0"/>
    <w:rPr>
      <w:rFonts w:hint="eastAsia" w:ascii="宋体" w:hAnsi="宋体" w:eastAsia="宋体" w:cs="宋体"/>
      <w:color w:val="000000"/>
      <w:sz w:val="24"/>
      <w:szCs w:val="24"/>
      <w:u w:val="none"/>
    </w:rPr>
  </w:style>
  <w:style w:type="character" w:customStyle="1" w:styleId="22">
    <w:name w:val="font11"/>
    <w:basedOn w:val="13"/>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Pages>
  <Words>1347</Words>
  <Characters>7679</Characters>
  <Lines>63</Lines>
  <Paragraphs>18</Paragraphs>
  <TotalTime>39</TotalTime>
  <ScaleCrop>false</ScaleCrop>
  <LinksUpToDate>false</LinksUpToDate>
  <CharactersWithSpaces>9008</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Administrator</cp:lastModifiedBy>
  <cp:lastPrinted>2024-09-09T03:49:00Z</cp:lastPrinted>
  <dcterms:modified xsi:type="dcterms:W3CDTF">2024-09-24T10:26:54Z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ies>
</file>