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420" w:leftChars="200" w:right="420" w:rightChars="200"/>
        <w:jc w:val="center"/>
        <w:rPr>
          <w:rFonts w:hint="eastAsia" w:ascii="仿宋" w:hAnsi="仿宋" w:eastAsia="仿宋" w:cs="仿宋"/>
          <w:b w:val="0"/>
          <w:bCs w:val="0"/>
          <w:sz w:val="32"/>
          <w:szCs w:val="32"/>
        </w:rPr>
      </w:pPr>
      <w:r>
        <w:rPr>
          <w:rFonts w:hint="eastAsia" w:ascii="仿宋" w:hAnsi="仿宋" w:eastAsia="仿宋" w:cs="仿宋"/>
          <w:b/>
          <w:bCs/>
          <w:sz w:val="48"/>
          <w:szCs w:val="48"/>
        </w:rPr>
        <w:t>2021年度中共怀化市委政法委员会部门决算</w:t>
      </w:r>
    </w:p>
    <w:p>
      <w:pPr>
        <w:pStyle w:val="10"/>
        <w:ind w:left="420" w:leftChars="200" w:right="420" w:rightChars="200"/>
        <w:jc w:val="center"/>
        <w:rPr>
          <w:rFonts w:hint="eastAsia" w:ascii="仿宋" w:hAnsi="仿宋" w:eastAsia="仿宋" w:cs="仿宋"/>
          <w:b w:val="0"/>
          <w:bCs w:val="0"/>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500" w:lineRule="exact"/>
        <w:ind w:left="420" w:leftChars="200" w:right="420" w:right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p>
    <w:p>
      <w:pPr>
        <w:pStyle w:val="10"/>
        <w:keepNext w:val="0"/>
        <w:keepLines w:val="0"/>
        <w:pageBreakBefore w:val="0"/>
        <w:widowControl w:val="0"/>
        <w:kinsoku/>
        <w:wordWrap/>
        <w:overflowPunct/>
        <w:topLinePunct w:val="0"/>
        <w:autoSpaceDE w:val="0"/>
        <w:autoSpaceDN w:val="0"/>
        <w:bidi w:val="0"/>
        <w:adjustRightInd w:val="0"/>
        <w:snapToGrid/>
        <w:spacing w:line="500" w:lineRule="exact"/>
        <w:ind w:left="420" w:leftChars="200" w:right="420" w:rightChars="200"/>
        <w:jc w:val="center"/>
        <w:textAlignment w:val="auto"/>
        <w:rPr>
          <w:rFonts w:hint="eastAsia" w:ascii="黑体" w:hAnsi="黑体" w:eastAsia="黑体" w:cs="黑体"/>
          <w:b w:val="0"/>
          <w:bCs w:val="0"/>
          <w:sz w:val="32"/>
          <w:szCs w:val="32"/>
        </w:rPr>
      </w:pPr>
    </w:p>
    <w:p>
      <w:pPr>
        <w:pStyle w:val="10"/>
        <w:spacing w:line="500" w:lineRule="exact"/>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第一部分中共怀化市委政法委员会单位概况</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一、部门职责</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二、机构设置</w:t>
      </w:r>
    </w:p>
    <w:p>
      <w:pPr>
        <w:pStyle w:val="10"/>
        <w:spacing w:line="500" w:lineRule="exact"/>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第二部分2021年度部门决算表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三、支出决算表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四、财政拨款收入支出决算总表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五、一般公共预算财政拨款支出决算表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六、一般公共预算财政拨款基本支出决算明细表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七、一般公共预算财政拨款“三公”经费支出决算表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八、政府性基金预算财政拨款收入支出决算表</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九、国有资本经营预算财政拨款支出决算表</w:t>
      </w:r>
    </w:p>
    <w:p>
      <w:pPr>
        <w:pStyle w:val="10"/>
        <w:spacing w:line="500" w:lineRule="exact"/>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第三部分2021年度部门决算情况说明</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一、收入支出决算总体情况说明</w:t>
      </w:r>
    </w:p>
    <w:p>
      <w:pPr>
        <w:spacing w:line="500" w:lineRule="exact"/>
        <w:ind w:left="420" w:leftChars="200" w:right="420" w:rightChars="200" w:firstLine="800" w:firstLineChars="25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三、支出决算情况说明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四、财政拨款收入支出决算总体情况说明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五、一般公共预算财政拨款支出决算情况说明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六、一般公共预算财政拨款基本支出决算情况说明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七、一般公共预算财政拨款“三公”经费支出决算情况说明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八、政府性基金预算收入支出决算情况</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九、国有资本经营预算财政拨款支出</w:t>
      </w:r>
      <w:r>
        <w:rPr>
          <w:rFonts w:hint="eastAsia" w:ascii="仿宋" w:hAnsi="仿宋" w:eastAsia="仿宋" w:cs="仿宋"/>
          <w:b w:val="0"/>
          <w:bCs w:val="0"/>
          <w:color w:val="000000"/>
          <w:kern w:val="0"/>
          <w:sz w:val="32"/>
          <w:szCs w:val="32"/>
        </w:rPr>
        <w:t>决算情况</w:t>
      </w:r>
      <w:r>
        <w:rPr>
          <w:rFonts w:hint="eastAsia" w:ascii="仿宋" w:hAnsi="仿宋" w:eastAsia="仿宋" w:cs="仿宋"/>
          <w:b w:val="0"/>
          <w:bCs w:val="0"/>
          <w:color w:val="000000"/>
          <w:kern w:val="0"/>
          <w:sz w:val="32"/>
          <w:szCs w:val="32"/>
          <w:lang w:val="en-US" w:eastAsia="zh-CN"/>
        </w:rPr>
        <w:t>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十</w:t>
      </w:r>
      <w:r>
        <w:rPr>
          <w:rFonts w:hint="eastAsia" w:ascii="仿宋" w:hAnsi="仿宋" w:eastAsia="仿宋" w:cs="仿宋"/>
          <w:b w:val="0"/>
          <w:bCs w:val="0"/>
          <w:color w:val="000000"/>
          <w:kern w:val="0"/>
          <w:sz w:val="32"/>
          <w:szCs w:val="32"/>
        </w:rPr>
        <w:t>、</w:t>
      </w:r>
      <w:r>
        <w:rPr>
          <w:rFonts w:hint="eastAsia" w:ascii="仿宋" w:hAnsi="仿宋" w:eastAsia="仿宋" w:cs="仿宋"/>
          <w:b w:val="0"/>
          <w:bCs w:val="0"/>
          <w:color w:val="000000"/>
          <w:kern w:val="0"/>
          <w:sz w:val="32"/>
          <w:szCs w:val="32"/>
          <w:lang w:val="en-US" w:eastAsia="zh-CN"/>
        </w:rPr>
        <w:t>关于</w:t>
      </w:r>
      <w:r>
        <w:rPr>
          <w:rFonts w:hint="eastAsia" w:ascii="仿宋" w:hAnsi="仿宋" w:eastAsia="仿宋" w:cs="仿宋"/>
          <w:b w:val="0"/>
          <w:bCs w:val="0"/>
          <w:color w:val="000000"/>
          <w:kern w:val="0"/>
          <w:sz w:val="32"/>
          <w:szCs w:val="32"/>
        </w:rPr>
        <w:t>机关运行经费支出说明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w:t>
      </w:r>
      <w:r>
        <w:rPr>
          <w:rFonts w:hint="eastAsia" w:ascii="仿宋" w:hAnsi="仿宋" w:eastAsia="仿宋" w:cs="仿宋"/>
          <w:b w:val="0"/>
          <w:bCs w:val="0"/>
          <w:color w:val="000000"/>
          <w:kern w:val="0"/>
          <w:sz w:val="32"/>
          <w:szCs w:val="32"/>
          <w:lang w:val="en-US" w:eastAsia="zh-CN"/>
        </w:rPr>
        <w:t>一</w:t>
      </w:r>
      <w:r>
        <w:rPr>
          <w:rFonts w:hint="eastAsia" w:ascii="仿宋" w:hAnsi="仿宋" w:eastAsia="仿宋" w:cs="仿宋"/>
          <w:b w:val="0"/>
          <w:bCs w:val="0"/>
          <w:color w:val="000000"/>
          <w:kern w:val="0"/>
          <w:sz w:val="32"/>
          <w:szCs w:val="32"/>
        </w:rPr>
        <w:t>、一般性支出情况说明</w:t>
      </w:r>
    </w:p>
    <w:p>
      <w:pPr>
        <w:autoSpaceDE w:val="0"/>
        <w:autoSpaceDN w:val="0"/>
        <w:adjustRightInd w:val="0"/>
        <w:spacing w:line="500" w:lineRule="exact"/>
        <w:ind w:left="420" w:leftChars="200" w:right="420" w:rightChars="200"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w:t>
      </w:r>
      <w:r>
        <w:rPr>
          <w:rFonts w:hint="eastAsia" w:ascii="仿宋" w:hAnsi="仿宋" w:eastAsia="仿宋" w:cs="仿宋"/>
          <w:b w:val="0"/>
          <w:bCs w:val="0"/>
          <w:color w:val="000000"/>
          <w:kern w:val="0"/>
          <w:sz w:val="32"/>
          <w:szCs w:val="32"/>
          <w:lang w:val="en-US" w:eastAsia="zh-CN"/>
        </w:rPr>
        <w:t>二</w:t>
      </w:r>
      <w:r>
        <w:rPr>
          <w:rFonts w:hint="eastAsia" w:ascii="仿宋" w:hAnsi="仿宋" w:eastAsia="仿宋" w:cs="仿宋"/>
          <w:b w:val="0"/>
          <w:bCs w:val="0"/>
          <w:color w:val="000000"/>
          <w:kern w:val="0"/>
          <w:sz w:val="32"/>
          <w:szCs w:val="32"/>
        </w:rPr>
        <w:t>、</w:t>
      </w:r>
      <w:r>
        <w:rPr>
          <w:rFonts w:hint="eastAsia" w:ascii="仿宋" w:hAnsi="仿宋" w:eastAsia="仿宋" w:cs="仿宋"/>
          <w:b w:val="0"/>
          <w:bCs w:val="0"/>
          <w:color w:val="000000"/>
          <w:kern w:val="0"/>
          <w:sz w:val="32"/>
          <w:szCs w:val="32"/>
          <w:lang w:val="en-US" w:eastAsia="zh-CN"/>
        </w:rPr>
        <w:t>关于</w:t>
      </w:r>
      <w:r>
        <w:rPr>
          <w:rFonts w:hint="eastAsia" w:ascii="仿宋" w:hAnsi="仿宋" w:eastAsia="仿宋" w:cs="仿宋"/>
          <w:b w:val="0"/>
          <w:bCs w:val="0"/>
          <w:color w:val="000000"/>
          <w:kern w:val="0"/>
          <w:sz w:val="32"/>
          <w:szCs w:val="32"/>
        </w:rPr>
        <w:t>政府采购支出说明</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十</w:t>
      </w:r>
      <w:r>
        <w:rPr>
          <w:rFonts w:hint="eastAsia" w:ascii="仿宋" w:hAnsi="仿宋" w:eastAsia="仿宋" w:cs="仿宋"/>
          <w:b w:val="0"/>
          <w:bCs w:val="0"/>
          <w:sz w:val="32"/>
          <w:szCs w:val="32"/>
          <w:lang w:val="en-US" w:eastAsia="zh-CN"/>
        </w:rPr>
        <w:t>三</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关于</w:t>
      </w:r>
      <w:r>
        <w:rPr>
          <w:rFonts w:hint="eastAsia" w:ascii="仿宋" w:hAnsi="仿宋" w:eastAsia="仿宋" w:cs="仿宋"/>
          <w:b w:val="0"/>
          <w:bCs w:val="0"/>
          <w:sz w:val="32"/>
          <w:szCs w:val="32"/>
        </w:rPr>
        <w:t>国有资产占用情况说明</w:t>
      </w:r>
    </w:p>
    <w:p>
      <w:pPr>
        <w:pStyle w:val="10"/>
        <w:spacing w:line="500" w:lineRule="exact"/>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十</w:t>
      </w:r>
      <w:r>
        <w:rPr>
          <w:rFonts w:hint="eastAsia" w:ascii="仿宋" w:hAnsi="仿宋" w:eastAsia="仿宋" w:cs="仿宋"/>
          <w:b w:val="0"/>
          <w:bCs w:val="0"/>
          <w:sz w:val="32"/>
          <w:szCs w:val="32"/>
          <w:lang w:val="en-US" w:eastAsia="zh-CN"/>
        </w:rPr>
        <w:t>四</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关于</w:t>
      </w:r>
      <w:r>
        <w:rPr>
          <w:rFonts w:hint="eastAsia" w:ascii="仿宋" w:hAnsi="仿宋" w:eastAsia="仿宋" w:cs="仿宋"/>
          <w:b w:val="0"/>
          <w:bCs w:val="0"/>
          <w:sz w:val="32"/>
          <w:szCs w:val="32"/>
        </w:rPr>
        <w:t>2021年度预算绩效情况</w:t>
      </w:r>
      <w:r>
        <w:rPr>
          <w:rFonts w:hint="eastAsia" w:ascii="仿宋" w:hAnsi="仿宋" w:eastAsia="仿宋" w:cs="仿宋"/>
          <w:b w:val="0"/>
          <w:bCs w:val="0"/>
          <w:sz w:val="32"/>
          <w:szCs w:val="32"/>
          <w:lang w:val="en-US" w:eastAsia="zh-CN"/>
        </w:rPr>
        <w:t>的</w:t>
      </w:r>
      <w:r>
        <w:rPr>
          <w:rFonts w:hint="eastAsia" w:ascii="仿宋" w:hAnsi="仿宋" w:eastAsia="仿宋" w:cs="仿宋"/>
          <w:b w:val="0"/>
          <w:bCs w:val="0"/>
          <w:sz w:val="32"/>
          <w:szCs w:val="32"/>
        </w:rPr>
        <w:t>说明</w:t>
      </w:r>
    </w:p>
    <w:p>
      <w:pPr>
        <w:pStyle w:val="10"/>
        <w:spacing w:line="500" w:lineRule="exact"/>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第四部分名词解释</w:t>
      </w:r>
    </w:p>
    <w:p>
      <w:pPr>
        <w:pStyle w:val="10"/>
        <w:spacing w:line="500" w:lineRule="exact"/>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第五部分附件</w:t>
      </w:r>
    </w:p>
    <w:p>
      <w:pPr>
        <w:ind w:left="420" w:leftChars="200" w:right="420" w:rightChars="200"/>
        <w:jc w:val="center"/>
        <w:rPr>
          <w:rFonts w:hint="eastAsia" w:ascii="仿宋" w:hAnsi="仿宋" w:eastAsia="仿宋" w:cs="仿宋"/>
          <w:b w:val="0"/>
          <w:bCs w:val="0"/>
          <w:sz w:val="32"/>
          <w:szCs w:val="32"/>
        </w:rPr>
      </w:pPr>
    </w:p>
    <w:p>
      <w:pPr>
        <w:ind w:left="420" w:leftChars="200" w:right="420" w:rightChars="200"/>
        <w:rPr>
          <w:rFonts w:hint="eastAsia" w:ascii="仿宋" w:hAnsi="仿宋" w:eastAsia="仿宋" w:cs="仿宋"/>
          <w:b w:val="0"/>
          <w:bCs w:val="0"/>
          <w:sz w:val="32"/>
          <w:szCs w:val="32"/>
        </w:rPr>
      </w:pPr>
    </w:p>
    <w:p>
      <w:pPr>
        <w:pStyle w:val="10"/>
        <w:ind w:left="420" w:leftChars="200" w:right="420" w:rightChars="200"/>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第一部分</w:t>
      </w:r>
    </w:p>
    <w:p>
      <w:pPr>
        <w:pStyle w:val="10"/>
        <w:ind w:left="420" w:leftChars="200" w:right="420" w:rightChars="200"/>
        <w:jc w:val="center"/>
        <w:rPr>
          <w:rFonts w:hint="eastAsia" w:ascii="仿宋" w:hAnsi="仿宋" w:eastAsia="仿宋" w:cs="仿宋"/>
          <w:b w:val="0"/>
          <w:bCs w:val="0"/>
          <w:sz w:val="32"/>
          <w:szCs w:val="32"/>
        </w:rPr>
      </w:pPr>
      <w:r>
        <w:rPr>
          <w:rFonts w:hint="eastAsia" w:ascii="黑体" w:hAnsi="黑体" w:eastAsia="黑体" w:cs="黑体"/>
          <w:b w:val="0"/>
          <w:bCs w:val="0"/>
          <w:sz w:val="44"/>
          <w:szCs w:val="44"/>
        </w:rPr>
        <w:t>中共怀化市委政法委员会单位概况</w:t>
      </w:r>
    </w:p>
    <w:p>
      <w:pPr>
        <w:pStyle w:val="11"/>
        <w:ind w:left="420" w:leftChars="200" w:right="420" w:rightChars="200" w:firstLine="0" w:firstLineChars="0"/>
        <w:jc w:val="left"/>
        <w:rPr>
          <w:rFonts w:hint="eastAsia" w:ascii="仿宋" w:hAnsi="仿宋" w:eastAsia="仿宋" w:cs="仿宋"/>
          <w:b w:val="0"/>
          <w:bCs w:val="0"/>
          <w:sz w:val="32"/>
          <w:szCs w:val="32"/>
        </w:rPr>
      </w:pPr>
    </w:p>
    <w:p>
      <w:pPr>
        <w:pStyle w:val="11"/>
        <w:numPr>
          <w:ilvl w:val="0"/>
          <w:numId w:val="0"/>
        </w:numPr>
        <w:ind w:left="1512" w:leftChars="504" w:right="420" w:rightChars="200" w:hanging="454" w:hangingChars="142"/>
        <w:jc w:val="left"/>
        <w:rPr>
          <w:rFonts w:hint="eastAsia" w:ascii="黑体" w:hAnsi="黑体" w:eastAsia="黑体" w:cs="黑体"/>
          <w:b w:val="0"/>
          <w:bCs w:val="0"/>
          <w:sz w:val="32"/>
          <w:szCs w:val="32"/>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rPr>
        <w:t>部门职责</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中共怀化市委政法委员会是市委工作机关，正处级，作为市委领导政法工作的职能部门，其主要职责是：</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（一）深入贯彻习近平新时代中国特色社会主义思想，深入贯彻党的路线方针政策和决策部署，统一政法各部门思想和行动，坚持党对政法工作的绝对领导，坚决维护党中央权威和集中统一领导。</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深入贯彻落实党中央、省委、市委决策，对全市政法工作研究提出全局性部署，推进平安怀化、法治怀化建设，加强过硬队伍建设，深化智能化建设，坚决维护国家政治安全、确保社会大局稳定、促进社会公平正义、保障人民安居乐业。</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（三）了解掌握和分析研判政法工作情况动态，分析社会稳定形势，创新完善多部门参与的综治维稳工作机制，协调推动预防、化解影响稳定的社会矛盾和风险，协调应对和处置重大突发事件。</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（四）加强对政法工作的督查，统筹协调社会治安综合治理、维护社会稳定、反邪教有关法律法规政策的实施工作。</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（五）组织开展政法领域的调查研究，研究拟定政法工作重要措施，及时向市委提出建议。</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（六）掌握分析政法舆情动态，指导协调政法部门媒体网络宣传工作，指导政法部门做好涉及政法工作的重大宣传工作。</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（七）监督和支持政法各部门依法行使职权，指导和协调政法各部门密切配合，研究和协调重大、疑难案件，推进严格执法、公正司法。</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（八）组织研究政法改革中带有方向性、倾向性和普遍性的重大问题，深化政法改革。</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（九）指导推动政法系统党的建设和政法队伍建设，代管市法学会。</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（十）完成市委和省委政法委员会交办的其他任务。</w:t>
      </w:r>
    </w:p>
    <w:p>
      <w:pPr>
        <w:pStyle w:val="11"/>
        <w:numPr>
          <w:ilvl w:val="0"/>
          <w:numId w:val="0"/>
        </w:numPr>
        <w:ind w:left="1512" w:leftChars="504" w:right="420" w:rightChars="200" w:hanging="454" w:hangingChars="142"/>
        <w:jc w:val="left"/>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二、机构设置及决算单位构成</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bCs/>
          <w:kern w:val="0"/>
          <w:sz w:val="32"/>
          <w:szCs w:val="32"/>
        </w:rPr>
        <w:t>（一）内设机构设置。</w:t>
      </w:r>
      <w:r>
        <w:rPr>
          <w:rFonts w:hint="eastAsia" w:ascii="仿宋" w:hAnsi="仿宋" w:eastAsia="仿宋" w:cs="仿宋"/>
          <w:b w:val="0"/>
          <w:bCs w:val="0"/>
          <w:kern w:val="0"/>
          <w:sz w:val="32"/>
          <w:szCs w:val="32"/>
        </w:rPr>
        <w:t>中共怀化市委政法委员会单位内设机构包括：办公室、政治部、政策研究室、政治安全科、维稳指导科、综治督导科（专项行动办公室）、基层社会治理科、反邪教协调科、执法监督科、法治科、宣传教育科、铁路护路联防科、机关党委13个行政科室，下设市社会治安综合治理中心、市法学会办公室两个正科级事业单位。</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r>
        <w:rPr>
          <w:rFonts w:hint="eastAsia" w:ascii="仿宋" w:hAnsi="仿宋" w:eastAsia="仿宋" w:cs="仿宋"/>
          <w:b/>
          <w:bCs/>
          <w:kern w:val="0"/>
          <w:sz w:val="32"/>
          <w:szCs w:val="32"/>
        </w:rPr>
        <w:t>（二）决算单位构成。</w:t>
      </w:r>
      <w:r>
        <w:rPr>
          <w:rFonts w:hint="eastAsia" w:ascii="仿宋" w:hAnsi="仿宋" w:eastAsia="仿宋" w:cs="仿宋"/>
          <w:b w:val="0"/>
          <w:bCs w:val="0"/>
          <w:kern w:val="0"/>
          <w:sz w:val="32"/>
          <w:szCs w:val="32"/>
        </w:rPr>
        <w:t>中共怀化市委政法委员会单位2021年部门决算汇总公开单位构成包括：中共怀化市委政法委员会单位本级。</w:t>
      </w:r>
    </w:p>
    <w:p>
      <w:pPr>
        <w:widowControl/>
        <w:spacing w:line="600" w:lineRule="exact"/>
        <w:ind w:left="420" w:leftChars="200" w:right="420" w:rightChars="200" w:firstLine="640" w:firstLineChars="200"/>
        <w:rPr>
          <w:rFonts w:hint="eastAsia" w:ascii="仿宋" w:hAnsi="仿宋" w:eastAsia="仿宋" w:cs="仿宋"/>
          <w:b w:val="0"/>
          <w:bCs w:val="0"/>
          <w:kern w:val="0"/>
          <w:sz w:val="32"/>
          <w:szCs w:val="32"/>
        </w:rPr>
      </w:pPr>
    </w:p>
    <w:p>
      <w:pPr>
        <w:ind w:left="420" w:leftChars="200" w:right="420" w:rightChars="200"/>
        <w:jc w:val="center"/>
        <w:rPr>
          <w:rFonts w:hint="eastAsia" w:ascii="仿宋" w:hAnsi="仿宋" w:eastAsia="仿宋" w:cs="仿宋"/>
          <w:b w:val="0"/>
          <w:bCs w:val="0"/>
          <w:sz w:val="32"/>
          <w:szCs w:val="32"/>
        </w:rPr>
      </w:pPr>
    </w:p>
    <w:p>
      <w:pPr>
        <w:numPr>
          <w:ilvl w:val="0"/>
          <w:numId w:val="0"/>
        </w:numPr>
        <w:ind w:left="420" w:leftChars="200" w:right="420" w:rightChars="200"/>
        <w:jc w:val="center"/>
        <w:rPr>
          <w:rFonts w:hint="eastAsia" w:ascii="黑体" w:hAnsi="黑体" w:eastAsia="黑体" w:cs="黑体"/>
          <w:b/>
          <w:bCs/>
          <w:sz w:val="44"/>
          <w:szCs w:val="44"/>
        </w:rPr>
      </w:pPr>
      <w:r>
        <w:rPr>
          <w:rFonts w:hint="eastAsia" w:ascii="黑体" w:hAnsi="黑体" w:eastAsia="黑体" w:cs="黑体"/>
          <w:b/>
          <w:bCs/>
          <w:kern w:val="2"/>
          <w:sz w:val="44"/>
          <w:szCs w:val="44"/>
          <w:lang w:val="en-US" w:eastAsia="zh-CN" w:bidi="ar-SA"/>
        </w:rPr>
        <w:t xml:space="preserve">第二部分 </w:t>
      </w:r>
      <w:r>
        <w:rPr>
          <w:rFonts w:hint="eastAsia" w:ascii="黑体" w:hAnsi="黑体" w:eastAsia="黑体" w:cs="黑体"/>
          <w:b/>
          <w:bCs/>
          <w:sz w:val="44"/>
          <w:szCs w:val="44"/>
        </w:rPr>
        <w:t>部门决算表</w:t>
      </w:r>
    </w:p>
    <w:p>
      <w:pPr>
        <w:numPr>
          <w:ilvl w:val="0"/>
          <w:numId w:val="0"/>
        </w:numPr>
        <w:ind w:right="420" w:rightChars="200"/>
        <w:jc w:val="center"/>
        <w:rPr>
          <w:rFonts w:hint="eastAsia" w:ascii="仿宋" w:hAnsi="仿宋" w:eastAsia="仿宋" w:cs="仿宋"/>
          <w:b w:val="0"/>
          <w:bCs w:val="0"/>
          <w:sz w:val="32"/>
          <w:szCs w:val="32"/>
        </w:rPr>
      </w:pP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共9张决算表，包括：收支总表3张，即：《收入支出决算总表》《收入决算表》《支出决算表》；财政拨款收支表6张，即《财政拨款收入支出决算总表》《一般公共预算财政拨款支出决算表》《一般公共预算财政拨款基本支出决算表》《一般公共预算财政拨款“三公”经费支出决算表》《政府性基金预算财政拨款收入支出决算表》《国有资本经营预算财政拨款支出决算表》。（公开表格附后）</w:t>
      </w:r>
    </w:p>
    <w:p>
      <w:pPr>
        <w:pStyle w:val="10"/>
        <w:ind w:left="420" w:leftChars="200" w:right="420" w:rightChars="200"/>
        <w:jc w:val="center"/>
        <w:rPr>
          <w:rFonts w:hint="eastAsia" w:ascii="仿宋" w:hAnsi="仿宋" w:eastAsia="仿宋" w:cs="仿宋"/>
          <w:b w:val="0"/>
          <w:bCs w:val="0"/>
          <w:sz w:val="32"/>
          <w:szCs w:val="32"/>
        </w:rPr>
      </w:pPr>
    </w:p>
    <w:p>
      <w:pPr>
        <w:pStyle w:val="10"/>
        <w:ind w:left="420" w:leftChars="200" w:right="420" w:rightChars="200"/>
        <w:jc w:val="center"/>
        <w:rPr>
          <w:rFonts w:hint="eastAsia" w:ascii="仿宋" w:hAnsi="仿宋" w:eastAsia="仿宋" w:cs="仿宋"/>
          <w:b w:val="0"/>
          <w:bCs w:val="0"/>
          <w:sz w:val="32"/>
          <w:szCs w:val="32"/>
        </w:rPr>
      </w:pPr>
    </w:p>
    <w:p>
      <w:pPr>
        <w:pStyle w:val="10"/>
        <w:ind w:left="420" w:leftChars="200" w:right="420" w:rightChars="200"/>
        <w:jc w:val="center"/>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widowControl/>
        <w:ind w:right="420" w:rightChars="200"/>
        <w:jc w:val="left"/>
        <w:rPr>
          <w:rFonts w:hint="eastAsia" w:ascii="仿宋" w:hAnsi="仿宋" w:eastAsia="仿宋" w:cs="仿宋"/>
          <w:b w:val="0"/>
          <w:bCs w:val="0"/>
          <w:sz w:val="32"/>
          <w:szCs w:val="32"/>
        </w:rPr>
      </w:pP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一、收入支出决算总体情况说明</w:t>
      </w: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w:t>
      </w:r>
      <w:r>
        <w:rPr>
          <w:rFonts w:hint="eastAsia" w:ascii="仿宋" w:hAnsi="仿宋" w:eastAsia="仿宋" w:cs="仿宋"/>
          <w:b w:val="0"/>
          <w:bCs w:val="0"/>
          <w:color w:val="auto"/>
          <w:sz w:val="32"/>
          <w:szCs w:val="32"/>
        </w:rPr>
        <w:t>收、支</w:t>
      </w:r>
      <w:r>
        <w:rPr>
          <w:rFonts w:hint="eastAsia" w:ascii="仿宋" w:hAnsi="仿宋" w:eastAsia="仿宋" w:cs="仿宋"/>
          <w:b w:val="0"/>
          <w:bCs w:val="0"/>
          <w:sz w:val="32"/>
          <w:szCs w:val="32"/>
        </w:rPr>
        <w:t>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1,339.93万元。与上年相比，减少87.45万元，减少6.13%，主要是因为2021年较上年结转资金小，收支总计也小。</w:t>
      </w:r>
    </w:p>
    <w:p>
      <w:pPr>
        <w:pStyle w:val="10"/>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二、收入决算情况说明</w:t>
      </w: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2021年度收入合计1,316.93万元，其中：财政拨款收入1,316.93万元，占100%；上级补助收入0万元，占0%；事业收入0万元，占0%；经营收入0万元，占0%；附属单位上缴收入0万元，占0%；其他收入0万元，占0%。</w:t>
      </w:r>
    </w:p>
    <w:p>
      <w:pPr>
        <w:pStyle w:val="10"/>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三、支出决算情况说明</w:t>
      </w: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2021年度支出合计1,339.93万元，其中：基本支出925.07万元，占69.04%；项目支出414.86万元，占30.96%；上缴上级支出0万元，占0%；经营支出0万元，占0%；对附属单位补助支出0万元，占0%。</w:t>
      </w:r>
    </w:p>
    <w:p>
      <w:pPr>
        <w:pStyle w:val="10"/>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四、财政拨款收入支出决算总体情况说明</w:t>
      </w: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2021年度财政拨款收、支总计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1,339.93万元，与上年相比，减少87.45万元,减少6.13%，主要是因为2021年较上年结转资金小，收支总计也小。</w:t>
      </w:r>
    </w:p>
    <w:p>
      <w:pPr>
        <w:pStyle w:val="10"/>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五、一般公共预算财政拨款支出决算情况说明</w:t>
      </w:r>
    </w:p>
    <w:p>
      <w:pPr>
        <w:pStyle w:val="10"/>
        <w:ind w:left="420" w:leftChars="200" w:right="420" w:rightChars="200" w:firstLine="640" w:firstLineChars="200"/>
        <w:rPr>
          <w:rFonts w:hint="eastAsia" w:ascii="仿宋" w:hAnsi="仿宋" w:eastAsia="仿宋" w:cs="仿宋"/>
          <w:b/>
          <w:bCs/>
          <w:sz w:val="32"/>
          <w:szCs w:val="32"/>
        </w:rPr>
      </w:pPr>
      <w:r>
        <w:rPr>
          <w:rFonts w:hint="eastAsia" w:ascii="仿宋" w:hAnsi="仿宋" w:eastAsia="仿宋" w:cs="仿宋"/>
          <w:b/>
          <w:bCs/>
          <w:sz w:val="32"/>
          <w:szCs w:val="32"/>
        </w:rPr>
        <w:t>（一）财政拨款支出决算总体情况</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2021年度财政拨款支出1,339.93万元，占本年支出合计的100%，与上年相比，财政拨款支出减少12.39万元，减少0.92%，主要是因为压减经费开支。</w:t>
      </w:r>
    </w:p>
    <w:p>
      <w:pPr>
        <w:pStyle w:val="10"/>
        <w:ind w:left="420" w:leftChars="200" w:right="420" w:rightChars="200" w:firstLine="480" w:firstLineChars="150"/>
        <w:rPr>
          <w:rFonts w:hint="eastAsia" w:ascii="仿宋" w:hAnsi="仿宋" w:eastAsia="仿宋" w:cs="仿宋"/>
          <w:b/>
          <w:bCs/>
          <w:sz w:val="32"/>
          <w:szCs w:val="32"/>
        </w:rPr>
      </w:pPr>
      <w:r>
        <w:rPr>
          <w:rFonts w:hint="eastAsia" w:ascii="仿宋" w:hAnsi="仿宋" w:eastAsia="仿宋" w:cs="仿宋"/>
          <w:b/>
          <w:bCs/>
          <w:sz w:val="32"/>
          <w:szCs w:val="32"/>
        </w:rPr>
        <w:t>（二）财政拨款支出决算结构情况</w:t>
      </w:r>
    </w:p>
    <w:p>
      <w:pPr>
        <w:pStyle w:val="10"/>
        <w:ind w:left="420" w:leftChars="200"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1,339.93万元，主要用于以下方面：一般公共服务（类）支出1,089.48万元，占81.31%；公共安全（类）支出118.43万元，占8.84%;社会保障和就业（类）支出99.18万元，占7.40%；卫生健康（类）支出32.84万元，占2.45%。</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bCs/>
          <w:sz w:val="32"/>
          <w:szCs w:val="32"/>
        </w:rPr>
        <w:t>（三）财政拨款支出决算具体情况</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2021年度财政拨款支出年初预算数为895.46万元，支出决算数为1,339.93万元，完成年初预算的149.64%，其中：</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1、一般公共服务支出（类）党委办公厅（室）及相关机构事务（款）行政运行（项）。</w:t>
      </w:r>
    </w:p>
    <w:p>
      <w:pPr>
        <w:pStyle w:val="10"/>
        <w:ind w:left="420" w:leftChars="200" w:right="420" w:rightChars="200" w:firstLine="800" w:firstLineChars="25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年初预算为542.25万元，支出决算为761.75万元，完成年初预算的140.48%，决算数大于年初预算数的主要原因是：工资等人员经费由财政统筹预算。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2、一般公共服务支出（类）党委办公厅（室）及相关机构事务（款）专项业务（项）。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年初预算为300.85万元，支出决算为236.43万元，完成年初预算的78.59%，决算数小于年初预算数的主要原因是：部分项目经费实际下达至其他科目。</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3、一般公共服务支出（类）党委办公厅（室）及相关机构事务（款）其他党委办公厅（室）及相关机构事务支出（项）。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年初预算为0万元，支出决算为28.10万元，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决算数大于年初预算数的主要原因是：追加预算政法队伍教育整顿经费。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4、一般公共服务支出（类）组织事务（款）其他组织事务支出（项）。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年初预算为0万元，支出决算为3.2</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r>
        <w:rPr>
          <w:rFonts w:hint="eastAsia" w:ascii="仿宋" w:hAnsi="仿宋" w:eastAsia="仿宋" w:cs="仿宋"/>
          <w:b w:val="0"/>
          <w:bCs w:val="0"/>
          <w:color w:val="000000" w:themeColor="text1"/>
          <w:sz w:val="32"/>
          <w:szCs w:val="32"/>
        </w:rPr>
        <w:t>，</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决算数大于年初预算数的主要原因是：引进人才2021年度补贴，由财政统筹预算。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5、一般公共服务支出（类）其他一般公共服务支出（款）其他一般公共服务支出（项）。</w:t>
      </w:r>
    </w:p>
    <w:p>
      <w:pPr>
        <w:pStyle w:val="10"/>
        <w:ind w:left="420" w:leftChars="200" w:right="420" w:rightChars="200" w:firstLine="800" w:firstLineChars="250"/>
        <w:rPr>
          <w:rFonts w:hint="eastAsia" w:ascii="仿宋" w:hAnsi="仿宋" w:eastAsia="仿宋" w:cs="仿宋"/>
          <w:b w:val="0"/>
          <w:bCs w:val="0"/>
          <w:sz w:val="32"/>
          <w:szCs w:val="32"/>
          <w:highlight w:val="yellow"/>
        </w:rPr>
      </w:pPr>
      <w:r>
        <w:rPr>
          <w:rFonts w:hint="eastAsia" w:ascii="仿宋" w:hAnsi="仿宋" w:eastAsia="仿宋" w:cs="仿宋"/>
          <w:b w:val="0"/>
          <w:bCs w:val="0"/>
          <w:sz w:val="32"/>
          <w:szCs w:val="32"/>
        </w:rPr>
        <w:t>年初预算为0万元，支出决算为60.00万元，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决算数大于年初预算数的主要原因是：平安怀化建设经费，由财政统筹预算。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6、公共安全支出（类）公安（款）其他公安支出（项）。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年初预算为0万元，支出决算为48.57万元，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决算数大于年初预算数的主要原因是：扫黑除恶专项，由财政统筹预算。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7、公共安全支出（类）司法（款）一般行政管理事务（项）。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年初预算为0万元，支出决算为69.86万元，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决算数大于年初预算数的主要原因是：省委政法委下拨2020年度全省综治工作考评奖励经费、教育转化培训费2</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万元，教育转化工作经费15</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万元，“关爱之家”改造引导经费10</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万元，维稳工作经费20</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8、社会保障和就业支出（类）行政事业单位养老支出（款）行政单位离退休（项）。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年初预算为47.27万元，支出决算为7.84万元，完成年初预算的16.59%，决算数小于年初预算数的主要原因是：提前退休人员工资下达至行政运行。</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9、社会保障和就业支出（类）社会保障和就业支出（款）机关事业单位基本养老保险缴费支出（项）。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年初预算为0万元，支出决算为65.68万元，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决算数大于年初预算数的主要原因是：单位养老保险由财政统筹预算。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10、社会保障和就业支出（类）社会保障和就业支出（款）其他行政事业单位养老支出（项）。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年初预算为0万元，支出决算为25.67万元，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决算数大于年初预算数的主要原因是：离退休人员春节一次性生活补助，由财政统筹预算。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11、卫生健康支出（类）行政事业单位医疗（款）行政单位医疗（项）。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年初预算为0万元，支出决算为32.25万元，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决算数大于年初预算数的主要原因是：单位医疗保险由财政统筹预算。</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12、卫生健康支出（类）行政事业单位医疗（款）其他行政事业单位医疗支出（项）。</w:t>
      </w:r>
    </w:p>
    <w:p>
      <w:pPr>
        <w:pStyle w:val="10"/>
        <w:ind w:left="420" w:leftChars="200" w:right="420" w:rightChars="200"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年初预算为0万元，支出决算为0.59万元，</w:t>
      </w:r>
      <w:r>
        <w:rPr>
          <w:rFonts w:hint="eastAsia" w:ascii="仿宋" w:hAnsi="仿宋" w:eastAsia="仿宋" w:cs="仿宋"/>
          <w:color w:val="000000" w:themeColor="text1"/>
          <w:sz w:val="32"/>
          <w:szCs w:val="32"/>
          <w:lang w:val="en-US" w:eastAsia="zh-CN"/>
        </w:rPr>
        <w:t>无法计算完成比例,</w:t>
      </w:r>
      <w:r>
        <w:rPr>
          <w:rFonts w:hint="eastAsia" w:ascii="仿宋" w:hAnsi="仿宋" w:eastAsia="仿宋" w:cs="仿宋"/>
          <w:b w:val="0"/>
          <w:bCs w:val="0"/>
          <w:sz w:val="32"/>
          <w:szCs w:val="32"/>
        </w:rPr>
        <w:t>决算数大于年初预算数的主要原因是：单位医疗保险由财政统筹预算。</w:t>
      </w:r>
    </w:p>
    <w:p>
      <w:pPr>
        <w:pStyle w:val="10"/>
        <w:ind w:left="420" w:leftChars="200"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六、一般公共预算财政拨款基本支出决算情况说明</w:t>
      </w:r>
    </w:p>
    <w:p>
      <w:pPr>
        <w:pStyle w:val="10"/>
        <w:ind w:left="420" w:leftChars="200" w:right="420" w:rightChars="200" w:firstLine="640" w:firstLineChars="200"/>
        <w:rPr>
          <w:rFonts w:hint="eastAsia" w:ascii="仿宋" w:hAnsi="仿宋" w:eastAsia="仿宋" w:cs="仿宋"/>
          <w:b w:val="0"/>
          <w:bCs w:val="0"/>
          <w:i/>
          <w:color w:val="FF0000"/>
          <w:sz w:val="32"/>
          <w:szCs w:val="32"/>
        </w:rPr>
      </w:pPr>
      <w:r>
        <w:rPr>
          <w:rFonts w:hint="eastAsia" w:ascii="仿宋" w:hAnsi="仿宋" w:eastAsia="仿宋" w:cs="仿宋"/>
          <w:b w:val="0"/>
          <w:bCs w:val="0"/>
          <w:sz w:val="32"/>
          <w:szCs w:val="32"/>
        </w:rPr>
        <w:t>2021年度财政拨款基本支出925.07万元，其中：人员经费774.35万元，占基本支出的83.71%,主要包括基本工资、津贴补贴、奖金、伙食补助费、机关事业单位基本养老保险缴费、职工基本医疗保险缴费、其他社会保障缴费、生活补助、奖励金、其他对个人和家庭的补助；公用经费150.72万元，占基本支出的16.29%，主要包括办公费、邮电费、差旅费、培训费、公务接待费、劳务费、工会经费、公务用车运行维护费、其他交通费用、其他商品和服务支出、办公设备购置、其他资本性支出。</w:t>
      </w:r>
    </w:p>
    <w:p>
      <w:pPr>
        <w:pStyle w:val="10"/>
        <w:ind w:right="420" w:rightChars="200"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七、一般公共预算财政拨款“三公”经费支出决算情况说明</w:t>
      </w:r>
    </w:p>
    <w:p>
      <w:pPr>
        <w:pStyle w:val="10"/>
        <w:ind w:left="420" w:leftChars="200" w:right="420" w:rightChars="200"/>
        <w:rPr>
          <w:rFonts w:hint="eastAsia" w:ascii="仿宋" w:hAnsi="仿宋" w:eastAsia="仿宋" w:cs="仿宋"/>
          <w:b/>
          <w:bCs/>
          <w:sz w:val="32"/>
          <w:szCs w:val="32"/>
        </w:rPr>
      </w:pPr>
      <w:r>
        <w:rPr>
          <w:rFonts w:hint="eastAsia" w:ascii="仿宋" w:hAnsi="仿宋" w:eastAsia="仿宋" w:cs="仿宋"/>
          <w:b/>
          <w:bCs/>
          <w:sz w:val="32"/>
          <w:szCs w:val="32"/>
        </w:rPr>
        <w:t>（一）“三公”经费财政拨款支出决算总体情况说明</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2021年度“三公”经费财政拨款支出预算为27.72万元，支出决算为17.65万元，完成预算的63.67%，其中：</w:t>
      </w:r>
    </w:p>
    <w:p>
      <w:pPr>
        <w:pStyle w:val="10"/>
        <w:numPr>
          <w:ilvl w:val="0"/>
          <w:numId w:val="0"/>
        </w:numPr>
        <w:ind w:firstLine="800" w:firstLineChars="250"/>
        <w:rPr>
          <w:rFonts w:hint="eastAsia" w:ascii="仿宋" w:hAnsi="仿宋" w:eastAsia="仿宋" w:cs="仿宋"/>
          <w:color w:val="FF0000"/>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因公出国（境）费支出预算为0万元，支出决算为0万元，决算数等于预算数，与上年一致</w:t>
      </w:r>
      <w:r>
        <w:rPr>
          <w:rFonts w:hint="eastAsia" w:ascii="仿宋" w:hAnsi="仿宋" w:eastAsia="仿宋" w:cs="仿宋"/>
          <w:b w:val="0"/>
          <w:bCs w:val="0"/>
          <w:sz w:val="32"/>
          <w:szCs w:val="32"/>
          <w:lang w:val="en-US" w:eastAsia="zh-CN"/>
        </w:rPr>
        <w:t>,</w:t>
      </w:r>
      <w:r>
        <w:rPr>
          <w:rFonts w:hint="eastAsia" w:ascii="仿宋" w:hAnsi="仿宋" w:eastAsia="仿宋" w:cs="仿宋"/>
          <w:color w:val="000000" w:themeColor="text1"/>
          <w:sz w:val="32"/>
          <w:szCs w:val="32"/>
          <w:lang w:eastAsia="zh-CN"/>
        </w:rPr>
        <w:t>决算数与年初预算数持平，主要原因按预算执行，与上年数持平，主要原因本年度未安排因公出国(境)。</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公务接待费支出预算为12.6</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万元，支出决算为3.66万元，完成预算的29.03%，决算数小于预算数的主要原因是厉行节约，严格控制经费支出，与上年相比减少1.36万元，减少27.15%,减少的主要原因是厉行节约，严格控制经费支。</w:t>
      </w:r>
    </w:p>
    <w:p>
      <w:pPr>
        <w:pStyle w:val="10"/>
        <w:ind w:firstLine="640" w:firstLineChars="200"/>
        <w:rPr>
          <w:rFonts w:hint="eastAsia" w:ascii="仿宋" w:hAnsi="仿宋" w:eastAsia="仿宋" w:cs="仿宋"/>
          <w:color w:val="000000" w:themeColor="text1"/>
          <w:sz w:val="32"/>
          <w:szCs w:val="32"/>
          <w:lang w:eastAsia="zh-CN"/>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公务用车购置费支出预算为0万元，支出决算为0万元，</w:t>
      </w:r>
      <w:r>
        <w:rPr>
          <w:rFonts w:hint="eastAsia" w:ascii="仿宋" w:hAnsi="仿宋" w:eastAsia="仿宋" w:cs="仿宋"/>
          <w:color w:val="000000" w:themeColor="text1"/>
          <w:sz w:val="32"/>
          <w:szCs w:val="32"/>
        </w:rPr>
        <w:t>决算数与年初预算数持平主要原因按预算执行，与上年数持平，</w:t>
      </w:r>
      <w:r>
        <w:rPr>
          <w:rFonts w:hint="eastAsia" w:ascii="仿宋" w:hAnsi="仿宋" w:eastAsia="仿宋" w:cs="仿宋"/>
          <w:color w:val="000000" w:themeColor="text1"/>
          <w:sz w:val="32"/>
          <w:szCs w:val="32"/>
          <w:lang w:val="en-US" w:eastAsia="zh-CN"/>
        </w:rPr>
        <w:t>主要原因是厉行节约，</w:t>
      </w:r>
      <w:r>
        <w:rPr>
          <w:rFonts w:hint="eastAsia" w:ascii="仿宋" w:hAnsi="仿宋" w:eastAsia="仿宋" w:cs="仿宋"/>
          <w:color w:val="000000" w:themeColor="text1"/>
          <w:sz w:val="32"/>
          <w:szCs w:val="32"/>
        </w:rPr>
        <w:t>减少开支</w:t>
      </w:r>
      <w:r>
        <w:rPr>
          <w:rFonts w:hint="eastAsia" w:ascii="仿宋" w:hAnsi="仿宋" w:eastAsia="仿宋" w:cs="仿宋"/>
          <w:color w:val="000000" w:themeColor="text1"/>
          <w:sz w:val="32"/>
          <w:szCs w:val="32"/>
          <w:lang w:eastAsia="zh-CN"/>
        </w:rPr>
        <w:t>。</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公务用车运行维护费支出预算为15.12万元，支出决算为13.99万元，完成预算的92.54%，决算数小于预算数的主要原因是厉行节约，严格控制经费支，与上年相比减少3.70万元，减少20.90%,减少的主要原因是厉行节约，严格控制经费支。</w:t>
      </w:r>
    </w:p>
    <w:p>
      <w:pPr>
        <w:pStyle w:val="10"/>
        <w:ind w:left="420" w:leftChars="200" w:right="420" w:rightChars="200"/>
        <w:rPr>
          <w:rFonts w:hint="eastAsia" w:ascii="仿宋" w:hAnsi="仿宋" w:eastAsia="仿宋" w:cs="仿宋"/>
          <w:b/>
          <w:bCs/>
          <w:sz w:val="32"/>
          <w:szCs w:val="32"/>
        </w:rPr>
      </w:pPr>
      <w:r>
        <w:rPr>
          <w:rFonts w:hint="eastAsia" w:ascii="仿宋" w:hAnsi="仿宋" w:eastAsia="仿宋" w:cs="仿宋"/>
          <w:b/>
          <w:bCs/>
          <w:sz w:val="32"/>
          <w:szCs w:val="32"/>
        </w:rPr>
        <w:t>（二）“三公”经费财政拨款支出决算具体情况说明</w:t>
      </w:r>
    </w:p>
    <w:p>
      <w:pPr>
        <w:pStyle w:val="10"/>
        <w:keepNext w:val="0"/>
        <w:keepLines w:val="0"/>
        <w:pageBreakBefore w:val="0"/>
        <w:widowControl w:val="0"/>
        <w:kinsoku/>
        <w:wordWrap/>
        <w:overflowPunct/>
        <w:topLinePunct w:val="0"/>
        <w:autoSpaceDE w:val="0"/>
        <w:autoSpaceDN w:val="0"/>
        <w:bidi w:val="0"/>
        <w:adjustRightInd w:val="0"/>
        <w:snapToGrid/>
        <w:ind w:right="420" w:rightChars="20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2021年度“三公”经费财政拨款支出决算中，公务接待费支出决算3.66万元，占20.72%,因公出国（境）费支出决算0万元，占0%,公务用车购置费及运行维护费支出决算13.99万元，占79.28%。其中：</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ind w:right="420" w:rightChars="20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1、因公出国（境）费支出决算为0万元，全年未安排因公出国（境）。</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ind w:right="420" w:rightChars="20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2、公务接待费支出决算为3.66万元，全年共接待来访团组61个、来宾364人次，主要是对接工作等发生的接待支出。</w:t>
      </w:r>
    </w:p>
    <w:p>
      <w:pPr>
        <w:pStyle w:val="10"/>
        <w:keepNext w:val="0"/>
        <w:keepLines w:val="0"/>
        <w:pageBreakBefore w:val="0"/>
        <w:widowControl w:val="0"/>
        <w:kinsoku/>
        <w:wordWrap/>
        <w:overflowPunct/>
        <w:topLinePunct w:val="0"/>
        <w:autoSpaceDE w:val="0"/>
        <w:autoSpaceDN w:val="0"/>
        <w:bidi w:val="0"/>
        <w:adjustRightInd w:val="0"/>
        <w:snapToGrid/>
        <w:ind w:right="420" w:rightChars="20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公务用车购置费及运行维护费支出决算为13.99万元，其中：公务用车购置费0万元，中共怀化市委政法委员会未更新公务用车。公务用车运行维护费13.99万元，主要是燃油费、过路费、保险费等支出，截止2021年12月31日，我单位开支财政拨款的公务用车保有量为5辆。</w:t>
      </w:r>
    </w:p>
    <w:p>
      <w:pPr>
        <w:pStyle w:val="10"/>
        <w:ind w:right="420" w:rightChars="20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八、政府性基金预算收入支出决算情况</w:t>
      </w:r>
    </w:p>
    <w:p>
      <w:pPr>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本单位无政府性基金收支</w:t>
      </w:r>
    </w:p>
    <w:p>
      <w:pPr>
        <w:pStyle w:val="10"/>
        <w:ind w:right="420" w:rightChars="20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九、国有资本经营预算财政拨款支出</w:t>
      </w:r>
      <w:r>
        <w:rPr>
          <w:rFonts w:hint="eastAsia" w:ascii="黑体" w:hAnsi="黑体" w:eastAsia="黑体" w:cs="黑体"/>
          <w:b w:val="0"/>
          <w:bCs w:val="0"/>
          <w:sz w:val="32"/>
          <w:szCs w:val="32"/>
        </w:rPr>
        <w:t>决算情况</w:t>
      </w:r>
      <w:r>
        <w:rPr>
          <w:rFonts w:hint="eastAsia" w:ascii="黑体" w:hAnsi="黑体" w:eastAsia="黑体" w:cs="黑体"/>
          <w:b w:val="0"/>
          <w:bCs w:val="0"/>
          <w:sz w:val="32"/>
          <w:szCs w:val="32"/>
          <w:lang w:val="en-US" w:eastAsia="zh-CN"/>
        </w:rPr>
        <w:t>说明</w:t>
      </w:r>
    </w:p>
    <w:p>
      <w:pPr>
        <w:keepNext w:val="0"/>
        <w:keepLines w:val="0"/>
        <w:pageBreakBefore w:val="0"/>
        <w:widowControl w:val="0"/>
        <w:kinsoku/>
        <w:wordWrap/>
        <w:overflowPunct/>
        <w:topLinePunct w:val="0"/>
        <w:autoSpaceDE/>
        <w:autoSpaceDN/>
        <w:bidi w:val="0"/>
        <w:adjustRightInd/>
        <w:snapToGrid/>
        <w:ind w:right="420" w:rightChars="20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本单位无</w:t>
      </w:r>
      <w:r>
        <w:rPr>
          <w:rFonts w:hint="eastAsia" w:ascii="仿宋" w:hAnsi="仿宋" w:eastAsia="仿宋" w:cs="仿宋"/>
          <w:b w:val="0"/>
          <w:bCs w:val="0"/>
          <w:sz w:val="32"/>
          <w:szCs w:val="32"/>
          <w:lang w:val="en-US" w:eastAsia="zh-CN"/>
        </w:rPr>
        <w:t>国有资本经营预算财政拨款支出</w:t>
      </w:r>
    </w:p>
    <w:p>
      <w:pPr>
        <w:pStyle w:val="10"/>
        <w:ind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十、机关运行经费支出说明</w:t>
      </w:r>
    </w:p>
    <w:p>
      <w:pPr>
        <w:keepNext w:val="0"/>
        <w:keepLines w:val="0"/>
        <w:pageBreakBefore w:val="0"/>
        <w:widowControl w:val="0"/>
        <w:kinsoku/>
        <w:wordWrap/>
        <w:overflowPunct/>
        <w:topLinePunct w:val="0"/>
        <w:autoSpaceDE/>
        <w:autoSpaceDN/>
        <w:bidi w:val="0"/>
        <w:adjustRightInd/>
        <w:snapToGrid/>
        <w:ind w:right="420" w:rightChars="20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本部门2021年度机关运行经费支出150.72万元，比上年决算数减少253.56万元，降低62.72%。主要原因是：专项业务工作经费放入项目支出。</w:t>
      </w:r>
    </w:p>
    <w:p>
      <w:pPr>
        <w:pStyle w:val="10"/>
        <w:ind w:right="420" w:rightChars="200"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、一般性支出情况说明</w:t>
      </w:r>
    </w:p>
    <w:p>
      <w:pPr>
        <w:keepNext w:val="0"/>
        <w:keepLines w:val="0"/>
        <w:pageBreakBefore w:val="0"/>
        <w:widowControl w:val="0"/>
        <w:kinsoku/>
        <w:wordWrap/>
        <w:overflowPunct/>
        <w:topLinePunct w:val="0"/>
        <w:autoSpaceDE/>
        <w:autoSpaceDN/>
        <w:bidi w:val="0"/>
        <w:adjustRightInd/>
        <w:snapToGrid/>
        <w:ind w:right="420" w:rightChars="20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本部门开支会议费0.43万元，用于召开全省庆祝建党100周年安保信访维稳电视电话会议，人数84人，内容为庆祝建党100周年安保信访维稳；开支会议费0.06万元，用于召开省教育转化抽查组座谈会暨全市教育转化工作座谈会会议，人数20人，内容为省教育转化抽查组座谈会暨全市教育转化工作座谈会；开支会议费0.18万元，用于召开政法队伍教育整顿动员部署会，人数53人，内容为政法队伍教育整顿动员部署会；开支会议费0.46万元，用于召开全市庆祝建党100周年安保信访维稳电视电话会议，人数190人，内容为全市庆祝建党100周年安保信访维稳电视电话会；开支会议费0.21万元，用于召开机关委员会、机关纪律检查委员会换届选举党员大会，人数59人，内容为机关委员会、机关纪律检查委员会换届选举；开支会议费0.38万元，用于召开全省维护社会安全稳定督导考核怀化汇报反馈会，人数30人，内容为全省维护社会安全稳定督导考核怀化汇报反馈会；开支会议费0.20万元，用于召开全市政法队伍教育整顿推进会暨政法工作专题会议，人数80人，内容为全市政法队伍教育整顿推进会暨政法工作专题会议；开支会议费0.42万元，用于召开全省扫黑除恶专项斗争总结表彰大会（怀化分会场），人数65人，内容为全省扫黑除恶专项斗争总结表彰大会；开支会议费0.41万元，用于召开全省政法队伍教育整顿动员部署会议，人数53人，内容为全省政法队伍教育整顿动员部署会议；开支会议费0.43万元，用于召开省委政法工作电视电话会议，人数105人，内容为省委政法工作电视电话会议；开支会议费0.44万元，用于召开市扫黑除恶斗争领导小组第一次会议暨重点行业领域整治工作推进会，人数55人，内容为市扫黑除恶斗争领导小组第一次会议暨重点行业领域整治工作推进；开支会议费0.44万元，用于召开省扫黑除恶专项斗争领导小组第一次（扩大）会议，人数90人，内容为省扫黑除恶专项斗争领导小组第一次（扩大）会议；开支会议费0.42万元，用于召开第二次全国市域社会治理现代化试点工作交流会，人数45人，内容为第二次全国市域社会治理现代化试点工作交流；开支会议费0.48万元，用于召开省第十二次党代会安保和信访维稳工作电视电话会，人数45人，内容为省第十二次党代会安保和信访维稳工作电视电话会；开支会议费0.43万元，用于召开全省涉法涉诉信访工作推进会，人数24人，内容为全省涉法涉诉信访工作推进会；开支会议费0.49万元，用于召开2021年度反邪教工作考核验收和专题调研检查，人数45人，内容为2021年度反邪教工作考核验收和专题调研检查。开支培训费1.29万元，用于开展“通道转兵”号百趟红色专列活动培训，人数65人，内容为“通道转兵”号百趟红色专列活动培训。举办节庆、晚会、论坛、赛事活动，开支0万元。</w:t>
      </w:r>
    </w:p>
    <w:p>
      <w:pPr>
        <w:pStyle w:val="10"/>
        <w:ind w:right="420" w:rightChars="20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十二、关于政府采购支出说明</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本部门2021年度政府采购支出总额34.62万元，其中：政府采购货物支出17.16万元、政府采购工程支出0万元、政府采购服务支出17.46万元。授予中小企业合同金额34.62万元，占政府采购支出总额的100%，其中：授予小微企业合同金额34.62万元，占授予中小企业合同金额的100%；货物采购授予中小企业合同金额占货物支出金额的100%，工程采购授予中小企业合同金额占工程支出金额的</w:t>
      </w:r>
      <w:r>
        <w:rPr>
          <w:rFonts w:hint="eastAsia" w:ascii="仿宋" w:hAnsi="仿宋" w:eastAsia="仿宋" w:cs="仿宋"/>
          <w:b w:val="0"/>
          <w:bCs w:val="0"/>
          <w:sz w:val="32"/>
          <w:szCs w:val="32"/>
          <w:lang w:val="en-US" w:eastAsia="zh-CN"/>
        </w:rPr>
        <w:t>百分比无法计算</w:t>
      </w:r>
      <w:r>
        <w:rPr>
          <w:rFonts w:hint="eastAsia" w:ascii="仿宋" w:hAnsi="仿宋" w:eastAsia="仿宋" w:cs="仿宋"/>
          <w:b w:val="0"/>
          <w:bCs w:val="0"/>
          <w:sz w:val="32"/>
          <w:szCs w:val="32"/>
        </w:rPr>
        <w:t>，服务采购授予中小企业合同金额占服务支出金额的100%。</w:t>
      </w:r>
    </w:p>
    <w:p>
      <w:pPr>
        <w:pStyle w:val="10"/>
        <w:ind w:right="420" w:rightChars="20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十三、关于国有资产占用情况说明</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截至2021年12月31日，部门（单位）共有车辆5辆，其中，主要领导干部用车0辆，机要通信用车0辆、应急保障用车0辆、执法执勤用车0辆、特种专业技术用车0辆、其他用车5辆，其他用车主要是一般公务用车；单位价值50万元以上通用设备1台（套）；单位价值100万元以上专用设备0台（套）。</w:t>
      </w:r>
    </w:p>
    <w:p>
      <w:pPr>
        <w:pStyle w:val="10"/>
        <w:ind w:right="420" w:rightChars="20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十四、关于2021年度预算绩效情况的说明</w:t>
      </w:r>
    </w:p>
    <w:p>
      <w:pPr>
        <w:autoSpaceDE w:val="0"/>
        <w:autoSpaceDN w:val="0"/>
        <w:adjustRightInd w:val="0"/>
        <w:ind w:right="420" w:rightChars="200" w:firstLine="640" w:firstLineChars="200"/>
        <w:jc w:val="left"/>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（1）绩效管理评价工作开展情况</w:t>
      </w:r>
    </w:p>
    <w:p>
      <w:pPr>
        <w:autoSpaceDE w:val="0"/>
        <w:autoSpaceDN w:val="0"/>
        <w:adjustRightInd w:val="0"/>
        <w:ind w:right="420" w:rightChars="200" w:firstLine="640" w:firstLineChars="20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根据预算绩效管理要求，我部门组织对2021年度一般公共预算项目支出全面开展绩效自评，其中，一级项目4个，二级项目4个，共涉及资金414.86万元，占一般公共预算项目支出总额的100%。2021年度无政府性基金预算项目支出，无国有资本经营预算项目支出，故未开展绩效评价。</w:t>
      </w:r>
    </w:p>
    <w:p>
      <w:pPr>
        <w:pStyle w:val="13"/>
        <w:spacing w:line="360" w:lineRule="auto"/>
        <w:ind w:right="420" w:rightChars="200" w:firstLine="640" w:firstLineChars="200"/>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组织对“专项业务项目”“平安建设资金”“扫黑除恶专项”等3个项目开展了部门评价，涉及一般公共预算支出414.86万元，政府性基金预算支出0万元，国有资本经营预算支出0万元。从评价情况来看，通过项目实施，得以推进平安怀化、法治怀化建设，营造了安全稳定的社会环境。预算项目资金主要产出：一是平安怀化、法治怀化建设顺利推进；二是有效地维护了国家政治安全，确保了我市社会大局稳定；三是认真开展常态化扫黑除恶专项斗争工作，依法打击违法犯罪，增强了人民群众的安全感；四是认真开展政法队伍教育整顿工作，提高了队伍建设水平。</w:t>
      </w:r>
    </w:p>
    <w:p>
      <w:pPr>
        <w:pStyle w:val="10"/>
        <w:ind w:right="420" w:rightChars="200" w:firstLine="640" w:firstLineChars="200"/>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组织对“</w:t>
      </w:r>
      <w:r>
        <w:rPr>
          <w:rFonts w:hint="eastAsia" w:ascii="仿宋" w:hAnsi="仿宋" w:eastAsia="仿宋" w:cs="仿宋"/>
          <w:b w:val="0"/>
          <w:bCs w:val="0"/>
          <w:kern w:val="0"/>
          <w:sz w:val="32"/>
          <w:szCs w:val="32"/>
        </w:rPr>
        <w:t>中共怀化市委政法委员会</w:t>
      </w:r>
      <w:r>
        <w:rPr>
          <w:rFonts w:hint="eastAsia" w:ascii="仿宋" w:hAnsi="仿宋" w:eastAsia="仿宋" w:cs="仿宋"/>
          <w:b w:val="0"/>
          <w:bCs w:val="0"/>
          <w:color w:val="000000"/>
          <w:kern w:val="0"/>
          <w:sz w:val="32"/>
          <w:szCs w:val="32"/>
        </w:rPr>
        <w:t>”1个单位开展整体支出绩效评价，涉及一般公共预算支出1,316.93万元，政府性基金预算支出0万元。从评价情况来看，2021年，全市各级政法机关在市委的坚强领导下，深学笃行习近平法治思想，围绕全面落实“三高四新”战略定位和使命任务，奋力建设“三城一区”，攻坚克难，忠诚履职，高标准高质量抓好防风险、保安全、护稳定、促发展各项工作，实现了“十四五”良好开局。平安建设考评连续9年获评全省先进。群众安全满意度测评连续7年稳居全省第一方阵。</w:t>
      </w:r>
    </w:p>
    <w:p>
      <w:pPr>
        <w:autoSpaceDE w:val="0"/>
        <w:autoSpaceDN w:val="0"/>
        <w:adjustRightInd w:val="0"/>
        <w:ind w:right="420" w:rightChars="200" w:firstLine="640" w:firstLineChars="200"/>
        <w:jc w:val="left"/>
        <w:rPr>
          <w:rFonts w:hint="eastAsia" w:ascii="仿宋" w:hAnsi="仿宋" w:eastAsia="仿宋" w:cs="仿宋"/>
          <w:b/>
          <w:bCs/>
          <w:color w:val="000000"/>
          <w:kern w:val="0"/>
          <w:sz w:val="32"/>
          <w:szCs w:val="32"/>
        </w:rPr>
      </w:pPr>
      <w:r>
        <w:rPr>
          <w:rFonts w:hint="eastAsia" w:ascii="仿宋" w:hAnsi="仿宋" w:eastAsia="仿宋" w:cs="仿宋"/>
          <w:b w:val="0"/>
          <w:bCs w:val="0"/>
          <w:color w:val="000000"/>
          <w:kern w:val="0"/>
          <w:sz w:val="32"/>
          <w:szCs w:val="32"/>
        </w:rPr>
        <w:t>（</w:t>
      </w:r>
      <w:r>
        <w:rPr>
          <w:rFonts w:hint="eastAsia" w:ascii="仿宋" w:hAnsi="仿宋" w:eastAsia="仿宋" w:cs="仿宋"/>
          <w:b/>
          <w:bCs/>
          <w:color w:val="000000"/>
          <w:kern w:val="0"/>
          <w:sz w:val="32"/>
          <w:szCs w:val="32"/>
        </w:rPr>
        <w:t>2）部门决算中项目绩效自评结果</w:t>
      </w:r>
    </w:p>
    <w:p>
      <w:pPr>
        <w:autoSpaceDE w:val="0"/>
        <w:autoSpaceDN w:val="0"/>
        <w:adjustRightInd w:val="0"/>
        <w:ind w:right="420" w:rightChars="200" w:firstLine="640" w:firstLineChars="20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专项业务项目”“平安建设资金”“扫黑除恶专项”项目绩效自评综述：根据年初设定的绩效目标，项目绩效自评得分为100分。项目全年预算数为414.86万元，执行数为414.86万元，完成预算的100%。项目绩效目标完成情况：紧扣一条主线，特护期信访维稳安保再获新战绩。建党100周年实现重点人员“零漏管、零失控、零滋事、零非访、零进京、零登记目标”。统筹两个重点，过硬队伍建设取得新成效。一是政治忠诚在学习教育中得到筑牢。二是“肌体流毒”在查究整改中得到清除。三是教育整顿成果在总结提升中得到巩固。狠抓六项提升，平安怀化、法治怀化建设迈上新台阶。一是服务法治化营商环境的水平持续提升；二是扫黑除恶常态化打击效能持续提升；三是市域风险防控基础保障能力持续提升；四是基层社会治理创新活力持续提升；五是执法司法质效和公信力持续提升；六是群众安全感满意度持续提升。</w:t>
      </w:r>
    </w:p>
    <w:p>
      <w:pPr>
        <w:autoSpaceDE w:val="0"/>
        <w:autoSpaceDN w:val="0"/>
        <w:adjustRightInd w:val="0"/>
        <w:ind w:right="420" w:rightChars="200" w:firstLine="640" w:firstLineChars="200"/>
        <w:jc w:val="left"/>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（3）部门评价项目绩效评价结果</w:t>
      </w:r>
    </w:p>
    <w:p>
      <w:pPr>
        <w:pStyle w:val="13"/>
        <w:spacing w:line="360" w:lineRule="auto"/>
        <w:ind w:right="420" w:rightChars="200"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2021年度专项资金绩效自评报告作为附件向社会公开</w:t>
      </w:r>
      <w:r>
        <w:rPr>
          <w:rFonts w:hint="eastAsia" w:ascii="仿宋" w:hAnsi="仿宋" w:eastAsia="仿宋" w:cs="仿宋"/>
          <w:b w:val="0"/>
          <w:bCs w:val="0"/>
          <w:sz w:val="32"/>
          <w:szCs w:val="32"/>
          <w:lang w:eastAsia="zh-CN"/>
        </w:rPr>
        <w:t>。</w:t>
      </w:r>
      <w:bookmarkStart w:id="0" w:name="_GoBack"/>
      <w:bookmarkEnd w:id="0"/>
    </w:p>
    <w:p>
      <w:pPr>
        <w:pStyle w:val="10"/>
        <w:ind w:left="420" w:leftChars="200" w:right="420" w:rightChars="200"/>
        <w:jc w:val="center"/>
        <w:rPr>
          <w:rFonts w:hint="eastAsia" w:ascii="仿宋" w:hAnsi="仿宋" w:eastAsia="仿宋" w:cs="仿宋"/>
          <w:b w:val="0"/>
          <w:bCs w:val="0"/>
          <w:sz w:val="32"/>
          <w:szCs w:val="32"/>
        </w:rPr>
      </w:pPr>
    </w:p>
    <w:p>
      <w:pPr>
        <w:pStyle w:val="10"/>
        <w:ind w:left="420" w:leftChars="200" w:right="420" w:rightChars="20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widowControl/>
        <w:ind w:right="420" w:rightChars="200"/>
        <w:jc w:val="left"/>
        <w:rPr>
          <w:rFonts w:hint="eastAsia" w:ascii="仿宋" w:hAnsi="仿宋" w:eastAsia="仿宋" w:cs="仿宋"/>
          <w:b w:val="0"/>
          <w:bCs w:val="0"/>
          <w:color w:val="000000"/>
          <w:kern w:val="0"/>
          <w:sz w:val="32"/>
          <w:szCs w:val="32"/>
        </w:rPr>
      </w:pP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bCs/>
          <w:sz w:val="32"/>
          <w:szCs w:val="32"/>
        </w:rPr>
        <w:t>一、机关运行经费：</w:t>
      </w:r>
      <w:r>
        <w:rPr>
          <w:rFonts w:hint="eastAsia" w:ascii="仿宋" w:hAnsi="仿宋" w:eastAsia="仿宋" w:cs="仿宋"/>
          <w:b w:val="0"/>
          <w:bCs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0"/>
        <w:ind w:right="420" w:rightChars="200" w:firstLine="640" w:firstLineChars="200"/>
        <w:rPr>
          <w:rFonts w:hint="eastAsia" w:ascii="仿宋" w:hAnsi="仿宋" w:eastAsia="仿宋" w:cs="仿宋"/>
          <w:b w:val="0"/>
          <w:bCs w:val="0"/>
          <w:sz w:val="32"/>
          <w:szCs w:val="32"/>
        </w:rPr>
      </w:pPr>
      <w:r>
        <w:rPr>
          <w:rFonts w:hint="eastAsia" w:ascii="仿宋" w:hAnsi="仿宋" w:eastAsia="仿宋" w:cs="仿宋"/>
          <w:b/>
          <w:bCs/>
          <w:sz w:val="32"/>
          <w:szCs w:val="32"/>
        </w:rPr>
        <w:t>二、“三公”经费：</w:t>
      </w:r>
      <w:r>
        <w:rPr>
          <w:rFonts w:hint="eastAsia" w:ascii="仿宋" w:hAnsi="仿宋" w:eastAsia="仿宋" w:cs="仿宋"/>
          <w:b w:val="0"/>
          <w:bCs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ind w:right="420" w:rightChars="200"/>
        <w:jc w:val="both"/>
        <w:rPr>
          <w:rFonts w:hint="eastAsia" w:ascii="仿宋" w:hAnsi="仿宋" w:eastAsia="仿宋" w:cs="仿宋"/>
          <w:b w:val="0"/>
          <w:bCs w:val="0"/>
          <w:sz w:val="32"/>
          <w:szCs w:val="32"/>
        </w:rPr>
      </w:pPr>
    </w:p>
    <w:p>
      <w:pPr>
        <w:pStyle w:val="10"/>
        <w:ind w:left="420" w:leftChars="200" w:right="420" w:rightChars="20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p>
      <w:pPr>
        <w:ind w:left="420" w:leftChars="200" w:right="420" w:rightChars="200"/>
        <w:jc w:val="center"/>
        <w:rPr>
          <w:rFonts w:hint="eastAsia" w:ascii="仿宋" w:hAnsi="仿宋" w:eastAsia="仿宋" w:cs="仿宋"/>
          <w:b w:val="0"/>
          <w:bCs w:val="0"/>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749E3"/>
    <w:rsid w:val="000873EF"/>
    <w:rsid w:val="000A3F69"/>
    <w:rsid w:val="000C678F"/>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5BF8"/>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49F9"/>
    <w:rsid w:val="00787B42"/>
    <w:rsid w:val="007C4539"/>
    <w:rsid w:val="007F3657"/>
    <w:rsid w:val="00812ED5"/>
    <w:rsid w:val="00813075"/>
    <w:rsid w:val="008277D9"/>
    <w:rsid w:val="0084478C"/>
    <w:rsid w:val="0086638C"/>
    <w:rsid w:val="008A3E8D"/>
    <w:rsid w:val="008C65E7"/>
    <w:rsid w:val="009237C4"/>
    <w:rsid w:val="00944C48"/>
    <w:rsid w:val="00950252"/>
    <w:rsid w:val="009668BE"/>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854EB"/>
    <w:rsid w:val="00DD06FF"/>
    <w:rsid w:val="00DD5FE9"/>
    <w:rsid w:val="00E00C7A"/>
    <w:rsid w:val="00E209CF"/>
    <w:rsid w:val="00E37D6C"/>
    <w:rsid w:val="00E55B68"/>
    <w:rsid w:val="00E67BE6"/>
    <w:rsid w:val="00E8683C"/>
    <w:rsid w:val="00EA2B72"/>
    <w:rsid w:val="00F0406C"/>
    <w:rsid w:val="00F23A11"/>
    <w:rsid w:val="00F74360"/>
    <w:rsid w:val="00FB462F"/>
    <w:rsid w:val="00FE16FA"/>
    <w:rsid w:val="00FE328A"/>
    <w:rsid w:val="00FE6269"/>
    <w:rsid w:val="00FF5CD6"/>
    <w:rsid w:val="02881E0B"/>
    <w:rsid w:val="034675D0"/>
    <w:rsid w:val="03BD227B"/>
    <w:rsid w:val="063302DF"/>
    <w:rsid w:val="082D6FB0"/>
    <w:rsid w:val="0CA77331"/>
    <w:rsid w:val="0D3671F8"/>
    <w:rsid w:val="0DC87537"/>
    <w:rsid w:val="0FE45294"/>
    <w:rsid w:val="104A6951"/>
    <w:rsid w:val="1053599C"/>
    <w:rsid w:val="109B53FF"/>
    <w:rsid w:val="110F36F7"/>
    <w:rsid w:val="12374163"/>
    <w:rsid w:val="129F4361"/>
    <w:rsid w:val="12C0739F"/>
    <w:rsid w:val="14060DE1"/>
    <w:rsid w:val="141C6857"/>
    <w:rsid w:val="15C947BC"/>
    <w:rsid w:val="167C30C3"/>
    <w:rsid w:val="16F424F6"/>
    <w:rsid w:val="182757CA"/>
    <w:rsid w:val="1912647A"/>
    <w:rsid w:val="195C5947"/>
    <w:rsid w:val="1D4806BC"/>
    <w:rsid w:val="1D9B6A3E"/>
    <w:rsid w:val="1DDF7439"/>
    <w:rsid w:val="206A0949"/>
    <w:rsid w:val="20AD0837"/>
    <w:rsid w:val="216D5511"/>
    <w:rsid w:val="21EC6AA0"/>
    <w:rsid w:val="21FE57EE"/>
    <w:rsid w:val="22F66B1C"/>
    <w:rsid w:val="23C2284B"/>
    <w:rsid w:val="25302162"/>
    <w:rsid w:val="25D16D75"/>
    <w:rsid w:val="26086C3B"/>
    <w:rsid w:val="2769195B"/>
    <w:rsid w:val="276F4A98"/>
    <w:rsid w:val="27845454"/>
    <w:rsid w:val="279B1585"/>
    <w:rsid w:val="2964062C"/>
    <w:rsid w:val="297B5976"/>
    <w:rsid w:val="29A70519"/>
    <w:rsid w:val="2A4B359A"/>
    <w:rsid w:val="2BBD5881"/>
    <w:rsid w:val="2C432470"/>
    <w:rsid w:val="2E734E6D"/>
    <w:rsid w:val="2F902C6A"/>
    <w:rsid w:val="352E1AEE"/>
    <w:rsid w:val="378B3228"/>
    <w:rsid w:val="3AFE5C11"/>
    <w:rsid w:val="3B7364AD"/>
    <w:rsid w:val="3CD218F9"/>
    <w:rsid w:val="3D2832C7"/>
    <w:rsid w:val="3D82507F"/>
    <w:rsid w:val="3DE6565C"/>
    <w:rsid w:val="3DFF7CEF"/>
    <w:rsid w:val="3F530FDD"/>
    <w:rsid w:val="3F9C396C"/>
    <w:rsid w:val="3FC66CF8"/>
    <w:rsid w:val="41432DC5"/>
    <w:rsid w:val="41E73751"/>
    <w:rsid w:val="42620504"/>
    <w:rsid w:val="432307B8"/>
    <w:rsid w:val="43C24475"/>
    <w:rsid w:val="44D206E8"/>
    <w:rsid w:val="44DB43EB"/>
    <w:rsid w:val="4557299B"/>
    <w:rsid w:val="456E53FE"/>
    <w:rsid w:val="459C4979"/>
    <w:rsid w:val="46C133EA"/>
    <w:rsid w:val="47026711"/>
    <w:rsid w:val="47694C08"/>
    <w:rsid w:val="47760AFD"/>
    <w:rsid w:val="487321E2"/>
    <w:rsid w:val="48F61F9F"/>
    <w:rsid w:val="49B763AB"/>
    <w:rsid w:val="4AB4263E"/>
    <w:rsid w:val="4BDC55D2"/>
    <w:rsid w:val="4DAD3AA0"/>
    <w:rsid w:val="50487AB0"/>
    <w:rsid w:val="50B25FB2"/>
    <w:rsid w:val="51E97071"/>
    <w:rsid w:val="52081BED"/>
    <w:rsid w:val="52B61649"/>
    <w:rsid w:val="52B92EE7"/>
    <w:rsid w:val="53B35B89"/>
    <w:rsid w:val="56F269C8"/>
    <w:rsid w:val="599B0ABE"/>
    <w:rsid w:val="5A9C7376"/>
    <w:rsid w:val="5B0E7B48"/>
    <w:rsid w:val="5B586072"/>
    <w:rsid w:val="5C1D6A01"/>
    <w:rsid w:val="5CF91AAD"/>
    <w:rsid w:val="5D0F4F10"/>
    <w:rsid w:val="5D5E4DB7"/>
    <w:rsid w:val="5E262D02"/>
    <w:rsid w:val="5E413D91"/>
    <w:rsid w:val="5EA80AFF"/>
    <w:rsid w:val="604F07E6"/>
    <w:rsid w:val="615805D6"/>
    <w:rsid w:val="61BF394A"/>
    <w:rsid w:val="63424833"/>
    <w:rsid w:val="64BE7D39"/>
    <w:rsid w:val="64CD45D0"/>
    <w:rsid w:val="67AE06E9"/>
    <w:rsid w:val="67AF7FBD"/>
    <w:rsid w:val="684E59A6"/>
    <w:rsid w:val="6C270A6A"/>
    <w:rsid w:val="6D2C2012"/>
    <w:rsid w:val="6E4D7DDC"/>
    <w:rsid w:val="6F75580C"/>
    <w:rsid w:val="6FB1521A"/>
    <w:rsid w:val="705B5186"/>
    <w:rsid w:val="70894A62"/>
    <w:rsid w:val="71066EA0"/>
    <w:rsid w:val="71DA09A3"/>
    <w:rsid w:val="721F0B29"/>
    <w:rsid w:val="753366D1"/>
    <w:rsid w:val="75980EF8"/>
    <w:rsid w:val="76536785"/>
    <w:rsid w:val="783469E8"/>
    <w:rsid w:val="789B6A68"/>
    <w:rsid w:val="78B12425"/>
    <w:rsid w:val="7C3C40BE"/>
    <w:rsid w:val="7CFA128E"/>
    <w:rsid w:val="7DCB56F9"/>
    <w:rsid w:val="7E6B06BD"/>
    <w:rsid w:val="7FBB1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paragraph" w:customStyle="1" w:styleId="13">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7244</Words>
  <Characters>7887</Characters>
  <Lines>56</Lines>
  <Paragraphs>15</Paragraphs>
  <TotalTime>13</TotalTime>
  <ScaleCrop>false</ScaleCrop>
  <LinksUpToDate>false</LinksUpToDate>
  <CharactersWithSpaces>7892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2023-10-06T05:47:33Z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FAD9A699CF6A4ABDAD624E992BC8114E</vt:lpwstr>
  </property>
</Properties>
</file>