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2D504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bookmarkStart w:id="28" w:name="_GoBack"/>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附件1</w:t>
      </w:r>
    </w:p>
    <w:p w14:paraId="511F93B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14:paraId="678165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14:paraId="341E469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14:paraId="01F6A5B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2" w:firstLineChars="200"/>
        <w:textAlignment w:val="auto"/>
        <w:rPr>
          <w:rFonts w:hint="eastAsia" w:asciiTheme="minorEastAsia" w:hAnsiTheme="minorEastAsia" w:eastAsiaTheme="minorEastAsia" w:cstheme="minorEastAsia"/>
          <w:b/>
          <w:bCs/>
          <w:i w:val="0"/>
          <w:iCs w:val="0"/>
          <w:caps w:val="0"/>
          <w:color w:val="000000"/>
          <w:spacing w:val="0"/>
          <w:sz w:val="28"/>
          <w:szCs w:val="28"/>
        </w:rPr>
      </w:pPr>
      <w:r>
        <w:rPr>
          <w:rFonts w:hint="eastAsia" w:asciiTheme="minorEastAsia" w:hAnsiTheme="minorEastAsia" w:eastAsiaTheme="minorEastAsia" w:cstheme="minorEastAsia"/>
          <w:b/>
          <w:bCs/>
          <w:i w:val="0"/>
          <w:iCs w:val="0"/>
          <w:caps w:val="0"/>
          <w:color w:val="000000"/>
          <w:spacing w:val="0"/>
          <w:sz w:val="28"/>
          <w:szCs w:val="28"/>
          <w:shd w:val="clear" w:fill="FFFFFF"/>
        </w:rPr>
        <w:t>一、部门、单位基本情况</w:t>
      </w:r>
    </w:p>
    <w:p w14:paraId="1E9F3B4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（一）机构设置情况</w:t>
      </w:r>
    </w:p>
    <w:p w14:paraId="443B5F3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中共怀化市委政法委员会作为一级部门预算单位，内设科室为：办公室、政治部、政策研究室、政治安全科、维稳指导科、综治督导科（专项行动办公室）、基层社会治理科、反邪教协调科、执法监督科、法治科、宣传教育科、铁路护路联防科、</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扫黑除恶指导科</w:t>
      </w:r>
      <w:r>
        <w:rPr>
          <w:rFonts w:hint="eastAsia" w:asciiTheme="minorEastAsia" w:hAnsiTheme="minorEastAsia" w:eastAsiaTheme="minorEastAsia" w:cstheme="minorEastAsia"/>
          <w:i w:val="0"/>
          <w:iCs w:val="0"/>
          <w:caps w:val="0"/>
          <w:color w:val="000000"/>
          <w:spacing w:val="0"/>
          <w:sz w:val="28"/>
          <w:szCs w:val="28"/>
          <w:shd w:val="clear" w:fill="FFFFFF"/>
        </w:rPr>
        <w:t>13个行政科室，下设市社会治安综合治理中心、市法学会办公室两个正科级事业单位。</w:t>
      </w:r>
    </w:p>
    <w:p w14:paraId="3DFEB4B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cstheme="minorEastAsia"/>
          <w:i w:val="0"/>
          <w:iCs w:val="0"/>
          <w:caps w:val="0"/>
          <w:color w:val="000000"/>
          <w:spacing w:val="0"/>
          <w:sz w:val="28"/>
          <w:szCs w:val="28"/>
          <w:shd w:val="clear" w:fill="FFFFFF"/>
          <w:lang w:eastAsia="zh-CN"/>
        </w:rPr>
        <w:t>（</w:t>
      </w:r>
      <w:r>
        <w:rPr>
          <w:rFonts w:hint="eastAsia" w:asciiTheme="minorEastAsia" w:hAnsiTheme="minorEastAsia" w:cstheme="minorEastAsia"/>
          <w:i w:val="0"/>
          <w:iCs w:val="0"/>
          <w:caps w:val="0"/>
          <w:color w:val="000000"/>
          <w:spacing w:val="0"/>
          <w:sz w:val="28"/>
          <w:szCs w:val="28"/>
          <w:shd w:val="clear" w:fill="FFFFFF"/>
          <w:lang w:val="en-US" w:eastAsia="zh-CN"/>
        </w:rPr>
        <w:t>二)</w:t>
      </w:r>
      <w:r>
        <w:rPr>
          <w:rFonts w:hint="eastAsia" w:asciiTheme="minorEastAsia" w:hAnsiTheme="minorEastAsia" w:eastAsiaTheme="minorEastAsia" w:cstheme="minorEastAsia"/>
          <w:i w:val="0"/>
          <w:iCs w:val="0"/>
          <w:caps w:val="0"/>
          <w:color w:val="000000"/>
          <w:spacing w:val="0"/>
          <w:sz w:val="28"/>
          <w:szCs w:val="28"/>
          <w:shd w:val="clear" w:fill="FFFFFF"/>
        </w:rPr>
        <w:t>人员编制情况</w:t>
      </w:r>
    </w:p>
    <w:p w14:paraId="78D75A8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2023</w:t>
      </w:r>
      <w:r>
        <w:rPr>
          <w:rFonts w:hint="eastAsia" w:asciiTheme="minorEastAsia" w:hAnsiTheme="minorEastAsia" w:eastAsiaTheme="minorEastAsia" w:cstheme="minorEastAsia"/>
          <w:i w:val="0"/>
          <w:iCs w:val="0"/>
          <w:caps w:val="0"/>
          <w:color w:val="000000"/>
          <w:spacing w:val="0"/>
          <w:sz w:val="28"/>
          <w:szCs w:val="28"/>
          <w:shd w:val="clear" w:fill="FFFFFF"/>
        </w:rPr>
        <w:t>年年末编制人数</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52</w:t>
      </w:r>
      <w:r>
        <w:rPr>
          <w:rFonts w:hint="eastAsia" w:asciiTheme="minorEastAsia" w:hAnsiTheme="minorEastAsia" w:eastAsiaTheme="minorEastAsia" w:cstheme="minorEastAsia"/>
          <w:i w:val="0"/>
          <w:iCs w:val="0"/>
          <w:caps w:val="0"/>
          <w:color w:val="000000"/>
          <w:spacing w:val="0"/>
          <w:sz w:val="28"/>
          <w:szCs w:val="28"/>
          <w:shd w:val="clear" w:fill="FFFFFF"/>
        </w:rPr>
        <w:t>人，其中行政编制</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44人</w:t>
      </w:r>
      <w:r>
        <w:rPr>
          <w:rFonts w:hint="eastAsia" w:asciiTheme="minorEastAsia" w:hAnsiTheme="minorEastAsia" w:eastAsiaTheme="minorEastAsia" w:cstheme="minorEastAsia"/>
          <w:i w:val="0"/>
          <w:iCs w:val="0"/>
          <w:caps w:val="0"/>
          <w:color w:val="000000"/>
          <w:spacing w:val="0"/>
          <w:sz w:val="28"/>
          <w:szCs w:val="28"/>
          <w:shd w:val="clear" w:fill="FFFFFF"/>
        </w:rPr>
        <w:t>，事业编制</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8</w:t>
      </w:r>
      <w:r>
        <w:rPr>
          <w:rFonts w:hint="eastAsia" w:asciiTheme="minorEastAsia" w:hAnsiTheme="minorEastAsia" w:eastAsiaTheme="minorEastAsia" w:cstheme="minorEastAsia"/>
          <w:i w:val="0"/>
          <w:iCs w:val="0"/>
          <w:caps w:val="0"/>
          <w:color w:val="000000"/>
          <w:spacing w:val="0"/>
          <w:sz w:val="28"/>
          <w:szCs w:val="28"/>
          <w:shd w:val="clear" w:fill="FFFFFF"/>
        </w:rPr>
        <w:t>人；年末实有在职人员</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46</w:t>
      </w:r>
      <w:r>
        <w:rPr>
          <w:rFonts w:hint="eastAsia" w:asciiTheme="minorEastAsia" w:hAnsiTheme="minorEastAsia" w:eastAsiaTheme="minorEastAsia" w:cstheme="minorEastAsia"/>
          <w:i w:val="0"/>
          <w:iCs w:val="0"/>
          <w:caps w:val="0"/>
          <w:color w:val="000000"/>
          <w:spacing w:val="0"/>
          <w:sz w:val="28"/>
          <w:szCs w:val="28"/>
          <w:shd w:val="clear" w:fill="FFFFFF"/>
        </w:rPr>
        <w:t>人。</w:t>
      </w:r>
    </w:p>
    <w:p w14:paraId="5F9AB43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cstheme="minorEastAsia"/>
          <w:i w:val="0"/>
          <w:iCs w:val="0"/>
          <w:caps w:val="0"/>
          <w:color w:val="000000"/>
          <w:spacing w:val="0"/>
          <w:sz w:val="28"/>
          <w:szCs w:val="28"/>
          <w:shd w:val="clear" w:fill="FFFFFF"/>
          <w:lang w:eastAsia="zh-CN"/>
        </w:rPr>
        <w:t>（</w:t>
      </w:r>
      <w:r>
        <w:rPr>
          <w:rFonts w:hint="eastAsia" w:asciiTheme="minorEastAsia" w:hAnsiTheme="minorEastAsia" w:cstheme="minorEastAsia"/>
          <w:i w:val="0"/>
          <w:iCs w:val="0"/>
          <w:caps w:val="0"/>
          <w:color w:val="000000"/>
          <w:spacing w:val="0"/>
          <w:sz w:val="28"/>
          <w:szCs w:val="28"/>
          <w:shd w:val="clear" w:fill="FFFFFF"/>
          <w:lang w:val="en-US" w:eastAsia="zh-CN"/>
        </w:rPr>
        <w:t>三）</w:t>
      </w:r>
      <w:r>
        <w:rPr>
          <w:rFonts w:hint="eastAsia" w:asciiTheme="minorEastAsia" w:hAnsiTheme="minorEastAsia" w:eastAsiaTheme="minorEastAsia" w:cstheme="minorEastAsia"/>
          <w:i w:val="0"/>
          <w:iCs w:val="0"/>
          <w:caps w:val="0"/>
          <w:color w:val="000000"/>
          <w:spacing w:val="0"/>
          <w:sz w:val="28"/>
          <w:szCs w:val="28"/>
          <w:shd w:val="clear" w:fill="FFFFFF"/>
        </w:rPr>
        <w:t>主要职能职责</w:t>
      </w:r>
    </w:p>
    <w:p w14:paraId="5F7B4DB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lang w:eastAsia="zh-CN"/>
        </w:rPr>
      </w:pPr>
      <w:r>
        <w:rPr>
          <w:rFonts w:hint="eastAsia" w:asciiTheme="minorEastAsia" w:hAnsiTheme="minorEastAsia" w:cstheme="minorEastAsia"/>
          <w:i w:val="0"/>
          <w:iCs w:val="0"/>
          <w:caps w:val="0"/>
          <w:color w:val="000000"/>
          <w:spacing w:val="0"/>
          <w:sz w:val="28"/>
          <w:szCs w:val="28"/>
          <w:shd w:val="clear" w:fill="FFFFFF"/>
          <w:lang w:eastAsia="zh-CN"/>
        </w:rPr>
        <w:t>机密</w:t>
      </w:r>
    </w:p>
    <w:p w14:paraId="45C595C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none"/>
          <w:shd w:val="clear" w:fill="FFFFFF"/>
        </w:rPr>
      </w:pPr>
      <w:r>
        <w:rPr>
          <w:rFonts w:hint="eastAsia" w:asciiTheme="minorEastAsia" w:hAnsiTheme="minorEastAsia" w:cstheme="minorEastAsia"/>
          <w:i w:val="0"/>
          <w:iCs w:val="0"/>
          <w:caps w:val="0"/>
          <w:color w:val="000000"/>
          <w:spacing w:val="0"/>
          <w:sz w:val="28"/>
          <w:szCs w:val="28"/>
          <w:highlight w:val="none"/>
          <w:shd w:val="clear" w:fill="FFFFFF"/>
          <w:lang w:eastAsia="zh-CN"/>
        </w:rPr>
        <w:t>（</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四）</w:t>
      </w:r>
      <w:r>
        <w:rPr>
          <w:rFonts w:hint="eastAsia" w:asciiTheme="minorEastAsia" w:hAnsiTheme="minorEastAsia" w:eastAsiaTheme="minorEastAsia" w:cstheme="minorEastAsia"/>
          <w:i w:val="0"/>
          <w:iCs w:val="0"/>
          <w:caps w:val="0"/>
          <w:color w:val="000000"/>
          <w:spacing w:val="0"/>
          <w:sz w:val="28"/>
          <w:szCs w:val="28"/>
          <w:highlight w:val="none"/>
          <w:shd w:val="clear" w:fill="FFFFFF"/>
        </w:rPr>
        <w:t>绩效目标设定情况</w:t>
      </w:r>
    </w:p>
    <w:p w14:paraId="1414748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2023年，在市委坚强领导下，在省委政法委关心指导下，全市政法机关坚持以习近平新时代中国特色社会主义思想为指导，深入学习贯彻党的二十大精神，认真学习贯彻习近平法治思想，锚定“强基础、增质效、创一流”目标，全力以赴防风险、保平安、护稳定、促发展，</w:t>
      </w:r>
    </w:p>
    <w:p w14:paraId="0BE02A8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2" w:firstLineChars="200"/>
        <w:textAlignment w:val="auto"/>
        <w:rPr>
          <w:rFonts w:hint="eastAsia" w:asciiTheme="minorEastAsia" w:hAnsiTheme="minorEastAsia" w:eastAsiaTheme="minorEastAsia" w:cstheme="minorEastAsia"/>
          <w:b/>
          <w:bCs/>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b/>
          <w:bCs/>
          <w:i w:val="0"/>
          <w:iCs w:val="0"/>
          <w:caps w:val="0"/>
          <w:color w:val="000000"/>
          <w:spacing w:val="0"/>
          <w:sz w:val="28"/>
          <w:szCs w:val="28"/>
          <w:shd w:val="clear" w:fill="FFFFFF"/>
          <w:lang w:val="en-US" w:eastAsia="zh-CN"/>
        </w:rPr>
        <w:t>二、部门整体支出管理及使用情况</w:t>
      </w:r>
    </w:p>
    <w:p w14:paraId="69662D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none"/>
        </w:rPr>
      </w:pPr>
      <w:r>
        <w:rPr>
          <w:rFonts w:hint="eastAsia" w:asciiTheme="minorEastAsia" w:hAnsiTheme="minorEastAsia" w:eastAsiaTheme="minorEastAsia" w:cstheme="minorEastAsia"/>
          <w:i w:val="0"/>
          <w:iCs w:val="0"/>
          <w:caps w:val="0"/>
          <w:color w:val="000000"/>
          <w:spacing w:val="0"/>
          <w:sz w:val="28"/>
          <w:szCs w:val="28"/>
          <w:highlight w:val="none"/>
          <w:shd w:val="clear" w:fill="FFFFFF"/>
        </w:rPr>
        <w:t>（一）预算执行、使用、管理总体情况。</w:t>
      </w:r>
    </w:p>
    <w:p w14:paraId="25919477">
      <w:pPr>
        <w:keepNext w:val="0"/>
        <w:keepLines w:val="0"/>
        <w:pageBreakBefore w:val="0"/>
        <w:widowControl/>
        <w:shd w:val="clear" w:color="auto"/>
        <w:kinsoku/>
        <w:wordWrap/>
        <w:overflowPunct/>
        <w:topLinePunct w:val="0"/>
        <w:autoSpaceDE/>
        <w:autoSpaceDN/>
        <w:bidi w:val="0"/>
        <w:adjustRightInd/>
        <w:spacing w:line="520" w:lineRule="exact"/>
        <w:ind w:firstLine="640"/>
        <w:textAlignment w:val="auto"/>
        <w:rPr>
          <w:rFonts w:hint="eastAsia" w:ascii="仿宋" w:hAnsi="仿宋" w:eastAsia="仿宋" w:cs="仿宋"/>
          <w:spacing w:val="-2"/>
          <w:sz w:val="32"/>
          <w:szCs w:val="32"/>
        </w:rPr>
      </w:pPr>
      <w:r>
        <w:rPr>
          <w:rFonts w:hint="eastAsia" w:ascii="仿宋" w:hAnsi="仿宋" w:eastAsia="仿宋" w:cs="仿宋"/>
          <w:spacing w:val="-2"/>
          <w:sz w:val="32"/>
          <w:szCs w:val="32"/>
        </w:rPr>
        <w:t>1</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202</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年部门预算情况</w:t>
      </w:r>
    </w:p>
    <w:p w14:paraId="7FF65E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根据《怀化市财政局关于批复下达2023年市直部门预算的通知》（怀财预﹝2023﹞6号），2023年我委年初预算收入</w:t>
      </w:r>
      <w:r>
        <w:rPr>
          <w:rFonts w:hint="eastAsia" w:asciiTheme="minorEastAsia" w:hAnsiTheme="minorEastAsia" w:cstheme="minorEastAsia"/>
          <w:i w:val="0"/>
          <w:iCs w:val="0"/>
          <w:caps w:val="0"/>
          <w:color w:val="000000"/>
          <w:spacing w:val="0"/>
          <w:sz w:val="28"/>
          <w:szCs w:val="28"/>
          <w:shd w:val="clear" w:fill="FFFFFF"/>
          <w:lang w:val="en-US" w:eastAsia="zh-CN"/>
        </w:rPr>
        <w:t>1232.48</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万元，其中，一般公共预算拨款收入</w:t>
      </w:r>
      <w:r>
        <w:rPr>
          <w:rFonts w:hint="eastAsia" w:asciiTheme="minorEastAsia" w:hAnsiTheme="minorEastAsia" w:cstheme="minorEastAsia"/>
          <w:i w:val="0"/>
          <w:iCs w:val="0"/>
          <w:caps w:val="0"/>
          <w:color w:val="000000"/>
          <w:spacing w:val="0"/>
          <w:sz w:val="28"/>
          <w:szCs w:val="28"/>
          <w:shd w:val="clear" w:fill="FFFFFF"/>
          <w:lang w:val="en-US" w:eastAsia="zh-CN"/>
        </w:rPr>
        <w:t>1232.48</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万元。年初支出总预算</w:t>
      </w:r>
      <w:r>
        <w:rPr>
          <w:rFonts w:hint="eastAsia" w:asciiTheme="minorEastAsia" w:hAnsiTheme="minorEastAsia" w:cstheme="minorEastAsia"/>
          <w:i w:val="0"/>
          <w:iCs w:val="0"/>
          <w:caps w:val="0"/>
          <w:color w:val="000000"/>
          <w:spacing w:val="0"/>
          <w:sz w:val="28"/>
          <w:szCs w:val="28"/>
          <w:shd w:val="clear" w:fill="FFFFFF"/>
          <w:lang w:val="en-US" w:eastAsia="zh-CN"/>
        </w:rPr>
        <w:t>1232.48</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万元，其中：基本支出</w:t>
      </w:r>
      <w:r>
        <w:rPr>
          <w:rFonts w:hint="eastAsia" w:asciiTheme="minorEastAsia" w:hAnsiTheme="minorEastAsia" w:cstheme="minorEastAsia"/>
          <w:i w:val="0"/>
          <w:iCs w:val="0"/>
          <w:caps w:val="0"/>
          <w:color w:val="000000"/>
          <w:spacing w:val="0"/>
          <w:sz w:val="28"/>
          <w:szCs w:val="28"/>
          <w:shd w:val="clear" w:fill="FFFFFF"/>
          <w:lang w:val="en-US" w:eastAsia="zh-CN"/>
        </w:rPr>
        <w:t>1011.86</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万元</w:t>
      </w:r>
      <w:r>
        <w:rPr>
          <w:rFonts w:hint="eastAsia" w:asciiTheme="minorEastAsia" w:hAnsiTheme="minorEastAsia" w:cstheme="minorEastAsia"/>
          <w:i w:val="0"/>
          <w:iCs w:val="0"/>
          <w:caps w:val="0"/>
          <w:color w:val="000000"/>
          <w:spacing w:val="0"/>
          <w:sz w:val="28"/>
          <w:szCs w:val="28"/>
          <w:shd w:val="clear" w:fill="FFFFFF"/>
          <w:lang w:val="en-US" w:eastAsia="zh-CN"/>
        </w:rPr>
        <w:t>，</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项目支出</w:t>
      </w:r>
      <w:r>
        <w:rPr>
          <w:rFonts w:hint="eastAsia" w:asciiTheme="minorEastAsia" w:hAnsiTheme="minorEastAsia" w:cstheme="minorEastAsia"/>
          <w:i w:val="0"/>
          <w:iCs w:val="0"/>
          <w:caps w:val="0"/>
          <w:color w:val="000000"/>
          <w:spacing w:val="0"/>
          <w:sz w:val="28"/>
          <w:szCs w:val="28"/>
          <w:shd w:val="clear" w:fill="FFFFFF"/>
          <w:lang w:val="en-US" w:eastAsia="zh-CN"/>
        </w:rPr>
        <w:t>220.62</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万元。</w:t>
      </w:r>
    </w:p>
    <w:p w14:paraId="1F9DB763">
      <w:pPr>
        <w:keepNext w:val="0"/>
        <w:keepLines w:val="0"/>
        <w:pageBreakBefore w:val="0"/>
        <w:widowControl/>
        <w:shd w:val="clear" w:color="auto"/>
        <w:kinsoku/>
        <w:wordWrap/>
        <w:overflowPunct/>
        <w:topLinePunct w:val="0"/>
        <w:autoSpaceDE/>
        <w:autoSpaceDN/>
        <w:bidi w:val="0"/>
        <w:adjustRightInd/>
        <w:spacing w:line="520" w:lineRule="exact"/>
        <w:ind w:firstLine="640"/>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2.2023年部门决算情况</w:t>
      </w:r>
    </w:p>
    <w:p w14:paraId="4E2F9FB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2023年度决算总收入1416.76万元。2023年度决算总支出 万元，其中：基本支出928.90万元，占总支出的65.57%；项目支出487.86万元，占总支出的34.43%。2023年年末无结转和结余。</w:t>
      </w:r>
    </w:p>
    <w:p w14:paraId="17D413C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shd w:val="clear" w:fill="FFFFFF"/>
        </w:rPr>
        <w:t>（二）部门预算执行情况</w:t>
      </w:r>
    </w:p>
    <w:p w14:paraId="6E4CED8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1.基本支出情况</w:t>
      </w:r>
    </w:p>
    <w:p w14:paraId="577C472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基本支出系保障我委机关人员、行政运行发生的各项支出，包括用于在职和退休人员基本工资、津贴补贴等人员经费以及公务用车运行维护费等日常公用经费。</w:t>
      </w:r>
    </w:p>
    <w:p w14:paraId="77236B6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cstheme="minorEastAsia"/>
          <w:i w:val="0"/>
          <w:iCs w:val="0"/>
          <w:caps w:val="0"/>
          <w:color w:val="000000"/>
          <w:spacing w:val="0"/>
          <w:sz w:val="28"/>
          <w:szCs w:val="28"/>
          <w:shd w:val="clear" w:fill="FFFFFF"/>
          <w:lang w:eastAsia="zh-CN"/>
        </w:rPr>
        <w:t>（</w:t>
      </w:r>
      <w:r>
        <w:rPr>
          <w:rFonts w:hint="eastAsia" w:asciiTheme="minorEastAsia" w:hAnsiTheme="minorEastAsia" w:cstheme="minorEastAsia"/>
          <w:i w:val="0"/>
          <w:iCs w:val="0"/>
          <w:caps w:val="0"/>
          <w:color w:val="000000"/>
          <w:spacing w:val="0"/>
          <w:sz w:val="28"/>
          <w:szCs w:val="28"/>
          <w:shd w:val="clear" w:fill="FFFFFF"/>
          <w:lang w:val="en-US" w:eastAsia="zh-CN"/>
        </w:rPr>
        <w:t>1）</w:t>
      </w:r>
      <w:r>
        <w:rPr>
          <w:rFonts w:hint="eastAsia" w:asciiTheme="minorEastAsia" w:hAnsiTheme="minorEastAsia" w:eastAsiaTheme="minorEastAsia" w:cstheme="minorEastAsia"/>
          <w:i w:val="0"/>
          <w:iCs w:val="0"/>
          <w:caps w:val="0"/>
          <w:color w:val="000000"/>
          <w:spacing w:val="0"/>
          <w:sz w:val="28"/>
          <w:szCs w:val="28"/>
          <w:shd w:val="clear" w:fill="FFFFFF"/>
        </w:rPr>
        <w:t>202</w:t>
      </w:r>
      <w:r>
        <w:rPr>
          <w:rFonts w:hint="eastAsia" w:asciiTheme="minorEastAsia" w:hAnsiTheme="minorEastAsia" w:cstheme="minorEastAsia"/>
          <w:i w:val="0"/>
          <w:iCs w:val="0"/>
          <w:caps w:val="0"/>
          <w:color w:val="000000"/>
          <w:spacing w:val="0"/>
          <w:sz w:val="28"/>
          <w:szCs w:val="28"/>
          <w:shd w:val="clear" w:fill="FFFFFF"/>
          <w:lang w:val="en-US" w:eastAsia="zh-CN"/>
        </w:rPr>
        <w:t>3</w:t>
      </w:r>
      <w:r>
        <w:rPr>
          <w:rFonts w:hint="eastAsia" w:asciiTheme="minorEastAsia" w:hAnsiTheme="minorEastAsia" w:eastAsiaTheme="minorEastAsia" w:cstheme="minorEastAsia"/>
          <w:i w:val="0"/>
          <w:iCs w:val="0"/>
          <w:caps w:val="0"/>
          <w:color w:val="000000"/>
          <w:spacing w:val="0"/>
          <w:sz w:val="28"/>
          <w:szCs w:val="28"/>
          <w:shd w:val="clear" w:fill="FFFFFF"/>
        </w:rPr>
        <w:t>年部门基本支出预算情况</w:t>
      </w:r>
    </w:p>
    <w:p w14:paraId="59F3768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我委202</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3</w:t>
      </w:r>
      <w:r>
        <w:rPr>
          <w:rFonts w:hint="eastAsia" w:asciiTheme="minorEastAsia" w:hAnsiTheme="minorEastAsia" w:eastAsiaTheme="minorEastAsia" w:cstheme="minorEastAsia"/>
          <w:i w:val="0"/>
          <w:iCs w:val="0"/>
          <w:caps w:val="0"/>
          <w:color w:val="000000"/>
          <w:spacing w:val="0"/>
          <w:sz w:val="28"/>
          <w:szCs w:val="28"/>
          <w:shd w:val="clear" w:fill="FFFFFF"/>
        </w:rPr>
        <w:t>年年初预算数</w:t>
      </w:r>
      <w:r>
        <w:rPr>
          <w:rFonts w:hint="default" w:asciiTheme="minorEastAsia" w:hAnsiTheme="minorEastAsia" w:eastAsiaTheme="minorEastAsia" w:cstheme="minorEastAsia"/>
          <w:i w:val="0"/>
          <w:iCs w:val="0"/>
          <w:caps w:val="0"/>
          <w:color w:val="000000"/>
          <w:spacing w:val="0"/>
          <w:sz w:val="28"/>
          <w:szCs w:val="28"/>
          <w:shd w:val="clear" w:fill="FFFFFF"/>
        </w:rPr>
        <w:t>1011.86</w:t>
      </w:r>
      <w:r>
        <w:rPr>
          <w:rFonts w:hint="eastAsia" w:asciiTheme="minorEastAsia" w:hAnsiTheme="minorEastAsia" w:eastAsiaTheme="minorEastAsia" w:cstheme="minorEastAsia"/>
          <w:i w:val="0"/>
          <w:iCs w:val="0"/>
          <w:caps w:val="0"/>
          <w:color w:val="000000"/>
          <w:spacing w:val="0"/>
          <w:sz w:val="28"/>
          <w:szCs w:val="28"/>
          <w:shd w:val="clear" w:fill="FFFFFF"/>
        </w:rPr>
        <w:t>万元，其中工资福利支出</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877.27</w:t>
      </w:r>
      <w:r>
        <w:rPr>
          <w:rFonts w:hint="eastAsia" w:asciiTheme="minorEastAsia" w:hAnsiTheme="minorEastAsia" w:eastAsiaTheme="minorEastAsia" w:cstheme="minorEastAsia"/>
          <w:i w:val="0"/>
          <w:iCs w:val="0"/>
          <w:caps w:val="0"/>
          <w:color w:val="000000"/>
          <w:spacing w:val="0"/>
          <w:sz w:val="28"/>
          <w:szCs w:val="28"/>
          <w:shd w:val="clear" w:fill="FFFFFF"/>
        </w:rPr>
        <w:t>万元，商品和服务支出</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134.59</w:t>
      </w:r>
      <w:r>
        <w:rPr>
          <w:rFonts w:hint="eastAsia" w:asciiTheme="minorEastAsia" w:hAnsiTheme="minorEastAsia" w:eastAsiaTheme="minorEastAsia" w:cstheme="minorEastAsia"/>
          <w:i w:val="0"/>
          <w:iCs w:val="0"/>
          <w:caps w:val="0"/>
          <w:color w:val="000000"/>
          <w:spacing w:val="0"/>
          <w:sz w:val="28"/>
          <w:szCs w:val="28"/>
          <w:shd w:val="clear" w:fill="FFFFFF"/>
        </w:rPr>
        <w:t>万元。</w:t>
      </w:r>
    </w:p>
    <w:p w14:paraId="3A6971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cstheme="minorEastAsia"/>
          <w:i w:val="0"/>
          <w:iCs w:val="0"/>
          <w:caps w:val="0"/>
          <w:color w:val="000000"/>
          <w:spacing w:val="0"/>
          <w:sz w:val="28"/>
          <w:szCs w:val="28"/>
          <w:shd w:val="clear" w:fill="FFFFFF"/>
          <w:lang w:eastAsia="zh-CN"/>
        </w:rPr>
        <w:t>（</w:t>
      </w:r>
      <w:r>
        <w:rPr>
          <w:rFonts w:hint="eastAsia" w:asciiTheme="minorEastAsia" w:hAnsiTheme="minorEastAsia" w:cstheme="minorEastAsia"/>
          <w:i w:val="0"/>
          <w:iCs w:val="0"/>
          <w:caps w:val="0"/>
          <w:color w:val="000000"/>
          <w:spacing w:val="0"/>
          <w:sz w:val="28"/>
          <w:szCs w:val="28"/>
          <w:shd w:val="clear" w:fill="FFFFFF"/>
          <w:lang w:val="en-US" w:eastAsia="zh-CN"/>
        </w:rPr>
        <w:t>2）</w:t>
      </w:r>
      <w:r>
        <w:rPr>
          <w:rFonts w:hint="eastAsia" w:asciiTheme="minorEastAsia" w:hAnsiTheme="minorEastAsia" w:eastAsiaTheme="minorEastAsia" w:cstheme="minorEastAsia"/>
          <w:i w:val="0"/>
          <w:iCs w:val="0"/>
          <w:caps w:val="0"/>
          <w:color w:val="000000"/>
          <w:spacing w:val="0"/>
          <w:sz w:val="28"/>
          <w:szCs w:val="28"/>
          <w:shd w:val="clear" w:fill="FFFFFF"/>
        </w:rPr>
        <w:t>202</w:t>
      </w:r>
      <w:r>
        <w:rPr>
          <w:rFonts w:hint="eastAsia" w:asciiTheme="minorEastAsia" w:hAnsiTheme="minorEastAsia" w:cstheme="minorEastAsia"/>
          <w:i w:val="0"/>
          <w:iCs w:val="0"/>
          <w:caps w:val="0"/>
          <w:color w:val="000000"/>
          <w:spacing w:val="0"/>
          <w:sz w:val="28"/>
          <w:szCs w:val="28"/>
          <w:shd w:val="clear" w:fill="FFFFFF"/>
          <w:lang w:val="en-US" w:eastAsia="zh-CN"/>
        </w:rPr>
        <w:t>3</w:t>
      </w:r>
      <w:r>
        <w:rPr>
          <w:rFonts w:hint="eastAsia" w:asciiTheme="minorEastAsia" w:hAnsiTheme="minorEastAsia" w:eastAsiaTheme="minorEastAsia" w:cstheme="minorEastAsia"/>
          <w:i w:val="0"/>
          <w:iCs w:val="0"/>
          <w:caps w:val="0"/>
          <w:color w:val="000000"/>
          <w:spacing w:val="0"/>
          <w:sz w:val="28"/>
          <w:szCs w:val="28"/>
          <w:shd w:val="clear" w:fill="FFFFFF"/>
        </w:rPr>
        <w:t>年部门基本支出决算情况</w:t>
      </w:r>
    </w:p>
    <w:p w14:paraId="4F82C29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cstheme="minorEastAsia"/>
          <w:i w:val="0"/>
          <w:iCs w:val="0"/>
          <w:caps w:val="0"/>
          <w:color w:val="000000"/>
          <w:spacing w:val="0"/>
          <w:sz w:val="28"/>
          <w:szCs w:val="28"/>
          <w:shd w:val="clear" w:fill="FFFFFF"/>
          <w:lang w:val="en-US" w:eastAsia="zh-CN"/>
        </w:rPr>
        <w:t>2023</w:t>
      </w:r>
      <w:r>
        <w:rPr>
          <w:rFonts w:hint="eastAsia" w:asciiTheme="minorEastAsia" w:hAnsiTheme="minorEastAsia" w:eastAsiaTheme="minorEastAsia" w:cstheme="minorEastAsia"/>
          <w:i w:val="0"/>
          <w:iCs w:val="0"/>
          <w:caps w:val="0"/>
          <w:color w:val="000000"/>
          <w:spacing w:val="0"/>
          <w:sz w:val="28"/>
          <w:szCs w:val="28"/>
          <w:shd w:val="clear" w:fill="FFFFFF"/>
        </w:rPr>
        <w:t>年度基本支出决算数为</w:t>
      </w:r>
      <w:r>
        <w:rPr>
          <w:rFonts w:hint="eastAsia" w:asciiTheme="minorEastAsia" w:hAnsiTheme="minorEastAsia" w:cstheme="minorEastAsia"/>
          <w:i w:val="0"/>
          <w:iCs w:val="0"/>
          <w:caps w:val="0"/>
          <w:color w:val="000000"/>
          <w:spacing w:val="0"/>
          <w:sz w:val="28"/>
          <w:szCs w:val="28"/>
          <w:shd w:val="clear" w:fill="FFFFFF"/>
          <w:lang w:val="en-US" w:eastAsia="zh-CN"/>
        </w:rPr>
        <w:t>928.91</w:t>
      </w:r>
      <w:r>
        <w:rPr>
          <w:rFonts w:hint="eastAsia" w:asciiTheme="minorEastAsia" w:hAnsiTheme="minorEastAsia" w:eastAsiaTheme="minorEastAsia" w:cstheme="minorEastAsia"/>
          <w:i w:val="0"/>
          <w:iCs w:val="0"/>
          <w:caps w:val="0"/>
          <w:color w:val="000000"/>
          <w:spacing w:val="0"/>
          <w:sz w:val="28"/>
          <w:szCs w:val="28"/>
          <w:shd w:val="clear" w:fill="FFFFFF"/>
        </w:rPr>
        <w:t>万元。按经济分类，主要用于工资福利支出、商品和服务支出、对个人和家庭的补助。其中工资福利支出</w:t>
      </w:r>
      <w:r>
        <w:rPr>
          <w:rFonts w:hint="eastAsia" w:asciiTheme="minorEastAsia" w:hAnsiTheme="minorEastAsia" w:cstheme="minorEastAsia"/>
          <w:i w:val="0"/>
          <w:iCs w:val="0"/>
          <w:caps w:val="0"/>
          <w:color w:val="000000"/>
          <w:spacing w:val="0"/>
          <w:sz w:val="28"/>
          <w:szCs w:val="28"/>
          <w:shd w:val="clear" w:fill="FFFFFF"/>
          <w:lang w:val="en-US" w:eastAsia="zh-CN"/>
        </w:rPr>
        <w:t>791.37</w:t>
      </w:r>
      <w:r>
        <w:rPr>
          <w:rFonts w:hint="eastAsia" w:asciiTheme="minorEastAsia" w:hAnsiTheme="minorEastAsia" w:eastAsiaTheme="minorEastAsia" w:cstheme="minorEastAsia"/>
          <w:i w:val="0"/>
          <w:iCs w:val="0"/>
          <w:caps w:val="0"/>
          <w:color w:val="000000"/>
          <w:spacing w:val="0"/>
          <w:sz w:val="28"/>
          <w:szCs w:val="28"/>
          <w:shd w:val="clear" w:fill="FFFFFF"/>
        </w:rPr>
        <w:t>万元，商品服务支出</w:t>
      </w:r>
      <w:r>
        <w:rPr>
          <w:rFonts w:hint="eastAsia" w:asciiTheme="minorEastAsia" w:hAnsiTheme="minorEastAsia" w:cstheme="minorEastAsia"/>
          <w:i w:val="0"/>
          <w:iCs w:val="0"/>
          <w:caps w:val="0"/>
          <w:color w:val="000000"/>
          <w:spacing w:val="0"/>
          <w:sz w:val="28"/>
          <w:szCs w:val="28"/>
          <w:shd w:val="clear" w:fill="FFFFFF"/>
          <w:lang w:val="en-US" w:eastAsia="zh-CN"/>
        </w:rPr>
        <w:t>97.84</w:t>
      </w:r>
      <w:r>
        <w:rPr>
          <w:rFonts w:hint="eastAsia" w:asciiTheme="minorEastAsia" w:hAnsiTheme="minorEastAsia" w:eastAsiaTheme="minorEastAsia" w:cstheme="minorEastAsia"/>
          <w:i w:val="0"/>
          <w:iCs w:val="0"/>
          <w:caps w:val="0"/>
          <w:color w:val="000000"/>
          <w:spacing w:val="0"/>
          <w:sz w:val="28"/>
          <w:szCs w:val="28"/>
          <w:shd w:val="clear" w:fill="FFFFFF"/>
        </w:rPr>
        <w:t>万元，对个人和家庭的补助支出</w:t>
      </w:r>
      <w:r>
        <w:rPr>
          <w:rFonts w:hint="eastAsia" w:asciiTheme="minorEastAsia" w:hAnsiTheme="minorEastAsia" w:cstheme="minorEastAsia"/>
          <w:i w:val="0"/>
          <w:iCs w:val="0"/>
          <w:caps w:val="0"/>
          <w:color w:val="000000"/>
          <w:spacing w:val="0"/>
          <w:sz w:val="28"/>
          <w:szCs w:val="28"/>
          <w:shd w:val="clear" w:fill="FFFFFF"/>
          <w:lang w:val="en-US" w:eastAsia="zh-CN"/>
        </w:rPr>
        <w:t>39.70</w:t>
      </w:r>
      <w:r>
        <w:rPr>
          <w:rFonts w:hint="eastAsia" w:asciiTheme="minorEastAsia" w:hAnsiTheme="minorEastAsia" w:eastAsiaTheme="minorEastAsia" w:cstheme="minorEastAsia"/>
          <w:i w:val="0"/>
          <w:iCs w:val="0"/>
          <w:caps w:val="0"/>
          <w:color w:val="000000"/>
          <w:spacing w:val="0"/>
          <w:sz w:val="28"/>
          <w:szCs w:val="28"/>
          <w:shd w:val="clear" w:fill="FFFFFF"/>
        </w:rPr>
        <w:t>万元。</w:t>
      </w:r>
    </w:p>
    <w:p w14:paraId="77D89D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cstheme="minorEastAsia"/>
          <w:i w:val="0"/>
          <w:iCs w:val="0"/>
          <w:caps w:val="0"/>
          <w:color w:val="000000"/>
          <w:spacing w:val="0"/>
          <w:sz w:val="28"/>
          <w:szCs w:val="28"/>
          <w:shd w:val="clear" w:fill="FFFFFF"/>
          <w:lang w:eastAsia="zh-CN"/>
        </w:rPr>
        <w:t>（</w:t>
      </w:r>
      <w:r>
        <w:rPr>
          <w:rFonts w:hint="eastAsia" w:asciiTheme="minorEastAsia" w:hAnsiTheme="minorEastAsia" w:cstheme="minorEastAsia"/>
          <w:i w:val="0"/>
          <w:iCs w:val="0"/>
          <w:caps w:val="0"/>
          <w:color w:val="000000"/>
          <w:spacing w:val="0"/>
          <w:sz w:val="28"/>
          <w:szCs w:val="28"/>
          <w:shd w:val="clear" w:fill="FFFFFF"/>
          <w:lang w:val="en-US" w:eastAsia="zh-CN"/>
        </w:rPr>
        <w:t>3）</w:t>
      </w:r>
      <w:r>
        <w:rPr>
          <w:rFonts w:hint="eastAsia" w:asciiTheme="minorEastAsia" w:hAnsiTheme="minorEastAsia" w:eastAsiaTheme="minorEastAsia" w:cstheme="minorEastAsia"/>
          <w:i w:val="0"/>
          <w:iCs w:val="0"/>
          <w:caps w:val="0"/>
          <w:color w:val="000000"/>
          <w:spacing w:val="0"/>
          <w:sz w:val="28"/>
          <w:szCs w:val="28"/>
          <w:shd w:val="clear" w:fill="FFFFFF"/>
        </w:rPr>
        <w:t>202</w:t>
      </w:r>
      <w:r>
        <w:rPr>
          <w:rFonts w:hint="eastAsia" w:asciiTheme="minorEastAsia" w:hAnsiTheme="minorEastAsia" w:cstheme="minorEastAsia"/>
          <w:i w:val="0"/>
          <w:iCs w:val="0"/>
          <w:caps w:val="0"/>
          <w:color w:val="000000"/>
          <w:spacing w:val="0"/>
          <w:sz w:val="28"/>
          <w:szCs w:val="28"/>
          <w:shd w:val="clear" w:fill="FFFFFF"/>
          <w:lang w:val="en-US" w:eastAsia="zh-CN"/>
        </w:rPr>
        <w:t>3</w:t>
      </w:r>
      <w:r>
        <w:rPr>
          <w:rFonts w:hint="eastAsia" w:asciiTheme="minorEastAsia" w:hAnsiTheme="minorEastAsia" w:eastAsiaTheme="minorEastAsia" w:cstheme="minorEastAsia"/>
          <w:i w:val="0"/>
          <w:iCs w:val="0"/>
          <w:caps w:val="0"/>
          <w:color w:val="000000"/>
          <w:spacing w:val="0"/>
          <w:sz w:val="28"/>
          <w:szCs w:val="28"/>
          <w:shd w:val="clear" w:fill="FFFFFF"/>
        </w:rPr>
        <w:t>年基本支出情况分析</w:t>
      </w:r>
    </w:p>
    <w:p w14:paraId="705315D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202</w:t>
      </w:r>
      <w:r>
        <w:rPr>
          <w:rFonts w:hint="eastAsia" w:asciiTheme="minorEastAsia" w:hAnsiTheme="minorEastAsia" w:cstheme="minorEastAsia"/>
          <w:i w:val="0"/>
          <w:iCs w:val="0"/>
          <w:caps w:val="0"/>
          <w:color w:val="000000"/>
          <w:spacing w:val="0"/>
          <w:sz w:val="28"/>
          <w:szCs w:val="28"/>
          <w:shd w:val="clear" w:fill="FFFFFF"/>
          <w:lang w:val="en-US" w:eastAsia="zh-CN"/>
        </w:rPr>
        <w:t>3</w:t>
      </w:r>
      <w:r>
        <w:rPr>
          <w:rFonts w:hint="eastAsia" w:asciiTheme="minorEastAsia" w:hAnsiTheme="minorEastAsia" w:eastAsiaTheme="minorEastAsia" w:cstheme="minorEastAsia"/>
          <w:i w:val="0"/>
          <w:iCs w:val="0"/>
          <w:caps w:val="0"/>
          <w:color w:val="000000"/>
          <w:spacing w:val="0"/>
          <w:sz w:val="28"/>
          <w:szCs w:val="28"/>
          <w:shd w:val="clear" w:fill="FFFFFF"/>
        </w:rPr>
        <w:t>年基本支出决算数</w:t>
      </w:r>
      <w:r>
        <w:rPr>
          <w:rFonts w:hint="eastAsia" w:asciiTheme="minorEastAsia" w:hAnsiTheme="minorEastAsia" w:cstheme="minorEastAsia"/>
          <w:i w:val="0"/>
          <w:iCs w:val="0"/>
          <w:caps w:val="0"/>
          <w:color w:val="000000"/>
          <w:spacing w:val="0"/>
          <w:sz w:val="28"/>
          <w:szCs w:val="28"/>
          <w:shd w:val="clear" w:fill="FFFFFF"/>
          <w:lang w:val="en-US" w:eastAsia="zh-CN"/>
        </w:rPr>
        <w:t>928.91</w:t>
      </w:r>
      <w:r>
        <w:rPr>
          <w:rFonts w:hint="eastAsia" w:asciiTheme="minorEastAsia" w:hAnsiTheme="minorEastAsia" w:eastAsiaTheme="minorEastAsia" w:cstheme="minorEastAsia"/>
          <w:i w:val="0"/>
          <w:iCs w:val="0"/>
          <w:caps w:val="0"/>
          <w:color w:val="000000"/>
          <w:spacing w:val="0"/>
          <w:sz w:val="28"/>
          <w:szCs w:val="28"/>
          <w:shd w:val="clear" w:fill="FFFFFF"/>
        </w:rPr>
        <w:t>万元，较上年</w:t>
      </w:r>
      <w:r>
        <w:rPr>
          <w:rFonts w:hint="eastAsia" w:asciiTheme="minorEastAsia" w:hAnsiTheme="minorEastAsia" w:cstheme="minorEastAsia"/>
          <w:i w:val="0"/>
          <w:iCs w:val="0"/>
          <w:caps w:val="0"/>
          <w:color w:val="000000"/>
          <w:spacing w:val="0"/>
          <w:sz w:val="28"/>
          <w:szCs w:val="28"/>
          <w:shd w:val="clear" w:fill="FFFFFF"/>
          <w:lang w:val="en-US" w:eastAsia="zh-CN"/>
        </w:rPr>
        <w:t>减少114.16</w:t>
      </w:r>
      <w:r>
        <w:rPr>
          <w:rFonts w:hint="eastAsia" w:asciiTheme="minorEastAsia" w:hAnsiTheme="minorEastAsia" w:eastAsiaTheme="minorEastAsia" w:cstheme="minorEastAsia"/>
          <w:i w:val="0"/>
          <w:iCs w:val="0"/>
          <w:caps w:val="0"/>
          <w:color w:val="000000"/>
          <w:spacing w:val="0"/>
          <w:sz w:val="28"/>
          <w:szCs w:val="28"/>
          <w:shd w:val="clear" w:fill="FFFFFF"/>
        </w:rPr>
        <w:t>万元，</w:t>
      </w:r>
      <w:r>
        <w:rPr>
          <w:rFonts w:hint="eastAsia" w:asciiTheme="minorEastAsia" w:hAnsiTheme="minorEastAsia" w:cstheme="minorEastAsia"/>
          <w:i w:val="0"/>
          <w:iCs w:val="0"/>
          <w:caps w:val="0"/>
          <w:color w:val="000000"/>
          <w:spacing w:val="0"/>
          <w:sz w:val="28"/>
          <w:szCs w:val="28"/>
          <w:shd w:val="clear" w:fill="FFFFFF"/>
          <w:lang w:val="en-US" w:eastAsia="zh-CN"/>
        </w:rPr>
        <w:t>下降10.95</w:t>
      </w:r>
      <w:r>
        <w:rPr>
          <w:rFonts w:hint="eastAsia" w:asciiTheme="minorEastAsia" w:hAnsiTheme="minorEastAsia" w:eastAsiaTheme="minorEastAsia" w:cstheme="minorEastAsia"/>
          <w:i w:val="0"/>
          <w:iCs w:val="0"/>
          <w:caps w:val="0"/>
          <w:color w:val="000000"/>
          <w:spacing w:val="0"/>
          <w:sz w:val="28"/>
          <w:szCs w:val="28"/>
          <w:shd w:val="clear" w:fill="FFFFFF"/>
        </w:rPr>
        <w:t>%。基本支出中人员经费为</w:t>
      </w:r>
      <w:r>
        <w:rPr>
          <w:rFonts w:hint="eastAsia" w:asciiTheme="minorEastAsia" w:hAnsiTheme="minorEastAsia" w:cstheme="minorEastAsia"/>
          <w:i w:val="0"/>
          <w:iCs w:val="0"/>
          <w:caps w:val="0"/>
          <w:color w:val="000000"/>
          <w:spacing w:val="0"/>
          <w:sz w:val="28"/>
          <w:szCs w:val="28"/>
          <w:shd w:val="clear" w:fill="FFFFFF"/>
          <w:lang w:val="en-US" w:eastAsia="zh-CN"/>
        </w:rPr>
        <w:t>831.07</w:t>
      </w:r>
      <w:r>
        <w:rPr>
          <w:rFonts w:hint="eastAsia" w:asciiTheme="minorEastAsia" w:hAnsiTheme="minorEastAsia" w:eastAsiaTheme="minorEastAsia" w:cstheme="minorEastAsia"/>
          <w:i w:val="0"/>
          <w:iCs w:val="0"/>
          <w:caps w:val="0"/>
          <w:color w:val="000000"/>
          <w:spacing w:val="0"/>
          <w:sz w:val="28"/>
          <w:szCs w:val="28"/>
          <w:shd w:val="clear" w:fill="FFFFFF"/>
        </w:rPr>
        <w:t>万元，占基本支出的</w:t>
      </w:r>
      <w:r>
        <w:rPr>
          <w:rFonts w:hint="eastAsia" w:asciiTheme="minorEastAsia" w:hAnsiTheme="minorEastAsia" w:cstheme="minorEastAsia"/>
          <w:i w:val="0"/>
          <w:iCs w:val="0"/>
          <w:caps w:val="0"/>
          <w:color w:val="000000"/>
          <w:spacing w:val="0"/>
          <w:sz w:val="28"/>
          <w:szCs w:val="28"/>
          <w:shd w:val="clear" w:fill="FFFFFF"/>
          <w:lang w:val="en-US" w:eastAsia="zh-CN"/>
        </w:rPr>
        <w:t>89.47</w:t>
      </w:r>
      <w:r>
        <w:rPr>
          <w:rFonts w:hint="eastAsia" w:asciiTheme="minorEastAsia" w:hAnsiTheme="minorEastAsia" w:eastAsiaTheme="minorEastAsia" w:cstheme="minorEastAsia"/>
          <w:i w:val="0"/>
          <w:iCs w:val="0"/>
          <w:caps w:val="0"/>
          <w:color w:val="000000"/>
          <w:spacing w:val="0"/>
          <w:sz w:val="28"/>
          <w:szCs w:val="28"/>
          <w:shd w:val="clear" w:fill="FFFFFF"/>
        </w:rPr>
        <w:t>%，较上年</w:t>
      </w:r>
      <w:r>
        <w:rPr>
          <w:rFonts w:hint="eastAsia" w:asciiTheme="minorEastAsia" w:hAnsiTheme="minorEastAsia" w:cstheme="minorEastAsia"/>
          <w:i w:val="0"/>
          <w:iCs w:val="0"/>
          <w:caps w:val="0"/>
          <w:color w:val="000000"/>
          <w:spacing w:val="0"/>
          <w:sz w:val="28"/>
          <w:szCs w:val="28"/>
          <w:shd w:val="clear" w:fill="FFFFFF"/>
          <w:lang w:val="en-US" w:eastAsia="zh-CN"/>
        </w:rPr>
        <w:t>减少96.77</w:t>
      </w:r>
      <w:r>
        <w:rPr>
          <w:rFonts w:hint="eastAsia" w:asciiTheme="minorEastAsia" w:hAnsiTheme="minorEastAsia" w:eastAsiaTheme="minorEastAsia" w:cstheme="minorEastAsia"/>
          <w:i w:val="0"/>
          <w:iCs w:val="0"/>
          <w:caps w:val="0"/>
          <w:color w:val="000000"/>
          <w:spacing w:val="0"/>
          <w:sz w:val="28"/>
          <w:szCs w:val="28"/>
          <w:shd w:val="clear" w:fill="FFFFFF"/>
        </w:rPr>
        <w:t>万元，</w:t>
      </w:r>
      <w:r>
        <w:rPr>
          <w:rFonts w:hint="eastAsia" w:asciiTheme="minorEastAsia" w:hAnsiTheme="minorEastAsia" w:cstheme="minorEastAsia"/>
          <w:i w:val="0"/>
          <w:iCs w:val="0"/>
          <w:caps w:val="0"/>
          <w:color w:val="000000"/>
          <w:spacing w:val="0"/>
          <w:sz w:val="28"/>
          <w:szCs w:val="28"/>
          <w:shd w:val="clear" w:fill="FFFFFF"/>
          <w:lang w:val="en-US" w:eastAsia="zh-CN"/>
        </w:rPr>
        <w:t>下降10.43</w:t>
      </w:r>
      <w:r>
        <w:rPr>
          <w:rFonts w:hint="eastAsia" w:asciiTheme="minorEastAsia" w:hAnsiTheme="minorEastAsia" w:eastAsiaTheme="minorEastAsia" w:cstheme="minorEastAsia"/>
          <w:i w:val="0"/>
          <w:iCs w:val="0"/>
          <w:caps w:val="0"/>
          <w:color w:val="000000"/>
          <w:spacing w:val="0"/>
          <w:sz w:val="28"/>
          <w:szCs w:val="28"/>
          <w:shd w:val="clear" w:fill="FFFFFF"/>
        </w:rPr>
        <w:t>%</w:t>
      </w:r>
      <w:r>
        <w:rPr>
          <w:rFonts w:hint="eastAsia" w:asciiTheme="minorEastAsia" w:hAnsiTheme="minorEastAsia" w:cstheme="minorEastAsia"/>
          <w:i w:val="0"/>
          <w:iCs w:val="0"/>
          <w:caps w:val="0"/>
          <w:color w:val="000000"/>
          <w:spacing w:val="0"/>
          <w:sz w:val="28"/>
          <w:szCs w:val="28"/>
          <w:shd w:val="clear" w:fill="FFFFFF"/>
          <w:lang w:eastAsia="zh-CN"/>
        </w:rPr>
        <w:t>；</w:t>
      </w:r>
      <w:r>
        <w:rPr>
          <w:rFonts w:hint="eastAsia" w:asciiTheme="minorEastAsia" w:hAnsiTheme="minorEastAsia" w:eastAsiaTheme="minorEastAsia" w:cstheme="minorEastAsia"/>
          <w:i w:val="0"/>
          <w:iCs w:val="0"/>
          <w:caps w:val="0"/>
          <w:color w:val="000000"/>
          <w:spacing w:val="0"/>
          <w:sz w:val="28"/>
          <w:szCs w:val="28"/>
          <w:shd w:val="clear" w:fill="FFFFFF"/>
        </w:rPr>
        <w:t>公用经费为</w:t>
      </w:r>
      <w:r>
        <w:rPr>
          <w:rFonts w:hint="eastAsia" w:asciiTheme="minorEastAsia" w:hAnsiTheme="minorEastAsia" w:cstheme="minorEastAsia"/>
          <w:i w:val="0"/>
          <w:iCs w:val="0"/>
          <w:caps w:val="0"/>
          <w:color w:val="000000"/>
          <w:spacing w:val="0"/>
          <w:sz w:val="28"/>
          <w:szCs w:val="28"/>
          <w:shd w:val="clear" w:fill="FFFFFF"/>
          <w:lang w:val="en-US" w:eastAsia="zh-CN"/>
        </w:rPr>
        <w:t>97.84</w:t>
      </w:r>
      <w:r>
        <w:rPr>
          <w:rFonts w:hint="eastAsia" w:asciiTheme="minorEastAsia" w:hAnsiTheme="minorEastAsia" w:eastAsiaTheme="minorEastAsia" w:cstheme="minorEastAsia"/>
          <w:i w:val="0"/>
          <w:iCs w:val="0"/>
          <w:caps w:val="0"/>
          <w:color w:val="000000"/>
          <w:spacing w:val="0"/>
          <w:sz w:val="28"/>
          <w:szCs w:val="28"/>
          <w:shd w:val="clear" w:fill="FFFFFF"/>
        </w:rPr>
        <w:t>万元，占基本支出的</w:t>
      </w:r>
      <w:r>
        <w:rPr>
          <w:rFonts w:hint="eastAsia" w:asciiTheme="minorEastAsia" w:hAnsiTheme="minorEastAsia" w:cstheme="minorEastAsia"/>
          <w:i w:val="0"/>
          <w:iCs w:val="0"/>
          <w:caps w:val="0"/>
          <w:color w:val="000000"/>
          <w:spacing w:val="0"/>
          <w:sz w:val="28"/>
          <w:szCs w:val="28"/>
          <w:shd w:val="clear" w:fill="FFFFFF"/>
          <w:lang w:val="en-US" w:eastAsia="zh-CN"/>
        </w:rPr>
        <w:t>10.53</w:t>
      </w:r>
      <w:r>
        <w:rPr>
          <w:rFonts w:hint="eastAsia" w:asciiTheme="minorEastAsia" w:hAnsiTheme="minorEastAsia" w:eastAsiaTheme="minorEastAsia" w:cstheme="minorEastAsia"/>
          <w:i w:val="0"/>
          <w:iCs w:val="0"/>
          <w:caps w:val="0"/>
          <w:color w:val="000000"/>
          <w:spacing w:val="0"/>
          <w:sz w:val="28"/>
          <w:szCs w:val="28"/>
          <w:shd w:val="clear" w:fill="FFFFFF"/>
        </w:rPr>
        <w:t>%，较上</w:t>
      </w:r>
      <w:r>
        <w:rPr>
          <w:rFonts w:hint="eastAsia" w:asciiTheme="minorEastAsia" w:hAnsiTheme="minorEastAsia" w:cstheme="minorEastAsia"/>
          <w:i w:val="0"/>
          <w:iCs w:val="0"/>
          <w:caps w:val="0"/>
          <w:color w:val="000000"/>
          <w:spacing w:val="0"/>
          <w:sz w:val="28"/>
          <w:szCs w:val="28"/>
          <w:shd w:val="clear" w:fill="FFFFFF"/>
          <w:lang w:val="en-US" w:eastAsia="zh-CN"/>
        </w:rPr>
        <w:t>年减少17.40</w:t>
      </w:r>
      <w:r>
        <w:rPr>
          <w:rFonts w:hint="eastAsia" w:asciiTheme="minorEastAsia" w:hAnsiTheme="minorEastAsia" w:eastAsiaTheme="minorEastAsia" w:cstheme="minorEastAsia"/>
          <w:i w:val="0"/>
          <w:iCs w:val="0"/>
          <w:caps w:val="0"/>
          <w:color w:val="000000"/>
          <w:spacing w:val="0"/>
          <w:sz w:val="28"/>
          <w:szCs w:val="28"/>
          <w:shd w:val="clear" w:fill="FFFFFF"/>
        </w:rPr>
        <w:t>万元，</w:t>
      </w:r>
      <w:r>
        <w:rPr>
          <w:rFonts w:hint="eastAsia" w:asciiTheme="minorEastAsia" w:hAnsiTheme="minorEastAsia" w:cstheme="minorEastAsia"/>
          <w:i w:val="0"/>
          <w:iCs w:val="0"/>
          <w:caps w:val="0"/>
          <w:color w:val="000000"/>
          <w:spacing w:val="0"/>
          <w:sz w:val="28"/>
          <w:szCs w:val="28"/>
          <w:shd w:val="clear" w:fill="FFFFFF"/>
          <w:lang w:val="en-US" w:eastAsia="zh-CN"/>
        </w:rPr>
        <w:t>下降15.10</w:t>
      </w:r>
      <w:r>
        <w:rPr>
          <w:rFonts w:hint="eastAsia" w:asciiTheme="minorEastAsia" w:hAnsiTheme="minorEastAsia" w:eastAsiaTheme="minorEastAsia" w:cstheme="minorEastAsia"/>
          <w:i w:val="0"/>
          <w:iCs w:val="0"/>
          <w:caps w:val="0"/>
          <w:color w:val="000000"/>
          <w:spacing w:val="0"/>
          <w:sz w:val="28"/>
          <w:szCs w:val="28"/>
          <w:shd w:val="clear" w:fill="FFFFFF"/>
        </w:rPr>
        <w:t>%。人员经费、公用经费</w:t>
      </w:r>
      <w:r>
        <w:rPr>
          <w:rFonts w:hint="eastAsia" w:asciiTheme="minorEastAsia" w:hAnsiTheme="minorEastAsia" w:cstheme="minorEastAsia"/>
          <w:i w:val="0"/>
          <w:iCs w:val="0"/>
          <w:caps w:val="0"/>
          <w:color w:val="000000"/>
          <w:spacing w:val="0"/>
          <w:sz w:val="28"/>
          <w:szCs w:val="28"/>
          <w:shd w:val="clear" w:fill="FFFFFF"/>
          <w:lang w:val="en-US" w:eastAsia="zh-CN"/>
        </w:rPr>
        <w:t>下降</w:t>
      </w:r>
      <w:r>
        <w:rPr>
          <w:rFonts w:hint="eastAsia" w:asciiTheme="minorEastAsia" w:hAnsiTheme="minorEastAsia" w:eastAsiaTheme="minorEastAsia" w:cstheme="minorEastAsia"/>
          <w:i w:val="0"/>
          <w:iCs w:val="0"/>
          <w:caps w:val="0"/>
          <w:color w:val="000000"/>
          <w:spacing w:val="0"/>
          <w:sz w:val="28"/>
          <w:szCs w:val="28"/>
          <w:shd w:val="clear" w:fill="FFFFFF"/>
        </w:rPr>
        <w:t>的主要原因是</w:t>
      </w:r>
      <w:r>
        <w:rPr>
          <w:rFonts w:hint="eastAsia" w:asciiTheme="minorEastAsia" w:hAnsiTheme="minorEastAsia" w:cstheme="minorEastAsia"/>
          <w:i w:val="0"/>
          <w:iCs w:val="0"/>
          <w:caps w:val="0"/>
          <w:color w:val="000000"/>
          <w:spacing w:val="0"/>
          <w:sz w:val="28"/>
          <w:szCs w:val="28"/>
          <w:shd w:val="clear" w:fill="FFFFFF"/>
          <w:lang w:val="en-US" w:eastAsia="zh-CN"/>
        </w:rPr>
        <w:t>压减经费开支</w:t>
      </w:r>
      <w:r>
        <w:rPr>
          <w:rFonts w:hint="eastAsia" w:asciiTheme="minorEastAsia" w:hAnsiTheme="minorEastAsia" w:eastAsiaTheme="minorEastAsia" w:cstheme="minorEastAsia"/>
          <w:i w:val="0"/>
          <w:iCs w:val="0"/>
          <w:caps w:val="0"/>
          <w:color w:val="000000"/>
          <w:spacing w:val="0"/>
          <w:sz w:val="28"/>
          <w:szCs w:val="28"/>
          <w:shd w:val="clear" w:fill="FFFFFF"/>
        </w:rPr>
        <w:t>。</w:t>
      </w:r>
    </w:p>
    <w:p w14:paraId="1D7FB9F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2.项目支出情况</w:t>
      </w:r>
    </w:p>
    <w:p w14:paraId="4314992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lang w:eastAsia="zh-CN"/>
        </w:rPr>
      </w:pPr>
      <w:r>
        <w:rPr>
          <w:rFonts w:hint="eastAsia" w:asciiTheme="minorEastAsia" w:hAnsiTheme="minorEastAsia" w:eastAsiaTheme="minorEastAsia" w:cstheme="minorEastAsia"/>
          <w:i w:val="0"/>
          <w:iCs w:val="0"/>
          <w:caps w:val="0"/>
          <w:color w:val="000000"/>
          <w:spacing w:val="0"/>
          <w:sz w:val="28"/>
          <w:szCs w:val="28"/>
          <w:shd w:val="clear" w:fill="FFFFFF"/>
        </w:rPr>
        <w:t>项目支出系我委为完成特定行政工作任务或事业发展目标而发生的专项业务工作经费</w:t>
      </w:r>
      <w:r>
        <w:rPr>
          <w:rFonts w:hint="eastAsia" w:asciiTheme="minorEastAsia" w:hAnsiTheme="minorEastAsia" w:cstheme="minorEastAsia"/>
          <w:i w:val="0"/>
          <w:iCs w:val="0"/>
          <w:caps w:val="0"/>
          <w:color w:val="000000"/>
          <w:spacing w:val="0"/>
          <w:sz w:val="28"/>
          <w:szCs w:val="28"/>
          <w:shd w:val="clear" w:fill="FFFFFF"/>
          <w:lang w:eastAsia="zh-CN"/>
        </w:rPr>
        <w:t>。</w:t>
      </w:r>
    </w:p>
    <w:p w14:paraId="209C8AD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default"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highlight w:val="none"/>
          <w:shd w:val="clear" w:fill="FFFFFF"/>
        </w:rPr>
        <w:t>202</w:t>
      </w:r>
      <w:r>
        <w:rPr>
          <w:rFonts w:hint="eastAsia" w:asciiTheme="minorEastAsia" w:hAnsiTheme="minorEastAsia" w:eastAsiaTheme="minorEastAsia" w:cstheme="minorEastAsia"/>
          <w:i w:val="0"/>
          <w:iCs w:val="0"/>
          <w:caps w:val="0"/>
          <w:color w:val="000000"/>
          <w:spacing w:val="0"/>
          <w:sz w:val="28"/>
          <w:szCs w:val="28"/>
          <w:highlight w:val="none"/>
          <w:shd w:val="clear" w:fill="FFFFFF"/>
          <w:lang w:val="en-US" w:eastAsia="zh-CN"/>
        </w:rPr>
        <w:t>3</w:t>
      </w:r>
      <w:r>
        <w:rPr>
          <w:rFonts w:hint="eastAsia" w:asciiTheme="minorEastAsia" w:hAnsiTheme="minorEastAsia" w:eastAsiaTheme="minorEastAsia" w:cstheme="minorEastAsia"/>
          <w:i w:val="0"/>
          <w:iCs w:val="0"/>
          <w:caps w:val="0"/>
          <w:color w:val="000000"/>
          <w:spacing w:val="0"/>
          <w:sz w:val="28"/>
          <w:szCs w:val="28"/>
          <w:highlight w:val="none"/>
          <w:shd w:val="clear" w:fill="FFFFFF"/>
        </w:rPr>
        <w:t>年度市级财政拨付</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以及实际支出487.86万元，其中：</w:t>
      </w:r>
      <w:r>
        <w:rPr>
          <w:rFonts w:hint="eastAsia" w:asciiTheme="minorEastAsia" w:hAnsiTheme="minorEastAsia" w:eastAsiaTheme="minorEastAsia" w:cstheme="minorEastAsia"/>
          <w:i w:val="0"/>
          <w:iCs w:val="0"/>
          <w:caps w:val="0"/>
          <w:color w:val="000000"/>
          <w:spacing w:val="0"/>
          <w:sz w:val="28"/>
          <w:szCs w:val="28"/>
          <w:highlight w:val="none"/>
          <w:shd w:val="clear" w:fill="FFFFFF"/>
        </w:rPr>
        <w:t>综治民调奖励</w:t>
      </w:r>
      <w:r>
        <w:rPr>
          <w:rFonts w:hint="eastAsia" w:asciiTheme="minorEastAsia" w:hAnsiTheme="minorEastAsia" w:eastAsiaTheme="minorEastAsia" w:cstheme="minorEastAsia"/>
          <w:i w:val="0"/>
          <w:iCs w:val="0"/>
          <w:caps w:val="0"/>
          <w:color w:val="000000"/>
          <w:spacing w:val="0"/>
          <w:sz w:val="28"/>
          <w:szCs w:val="28"/>
          <w:highlight w:val="none"/>
          <w:shd w:val="clear" w:fill="FFFFFF"/>
          <w:lang w:val="en-US" w:eastAsia="zh-CN"/>
        </w:rPr>
        <w:t>25万元，</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表彰经费25万元，调研经费10万元，教育转化基地维修3万元，教育转化专项经费14.97万元，综治民调暗访督查工作经费30万元，社会稳定风险评估专项工作经费20万元，联合接访中心工作经费30万元，市稳定办（其中岗位津贴1.62万元）2.61万元，综治经费（含铁路护路联防工作经费3万元）39.89万元，市法学会课题研究及工作经费9万元，</w:t>
      </w:r>
      <w:r>
        <w:rPr>
          <w:rFonts w:hint="eastAsia" w:asciiTheme="minorEastAsia" w:hAnsiTheme="minorEastAsia" w:eastAsiaTheme="minorEastAsia" w:cstheme="minorEastAsia"/>
          <w:i w:val="0"/>
          <w:iCs w:val="0"/>
          <w:caps w:val="0"/>
          <w:color w:val="000000"/>
          <w:spacing w:val="0"/>
          <w:sz w:val="28"/>
          <w:szCs w:val="28"/>
          <w:shd w:val="clear" w:fill="FFFFFF"/>
        </w:rPr>
        <w:t>全市和市直单位综合治理维护稳定表彰经费</w:t>
      </w:r>
      <w:r>
        <w:rPr>
          <w:rFonts w:hint="eastAsia" w:asciiTheme="minorEastAsia" w:hAnsiTheme="minorEastAsia" w:cstheme="minorEastAsia"/>
          <w:i w:val="0"/>
          <w:iCs w:val="0"/>
          <w:caps w:val="0"/>
          <w:color w:val="000000"/>
          <w:spacing w:val="0"/>
          <w:sz w:val="28"/>
          <w:szCs w:val="28"/>
          <w:shd w:val="clear" w:fill="FFFFFF"/>
          <w:lang w:val="en-US" w:eastAsia="zh-CN"/>
        </w:rPr>
        <w:t>10万元，平安怀化建设资金50万元，涉法涉诉信访案件评查经费10万元，人才资源开发专项资金3.20万元，涉法涉诉信访案件评查经费30万元，市级综治中心场地建设37万元，市域社会治理智能化综合平台建设运维费10.20万元，纳入第二次分配项目13万元，扫黑除恶专项100万元，市委政法委工作经费15万元。</w:t>
      </w:r>
    </w:p>
    <w:p w14:paraId="5C71CB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shd w:val="clear" w:fill="FFFFFF"/>
        </w:rPr>
        <w:t>（三）</w:t>
      </w:r>
      <w:r>
        <w:rPr>
          <w:rFonts w:hint="eastAsia" w:asciiTheme="minorEastAsia" w:hAnsiTheme="minorEastAsia" w:cstheme="minorEastAsia"/>
          <w:i w:val="0"/>
          <w:iCs w:val="0"/>
          <w:caps w:val="0"/>
          <w:color w:val="000000"/>
          <w:spacing w:val="0"/>
          <w:sz w:val="28"/>
          <w:szCs w:val="28"/>
          <w:shd w:val="clear" w:fill="FFFFFF"/>
          <w:lang w:eastAsia="zh-CN"/>
        </w:rPr>
        <w:t>“</w:t>
      </w:r>
      <w:r>
        <w:rPr>
          <w:rFonts w:hint="eastAsia" w:asciiTheme="minorEastAsia" w:hAnsiTheme="minorEastAsia" w:eastAsiaTheme="minorEastAsia" w:cstheme="minorEastAsia"/>
          <w:i w:val="0"/>
          <w:iCs w:val="0"/>
          <w:caps w:val="0"/>
          <w:color w:val="000000"/>
          <w:spacing w:val="0"/>
          <w:sz w:val="28"/>
          <w:szCs w:val="28"/>
          <w:shd w:val="clear" w:fill="FFFFFF"/>
        </w:rPr>
        <w:t>三公</w:t>
      </w:r>
      <w:r>
        <w:rPr>
          <w:rFonts w:hint="eastAsia" w:asciiTheme="minorEastAsia" w:hAnsiTheme="minorEastAsia" w:cstheme="minorEastAsia"/>
          <w:i w:val="0"/>
          <w:iCs w:val="0"/>
          <w:caps w:val="0"/>
          <w:color w:val="000000"/>
          <w:spacing w:val="0"/>
          <w:sz w:val="28"/>
          <w:szCs w:val="28"/>
          <w:shd w:val="clear" w:fill="FFFFFF"/>
          <w:lang w:eastAsia="zh-CN"/>
        </w:rPr>
        <w:t>”</w:t>
      </w:r>
      <w:r>
        <w:rPr>
          <w:rFonts w:hint="eastAsia" w:asciiTheme="minorEastAsia" w:hAnsiTheme="minorEastAsia" w:eastAsiaTheme="minorEastAsia" w:cstheme="minorEastAsia"/>
          <w:i w:val="0"/>
          <w:iCs w:val="0"/>
          <w:caps w:val="0"/>
          <w:color w:val="000000"/>
          <w:spacing w:val="0"/>
          <w:sz w:val="28"/>
          <w:szCs w:val="28"/>
          <w:shd w:val="clear" w:fill="FFFFFF"/>
        </w:rPr>
        <w:t>经费使用和管理情况</w:t>
      </w:r>
    </w:p>
    <w:p w14:paraId="3E09833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none"/>
          <w:shd w:val="clear" w:fill="FFFFFF"/>
        </w:rPr>
      </w:pPr>
      <w:r>
        <w:rPr>
          <w:rFonts w:hint="eastAsia" w:asciiTheme="minorEastAsia" w:hAnsiTheme="minorEastAsia" w:eastAsiaTheme="minorEastAsia" w:cstheme="minorEastAsia"/>
          <w:i w:val="0"/>
          <w:iCs w:val="0"/>
          <w:caps w:val="0"/>
          <w:color w:val="auto"/>
          <w:spacing w:val="0"/>
          <w:sz w:val="28"/>
          <w:szCs w:val="28"/>
          <w:highlight w:val="none"/>
          <w:shd w:val="clear" w:fill="FFFFFF"/>
        </w:rPr>
        <w:t>“三公”经费管理方面，本单位严格对照中央八项规定、</w:t>
      </w:r>
      <w:r>
        <w:rPr>
          <w:rFonts w:hint="eastAsia" w:asciiTheme="minorEastAsia" w:hAnsiTheme="minorEastAsia" w:cstheme="minorEastAsia"/>
          <w:i w:val="0"/>
          <w:iCs w:val="0"/>
          <w:caps w:val="0"/>
          <w:color w:val="auto"/>
          <w:spacing w:val="0"/>
          <w:sz w:val="28"/>
          <w:szCs w:val="28"/>
          <w:highlight w:val="none"/>
          <w:shd w:val="clear" w:fill="FFFFFF"/>
          <w:lang w:val="en-US" w:eastAsia="zh-CN"/>
        </w:rPr>
        <w:t>市</w:t>
      </w:r>
      <w:r>
        <w:rPr>
          <w:rFonts w:hint="eastAsia" w:asciiTheme="minorEastAsia" w:hAnsiTheme="minorEastAsia" w:eastAsiaTheme="minorEastAsia" w:cstheme="minorEastAsia"/>
          <w:i w:val="0"/>
          <w:iCs w:val="0"/>
          <w:caps w:val="0"/>
          <w:color w:val="auto"/>
          <w:spacing w:val="0"/>
          <w:sz w:val="28"/>
          <w:szCs w:val="28"/>
          <w:highlight w:val="none"/>
          <w:shd w:val="clear" w:fill="FFFFFF"/>
        </w:rPr>
        <w:t>公务接待管理</w:t>
      </w:r>
      <w:r>
        <w:rPr>
          <w:rFonts w:hint="eastAsia" w:asciiTheme="minorEastAsia" w:hAnsiTheme="minorEastAsia" w:cstheme="minorEastAsia"/>
          <w:i w:val="0"/>
          <w:iCs w:val="0"/>
          <w:caps w:val="0"/>
          <w:color w:val="auto"/>
          <w:spacing w:val="0"/>
          <w:sz w:val="28"/>
          <w:szCs w:val="28"/>
          <w:highlight w:val="none"/>
          <w:shd w:val="clear" w:fill="FFFFFF"/>
          <w:lang w:val="en-US" w:eastAsia="zh-CN"/>
        </w:rPr>
        <w:t>相关规定</w:t>
      </w:r>
      <w:r>
        <w:rPr>
          <w:rFonts w:hint="eastAsia" w:asciiTheme="minorEastAsia" w:hAnsiTheme="minorEastAsia" w:eastAsiaTheme="minorEastAsia" w:cstheme="minorEastAsia"/>
          <w:i w:val="0"/>
          <w:iCs w:val="0"/>
          <w:caps w:val="0"/>
          <w:color w:val="auto"/>
          <w:spacing w:val="0"/>
          <w:sz w:val="28"/>
          <w:szCs w:val="28"/>
          <w:highlight w:val="none"/>
          <w:shd w:val="clear" w:fill="FFFFFF"/>
        </w:rPr>
        <w:t>执行公务接待活动；严格对照公车管理和“三定”方案：不存在超标配备、购置公车；严格执行定点加油、定点保险和定点维修制度；不存在公车私用、私车公油等车辆问题；不存在违规报销公车费用现象。</w:t>
      </w:r>
      <w:r>
        <w:rPr>
          <w:rFonts w:hint="eastAsia" w:asciiTheme="minorEastAsia" w:hAnsiTheme="minorEastAsia" w:eastAsiaTheme="minorEastAsia" w:cstheme="minorEastAsia"/>
          <w:i w:val="0"/>
          <w:iCs w:val="0"/>
          <w:caps w:val="0"/>
          <w:color w:val="000000"/>
          <w:spacing w:val="0"/>
          <w:sz w:val="28"/>
          <w:szCs w:val="28"/>
          <w:highlight w:val="none"/>
          <w:shd w:val="clear" w:fill="FFFFFF"/>
        </w:rPr>
        <w:t>2023年“三公”经费预算数为</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18</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万元，其中，公务接待</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5</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万元，公务用车购置及运行费</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13</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万元（其中，公务用车购置费</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0</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万元，公务用车运行费</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13</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万元），因公出国（境）费</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0</w:t>
      </w:r>
      <w:r>
        <w:rPr>
          <w:rFonts w:hint="eastAsia" w:asciiTheme="minorEastAsia" w:hAnsiTheme="minorEastAsia" w:eastAsiaTheme="minorEastAsia" w:cstheme="minorEastAsia"/>
          <w:i w:val="0"/>
          <w:iCs w:val="0"/>
          <w:caps w:val="0"/>
          <w:color w:val="000000"/>
          <w:spacing w:val="0"/>
          <w:sz w:val="28"/>
          <w:szCs w:val="28"/>
          <w:highlight w:val="none"/>
          <w:shd w:val="clear" w:fill="FFFFFF"/>
        </w:rPr>
        <w:t>元。2</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023</w:t>
      </w:r>
      <w:r>
        <w:rPr>
          <w:rFonts w:hint="eastAsia" w:asciiTheme="minorEastAsia" w:hAnsiTheme="minorEastAsia" w:eastAsiaTheme="minorEastAsia" w:cstheme="minorEastAsia"/>
          <w:i w:val="0"/>
          <w:iCs w:val="0"/>
          <w:caps w:val="0"/>
          <w:color w:val="000000"/>
          <w:spacing w:val="0"/>
          <w:sz w:val="28"/>
          <w:szCs w:val="28"/>
          <w:highlight w:val="none"/>
          <w:shd w:val="clear" w:fill="FFFFFF"/>
        </w:rPr>
        <w:t>年度我</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委</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“三公”经费实际开支</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19.14</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万元，其中公务接待费实际发生数为</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4</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万元，公务用车购置费</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0</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万元，公务用车购置及运行费</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15.14</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万元，出国出境费0元。</w:t>
      </w:r>
    </w:p>
    <w:p w14:paraId="66D8376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2" w:firstLineChars="200"/>
        <w:textAlignment w:val="auto"/>
        <w:rPr>
          <w:rFonts w:hint="eastAsia" w:asciiTheme="minorEastAsia" w:hAnsiTheme="minorEastAsia" w:eastAsiaTheme="minorEastAsia" w:cstheme="minorEastAsia"/>
          <w:b/>
          <w:bCs/>
          <w:i w:val="0"/>
          <w:iCs w:val="0"/>
          <w:caps w:val="0"/>
          <w:color w:val="000000"/>
          <w:spacing w:val="0"/>
          <w:sz w:val="28"/>
          <w:szCs w:val="28"/>
        </w:rPr>
      </w:pPr>
      <w:r>
        <w:rPr>
          <w:rFonts w:hint="eastAsia" w:asciiTheme="minorEastAsia" w:hAnsiTheme="minorEastAsia" w:eastAsiaTheme="minorEastAsia" w:cstheme="minorEastAsia"/>
          <w:b/>
          <w:bCs/>
          <w:i w:val="0"/>
          <w:iCs w:val="0"/>
          <w:caps w:val="0"/>
          <w:color w:val="000000"/>
          <w:spacing w:val="0"/>
          <w:sz w:val="28"/>
          <w:szCs w:val="28"/>
          <w:shd w:val="clear" w:fill="FFFFFF"/>
        </w:rPr>
        <w:t>三、政府性基金预算支出情况</w:t>
      </w:r>
    </w:p>
    <w:p w14:paraId="50D1655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cstheme="minorEastAsia"/>
          <w:i w:val="0"/>
          <w:iCs w:val="0"/>
          <w:caps w:val="0"/>
          <w:color w:val="000000"/>
          <w:spacing w:val="0"/>
          <w:sz w:val="28"/>
          <w:szCs w:val="28"/>
          <w:shd w:val="clear" w:fill="FFFFFF"/>
          <w:lang w:val="en-US" w:eastAsia="zh-CN"/>
        </w:rPr>
        <w:t>本单位2023年度无</w:t>
      </w:r>
      <w:r>
        <w:rPr>
          <w:rFonts w:hint="eastAsia" w:asciiTheme="minorEastAsia" w:hAnsiTheme="minorEastAsia" w:eastAsiaTheme="minorEastAsia" w:cstheme="minorEastAsia"/>
          <w:i w:val="0"/>
          <w:iCs w:val="0"/>
          <w:caps w:val="0"/>
          <w:color w:val="000000"/>
          <w:spacing w:val="0"/>
          <w:sz w:val="28"/>
          <w:szCs w:val="28"/>
          <w:shd w:val="clear" w:fill="FFFFFF"/>
        </w:rPr>
        <w:t>政府性基金预算支出</w:t>
      </w:r>
      <w:r>
        <w:rPr>
          <w:rFonts w:hint="eastAsia" w:asciiTheme="minorEastAsia" w:hAnsiTheme="minorEastAsia" w:cstheme="minorEastAsia"/>
          <w:i w:val="0"/>
          <w:iCs w:val="0"/>
          <w:caps w:val="0"/>
          <w:color w:val="000000"/>
          <w:spacing w:val="0"/>
          <w:sz w:val="28"/>
          <w:szCs w:val="28"/>
          <w:shd w:val="clear" w:fill="FFFFFF"/>
          <w:lang w:eastAsia="zh-CN"/>
        </w:rPr>
        <w:t>。</w:t>
      </w:r>
    </w:p>
    <w:p w14:paraId="5EE4FA5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2" w:firstLineChars="200"/>
        <w:textAlignment w:val="auto"/>
        <w:rPr>
          <w:rFonts w:hint="eastAsia" w:asciiTheme="minorEastAsia" w:hAnsiTheme="minorEastAsia" w:eastAsiaTheme="minorEastAsia" w:cstheme="minorEastAsia"/>
          <w:b/>
          <w:bCs/>
          <w:i w:val="0"/>
          <w:iCs w:val="0"/>
          <w:caps w:val="0"/>
          <w:color w:val="000000"/>
          <w:spacing w:val="0"/>
          <w:sz w:val="28"/>
          <w:szCs w:val="28"/>
        </w:rPr>
      </w:pPr>
      <w:r>
        <w:rPr>
          <w:rFonts w:hint="eastAsia" w:asciiTheme="minorEastAsia" w:hAnsiTheme="minorEastAsia" w:eastAsiaTheme="minorEastAsia" w:cstheme="minorEastAsia"/>
          <w:b/>
          <w:bCs/>
          <w:i w:val="0"/>
          <w:iCs w:val="0"/>
          <w:caps w:val="0"/>
          <w:color w:val="000000"/>
          <w:spacing w:val="0"/>
          <w:sz w:val="28"/>
          <w:szCs w:val="28"/>
          <w:shd w:val="clear" w:fill="FFFFFF"/>
        </w:rPr>
        <w:t>四、国有资本经营预算支出情况</w:t>
      </w:r>
    </w:p>
    <w:p w14:paraId="5EC55A3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cstheme="minorEastAsia"/>
          <w:i w:val="0"/>
          <w:iCs w:val="0"/>
          <w:caps w:val="0"/>
          <w:color w:val="000000"/>
          <w:spacing w:val="0"/>
          <w:sz w:val="28"/>
          <w:szCs w:val="28"/>
          <w:shd w:val="clear" w:fill="FFFFFF"/>
          <w:lang w:val="en-US" w:eastAsia="zh-CN"/>
        </w:rPr>
        <w:t>本单位2023年度无</w:t>
      </w:r>
      <w:r>
        <w:rPr>
          <w:rFonts w:hint="eastAsia" w:asciiTheme="minorEastAsia" w:hAnsiTheme="minorEastAsia" w:eastAsiaTheme="minorEastAsia" w:cstheme="minorEastAsia"/>
          <w:i w:val="0"/>
          <w:iCs w:val="0"/>
          <w:caps w:val="0"/>
          <w:color w:val="000000"/>
          <w:spacing w:val="0"/>
          <w:sz w:val="28"/>
          <w:szCs w:val="28"/>
          <w:shd w:val="clear" w:fill="FFFFFF"/>
        </w:rPr>
        <w:t>国有资本经营预算支出</w:t>
      </w:r>
      <w:r>
        <w:rPr>
          <w:rFonts w:hint="eastAsia" w:asciiTheme="minorEastAsia" w:hAnsiTheme="minorEastAsia" w:cstheme="minorEastAsia"/>
          <w:i w:val="0"/>
          <w:iCs w:val="0"/>
          <w:caps w:val="0"/>
          <w:color w:val="000000"/>
          <w:spacing w:val="0"/>
          <w:sz w:val="28"/>
          <w:szCs w:val="28"/>
          <w:shd w:val="clear" w:fill="FFFFFF"/>
          <w:lang w:eastAsia="zh-CN"/>
        </w:rPr>
        <w:t>。</w:t>
      </w:r>
    </w:p>
    <w:p w14:paraId="7C78A01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2" w:firstLineChars="200"/>
        <w:textAlignment w:val="auto"/>
        <w:rPr>
          <w:rFonts w:hint="eastAsia" w:asciiTheme="minorEastAsia" w:hAnsiTheme="minorEastAsia" w:eastAsiaTheme="minorEastAsia" w:cstheme="minorEastAsia"/>
          <w:b/>
          <w:bCs/>
          <w:i w:val="0"/>
          <w:iCs w:val="0"/>
          <w:caps w:val="0"/>
          <w:color w:val="000000"/>
          <w:spacing w:val="0"/>
          <w:sz w:val="28"/>
          <w:szCs w:val="28"/>
        </w:rPr>
      </w:pPr>
      <w:r>
        <w:rPr>
          <w:rFonts w:hint="eastAsia" w:asciiTheme="minorEastAsia" w:hAnsiTheme="minorEastAsia" w:eastAsiaTheme="minorEastAsia" w:cstheme="minorEastAsia"/>
          <w:b/>
          <w:bCs/>
          <w:i w:val="0"/>
          <w:iCs w:val="0"/>
          <w:caps w:val="0"/>
          <w:color w:val="000000"/>
          <w:spacing w:val="0"/>
          <w:sz w:val="28"/>
          <w:szCs w:val="28"/>
          <w:shd w:val="clear" w:fill="FFFFFF"/>
        </w:rPr>
        <w:t>五、社会保险基金预算支出情况</w:t>
      </w:r>
    </w:p>
    <w:p w14:paraId="5969454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cstheme="minorEastAsia"/>
          <w:i w:val="0"/>
          <w:iCs w:val="0"/>
          <w:caps w:val="0"/>
          <w:color w:val="000000"/>
          <w:spacing w:val="0"/>
          <w:sz w:val="28"/>
          <w:szCs w:val="28"/>
          <w:shd w:val="clear" w:fill="FFFFFF"/>
          <w:lang w:val="en-US" w:eastAsia="zh-CN"/>
        </w:rPr>
        <w:t>本单位2023年度无</w:t>
      </w:r>
      <w:r>
        <w:rPr>
          <w:rFonts w:hint="eastAsia" w:asciiTheme="minorEastAsia" w:hAnsiTheme="minorEastAsia" w:eastAsiaTheme="minorEastAsia" w:cstheme="minorEastAsia"/>
          <w:i w:val="0"/>
          <w:iCs w:val="0"/>
          <w:caps w:val="0"/>
          <w:color w:val="000000"/>
          <w:spacing w:val="0"/>
          <w:sz w:val="28"/>
          <w:szCs w:val="28"/>
          <w:shd w:val="clear" w:fill="FFFFFF"/>
        </w:rPr>
        <w:t>社会保险基金预算支出</w:t>
      </w:r>
      <w:r>
        <w:rPr>
          <w:rFonts w:hint="eastAsia" w:asciiTheme="minorEastAsia" w:hAnsiTheme="minorEastAsia" w:cstheme="minorEastAsia"/>
          <w:i w:val="0"/>
          <w:iCs w:val="0"/>
          <w:caps w:val="0"/>
          <w:color w:val="000000"/>
          <w:spacing w:val="0"/>
          <w:sz w:val="28"/>
          <w:szCs w:val="28"/>
          <w:shd w:val="clear" w:fill="FFFFFF"/>
          <w:lang w:eastAsia="zh-CN"/>
        </w:rPr>
        <w:t>。</w:t>
      </w:r>
    </w:p>
    <w:p w14:paraId="02F93ED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2" w:firstLineChars="200"/>
        <w:textAlignment w:val="auto"/>
        <w:rPr>
          <w:rFonts w:hint="eastAsia" w:asciiTheme="minorEastAsia" w:hAnsiTheme="minorEastAsia" w:eastAsiaTheme="minorEastAsia" w:cstheme="minorEastAsia"/>
          <w:b/>
          <w:bCs/>
          <w:i w:val="0"/>
          <w:iCs w:val="0"/>
          <w:caps w:val="0"/>
          <w:color w:val="000000"/>
          <w:spacing w:val="0"/>
          <w:sz w:val="28"/>
          <w:szCs w:val="28"/>
        </w:rPr>
      </w:pPr>
      <w:r>
        <w:rPr>
          <w:rFonts w:hint="eastAsia" w:asciiTheme="minorEastAsia" w:hAnsiTheme="minorEastAsia" w:eastAsiaTheme="minorEastAsia" w:cstheme="minorEastAsia"/>
          <w:b/>
          <w:bCs/>
          <w:i w:val="0"/>
          <w:iCs w:val="0"/>
          <w:caps w:val="0"/>
          <w:color w:val="000000"/>
          <w:spacing w:val="0"/>
          <w:sz w:val="28"/>
          <w:szCs w:val="28"/>
          <w:shd w:val="clear" w:fill="FFFFFF"/>
        </w:rPr>
        <w:t>六、部门整体支出绩效情况</w:t>
      </w:r>
    </w:p>
    <w:p w14:paraId="7DA6C1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shd w:val="clear" w:fill="FFFFFF"/>
        </w:rPr>
        <w:t>（一）综合评价结论。反映自评得分及评价等级。</w:t>
      </w:r>
    </w:p>
    <w:p w14:paraId="0B60971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none"/>
          <w:shd w:val="clear" w:fill="FFFFFF"/>
        </w:rPr>
      </w:pPr>
      <w:r>
        <w:rPr>
          <w:rFonts w:hint="eastAsia" w:asciiTheme="minorEastAsia" w:hAnsiTheme="minorEastAsia" w:eastAsiaTheme="minorEastAsia" w:cstheme="minorEastAsia"/>
          <w:i w:val="0"/>
          <w:iCs w:val="0"/>
          <w:caps w:val="0"/>
          <w:color w:val="000000"/>
          <w:spacing w:val="0"/>
          <w:sz w:val="28"/>
          <w:szCs w:val="28"/>
          <w:highlight w:val="none"/>
          <w:shd w:val="clear" w:fill="FFFFFF"/>
        </w:rPr>
        <w:t>2023年，我单位积极履职，强化管理，较好地完成了年度工作目标，通过加强预算收支管理，不断建立健全内部管理制度，梳理内部管理流程，部门整体支出管理水平得到提升，根据部门整体支出绩效评价体系，我单位2023年度评价</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100分，评分等级为</w:t>
      </w:r>
      <w:r>
        <w:rPr>
          <w:rFonts w:hint="eastAsia" w:asciiTheme="minorEastAsia" w:hAnsiTheme="minorEastAsia" w:eastAsiaTheme="minorEastAsia" w:cstheme="minorEastAsia"/>
          <w:i w:val="0"/>
          <w:iCs w:val="0"/>
          <w:caps w:val="0"/>
          <w:color w:val="000000"/>
          <w:spacing w:val="0"/>
          <w:sz w:val="28"/>
          <w:szCs w:val="28"/>
          <w:highlight w:val="none"/>
          <w:shd w:val="clear" w:fill="FFFFFF"/>
          <w:lang w:val="en-US" w:eastAsia="zh-CN"/>
        </w:rPr>
        <w:t>优秀</w:t>
      </w:r>
      <w:r>
        <w:rPr>
          <w:rFonts w:hint="eastAsia" w:asciiTheme="minorEastAsia" w:hAnsiTheme="minorEastAsia" w:eastAsiaTheme="minorEastAsia" w:cstheme="minorEastAsia"/>
          <w:i w:val="0"/>
          <w:iCs w:val="0"/>
          <w:caps w:val="0"/>
          <w:color w:val="000000"/>
          <w:spacing w:val="0"/>
          <w:sz w:val="28"/>
          <w:szCs w:val="28"/>
          <w:highlight w:val="none"/>
          <w:shd w:val="clear" w:fill="FFFFFF"/>
        </w:rPr>
        <w:t>。</w:t>
      </w:r>
    </w:p>
    <w:p w14:paraId="4BC6273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二）评价指标分析（或综合评价情况）。围绕部门职责、行业发展规划，以预算资金管理为主线，从整体绩效目标设定、预算配置、预算执行、预算管理、资产管理、职责履行、履职效益等方面综合分析。总结归纳本部门"四本预算"支出的绩效目标完成情况，实现产出和取得效益的情况。</w:t>
      </w:r>
    </w:p>
    <w:p w14:paraId="7AB416D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1</w:t>
      </w:r>
      <w:r>
        <w:rPr>
          <w:rFonts w:hint="eastAsia" w:asciiTheme="minorEastAsia" w:hAnsiTheme="minorEastAsia" w:cstheme="minorEastAsia"/>
          <w:i w:val="0"/>
          <w:iCs w:val="0"/>
          <w:caps w:val="0"/>
          <w:color w:val="000000"/>
          <w:spacing w:val="0"/>
          <w:sz w:val="28"/>
          <w:szCs w:val="28"/>
          <w:shd w:val="clear" w:fill="FFFFFF"/>
          <w:lang w:val="en-US" w:eastAsia="zh-CN"/>
        </w:rPr>
        <w:t>.</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目标设定</w:t>
      </w:r>
    </w:p>
    <w:p w14:paraId="48020D9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①绩效目标合理性：本部门设立的整体绩效目标符合国家法律法规、国民经济和社会发展总体规划、符合“三定”方案确定的职责与部门制定的中长期实施规划。根据评价标准该项得满分3分。</w:t>
      </w:r>
    </w:p>
    <w:p w14:paraId="384A87B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②绩效指标明确性：本部门设定的绩效指标清晰、细化、可衡量，与部门年度的任务数相对应，并与本年度部门预算资金相匹配。</w:t>
      </w:r>
    </w:p>
    <w:p w14:paraId="7F45A04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none"/>
          <w:shd w:val="clear" w:fill="FFFFFF"/>
        </w:rPr>
      </w:pPr>
      <w:r>
        <w:rPr>
          <w:rFonts w:hint="eastAsia" w:asciiTheme="minorEastAsia" w:hAnsiTheme="minorEastAsia" w:cstheme="minorEastAsia"/>
          <w:i w:val="0"/>
          <w:iCs w:val="0"/>
          <w:caps w:val="0"/>
          <w:color w:val="000000"/>
          <w:spacing w:val="0"/>
          <w:sz w:val="28"/>
          <w:szCs w:val="28"/>
          <w:highlight w:val="none"/>
          <w:shd w:val="clear" w:fill="FFFFFF"/>
          <w:lang w:val="en-US" w:eastAsia="zh-CN"/>
        </w:rPr>
        <w:t>2.</w:t>
      </w:r>
      <w:r>
        <w:rPr>
          <w:rFonts w:hint="eastAsia" w:asciiTheme="minorEastAsia" w:hAnsiTheme="minorEastAsia" w:eastAsiaTheme="minorEastAsia" w:cstheme="minorEastAsia"/>
          <w:i w:val="0"/>
          <w:iCs w:val="0"/>
          <w:caps w:val="0"/>
          <w:color w:val="000000"/>
          <w:spacing w:val="0"/>
          <w:sz w:val="28"/>
          <w:szCs w:val="28"/>
          <w:highlight w:val="none"/>
          <w:shd w:val="clear" w:fill="FFFFFF"/>
        </w:rPr>
        <w:t>预算配置</w:t>
      </w:r>
    </w:p>
    <w:p w14:paraId="2215AEE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none"/>
          <w:shd w:val="clear" w:fill="FFFFFF"/>
        </w:rPr>
      </w:pPr>
      <w:r>
        <w:rPr>
          <w:rFonts w:hint="eastAsia" w:asciiTheme="minorEastAsia" w:hAnsiTheme="minorEastAsia" w:eastAsiaTheme="minorEastAsia" w:cstheme="minorEastAsia"/>
          <w:i w:val="0"/>
          <w:iCs w:val="0"/>
          <w:caps w:val="0"/>
          <w:color w:val="000000"/>
          <w:spacing w:val="0"/>
          <w:sz w:val="28"/>
          <w:szCs w:val="28"/>
          <w:highlight w:val="none"/>
          <w:shd w:val="clear" w:fill="FFFFFF"/>
        </w:rPr>
        <w:t>截至20</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23</w:t>
      </w:r>
      <w:r>
        <w:rPr>
          <w:rFonts w:hint="eastAsia" w:asciiTheme="minorEastAsia" w:hAnsiTheme="minorEastAsia" w:eastAsiaTheme="minorEastAsia" w:cstheme="minorEastAsia"/>
          <w:i w:val="0"/>
          <w:iCs w:val="0"/>
          <w:caps w:val="0"/>
          <w:color w:val="000000"/>
          <w:spacing w:val="0"/>
          <w:sz w:val="28"/>
          <w:szCs w:val="28"/>
          <w:highlight w:val="none"/>
          <w:shd w:val="clear" w:fill="FFFFFF"/>
        </w:rPr>
        <w:t>年12月31日我委行政编制数</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44</w:t>
      </w:r>
      <w:r>
        <w:rPr>
          <w:rFonts w:hint="eastAsia" w:asciiTheme="minorEastAsia" w:hAnsiTheme="minorEastAsia" w:eastAsiaTheme="minorEastAsia" w:cstheme="minorEastAsia"/>
          <w:i w:val="0"/>
          <w:iCs w:val="0"/>
          <w:caps w:val="0"/>
          <w:color w:val="000000"/>
          <w:spacing w:val="0"/>
          <w:sz w:val="28"/>
          <w:szCs w:val="28"/>
          <w:highlight w:val="none"/>
          <w:shd w:val="clear" w:fill="FFFFFF"/>
        </w:rPr>
        <w:t>名，事业编制</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8</w:t>
      </w:r>
      <w:r>
        <w:rPr>
          <w:rFonts w:hint="eastAsia" w:asciiTheme="minorEastAsia" w:hAnsiTheme="minorEastAsia" w:eastAsiaTheme="minorEastAsia" w:cstheme="minorEastAsia"/>
          <w:i w:val="0"/>
          <w:iCs w:val="0"/>
          <w:caps w:val="0"/>
          <w:color w:val="000000"/>
          <w:spacing w:val="0"/>
          <w:sz w:val="28"/>
          <w:szCs w:val="28"/>
          <w:highlight w:val="none"/>
          <w:shd w:val="clear" w:fill="FFFFFF"/>
        </w:rPr>
        <w:t>名。实有在职人数</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46</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人，在职人员控制率为</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88.46%</w:t>
      </w:r>
      <w:r>
        <w:rPr>
          <w:rFonts w:hint="eastAsia" w:asciiTheme="minorEastAsia" w:hAnsiTheme="minorEastAsia" w:eastAsiaTheme="minorEastAsia" w:cstheme="minorEastAsia"/>
          <w:i w:val="0"/>
          <w:iCs w:val="0"/>
          <w:caps w:val="0"/>
          <w:color w:val="000000"/>
          <w:spacing w:val="0"/>
          <w:sz w:val="28"/>
          <w:szCs w:val="28"/>
          <w:highlight w:val="none"/>
          <w:shd w:val="clear" w:fill="FFFFFF"/>
        </w:rPr>
        <w:t>。20</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22</w:t>
      </w:r>
      <w:r>
        <w:rPr>
          <w:rFonts w:hint="eastAsia" w:asciiTheme="minorEastAsia" w:hAnsiTheme="minorEastAsia" w:eastAsiaTheme="minorEastAsia" w:cstheme="minorEastAsia"/>
          <w:i w:val="0"/>
          <w:iCs w:val="0"/>
          <w:caps w:val="0"/>
          <w:color w:val="000000"/>
          <w:spacing w:val="0"/>
          <w:sz w:val="28"/>
          <w:szCs w:val="28"/>
          <w:highlight w:val="none"/>
          <w:shd w:val="clear" w:fill="FFFFFF"/>
        </w:rPr>
        <w:t>年度“三公经费”预算为</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27.72</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万元，20</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23</w:t>
      </w:r>
      <w:r>
        <w:rPr>
          <w:rFonts w:hint="eastAsia" w:asciiTheme="minorEastAsia" w:hAnsiTheme="minorEastAsia" w:eastAsiaTheme="minorEastAsia" w:cstheme="minorEastAsia"/>
          <w:i w:val="0"/>
          <w:iCs w:val="0"/>
          <w:caps w:val="0"/>
          <w:color w:val="000000"/>
          <w:spacing w:val="0"/>
          <w:sz w:val="28"/>
          <w:szCs w:val="28"/>
          <w:highlight w:val="none"/>
          <w:shd w:val="clear" w:fill="FFFFFF"/>
        </w:rPr>
        <w:t>年度“三公经费”预算为</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18</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万元，“三公经费”</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下降35.06</w:t>
      </w:r>
      <w:r>
        <w:rPr>
          <w:rFonts w:hint="eastAsia" w:asciiTheme="minorEastAsia" w:hAnsiTheme="minorEastAsia" w:eastAsiaTheme="minorEastAsia" w:cstheme="minorEastAsia"/>
          <w:i w:val="0"/>
          <w:iCs w:val="0"/>
          <w:caps w:val="0"/>
          <w:color w:val="000000"/>
          <w:spacing w:val="0"/>
          <w:sz w:val="28"/>
          <w:szCs w:val="28"/>
          <w:highlight w:val="none"/>
          <w:shd w:val="clear" w:fill="FFFFFF"/>
        </w:rPr>
        <w:t>%。</w:t>
      </w:r>
    </w:p>
    <w:p w14:paraId="7AE29ED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none"/>
          <w:shd w:val="clear" w:fill="FFFFFF"/>
        </w:rPr>
      </w:pPr>
      <w:r>
        <w:rPr>
          <w:rFonts w:hint="eastAsia" w:asciiTheme="minorEastAsia" w:hAnsiTheme="minorEastAsia" w:cstheme="minorEastAsia"/>
          <w:i w:val="0"/>
          <w:iCs w:val="0"/>
          <w:caps w:val="0"/>
          <w:color w:val="000000"/>
          <w:spacing w:val="0"/>
          <w:sz w:val="28"/>
          <w:szCs w:val="28"/>
          <w:highlight w:val="none"/>
          <w:shd w:val="clear" w:fill="FFFFFF"/>
          <w:lang w:val="en-US" w:eastAsia="zh-CN"/>
        </w:rPr>
        <w:t>3.</w:t>
      </w:r>
      <w:r>
        <w:rPr>
          <w:rFonts w:hint="eastAsia" w:asciiTheme="minorEastAsia" w:hAnsiTheme="minorEastAsia" w:eastAsiaTheme="minorEastAsia" w:cstheme="minorEastAsia"/>
          <w:i w:val="0"/>
          <w:iCs w:val="0"/>
          <w:caps w:val="0"/>
          <w:color w:val="000000"/>
          <w:spacing w:val="0"/>
          <w:sz w:val="28"/>
          <w:szCs w:val="28"/>
          <w:highlight w:val="none"/>
          <w:shd w:val="clear" w:fill="FFFFFF"/>
        </w:rPr>
        <w:t>预算执行</w:t>
      </w:r>
    </w:p>
    <w:p w14:paraId="4F408D9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none"/>
          <w:shd w:val="clear" w:fill="FFFFFF"/>
        </w:rPr>
      </w:pPr>
      <w:r>
        <w:rPr>
          <w:rFonts w:hint="eastAsia" w:asciiTheme="minorEastAsia" w:hAnsiTheme="minorEastAsia" w:eastAsiaTheme="minorEastAsia" w:cstheme="minorEastAsia"/>
          <w:i w:val="0"/>
          <w:iCs w:val="0"/>
          <w:caps w:val="0"/>
          <w:color w:val="000000"/>
          <w:spacing w:val="0"/>
          <w:sz w:val="28"/>
          <w:szCs w:val="28"/>
          <w:highlight w:val="none"/>
          <w:shd w:val="clear" w:fill="FFFFFF"/>
          <w:lang w:val="en-US" w:eastAsia="zh-CN"/>
        </w:rPr>
        <w:t>2023年我委</w:t>
      </w:r>
      <w:r>
        <w:rPr>
          <w:rFonts w:hint="eastAsia" w:asciiTheme="minorEastAsia" w:hAnsiTheme="minorEastAsia" w:eastAsiaTheme="minorEastAsia" w:cstheme="minorEastAsia"/>
          <w:i w:val="0"/>
          <w:iCs w:val="0"/>
          <w:caps w:val="0"/>
          <w:color w:val="000000"/>
          <w:spacing w:val="0"/>
          <w:sz w:val="28"/>
          <w:szCs w:val="28"/>
          <w:highlight w:val="none"/>
          <w:shd w:val="clear" w:fill="FFFFFF"/>
        </w:rPr>
        <w:t>预算数为</w:t>
      </w:r>
      <w:r>
        <w:rPr>
          <w:rFonts w:hint="eastAsia" w:asciiTheme="minorEastAsia" w:hAnsiTheme="minorEastAsia" w:eastAsiaTheme="minorEastAsia" w:cstheme="minorEastAsia"/>
          <w:i w:val="0"/>
          <w:iCs w:val="0"/>
          <w:caps w:val="0"/>
          <w:color w:val="000000"/>
          <w:spacing w:val="0"/>
          <w:sz w:val="28"/>
          <w:szCs w:val="28"/>
          <w:highlight w:val="none"/>
          <w:shd w:val="clear" w:fill="FFFFFF"/>
          <w:lang w:eastAsia="zh-CN"/>
        </w:rPr>
        <w:t>：</w:t>
      </w:r>
      <w:r>
        <w:rPr>
          <w:rFonts w:hint="eastAsia" w:asciiTheme="minorEastAsia" w:hAnsiTheme="minorEastAsia" w:eastAsiaTheme="minorEastAsia" w:cstheme="minorEastAsia"/>
          <w:i w:val="0"/>
          <w:iCs w:val="0"/>
          <w:caps w:val="0"/>
          <w:color w:val="000000"/>
          <w:spacing w:val="0"/>
          <w:sz w:val="28"/>
          <w:szCs w:val="28"/>
          <w:highlight w:val="none"/>
          <w:shd w:val="clear" w:fill="FFFFFF"/>
        </w:rPr>
        <w:t>总收、支预算</w:t>
      </w:r>
      <w:r>
        <w:rPr>
          <w:rFonts w:hint="default" w:asciiTheme="minorEastAsia" w:hAnsiTheme="minorEastAsia" w:eastAsiaTheme="minorEastAsia" w:cstheme="minorEastAsia"/>
          <w:i w:val="0"/>
          <w:iCs w:val="0"/>
          <w:caps w:val="0"/>
          <w:color w:val="000000"/>
          <w:spacing w:val="0"/>
          <w:sz w:val="28"/>
          <w:szCs w:val="28"/>
          <w:highlight w:val="none"/>
          <w:shd w:val="clear" w:fill="FFFFFF"/>
        </w:rPr>
        <w:t>1232.48</w:t>
      </w:r>
      <w:r>
        <w:rPr>
          <w:rFonts w:hint="eastAsia" w:asciiTheme="minorEastAsia" w:hAnsiTheme="minorEastAsia" w:eastAsiaTheme="minorEastAsia" w:cstheme="minorEastAsia"/>
          <w:i w:val="0"/>
          <w:iCs w:val="0"/>
          <w:caps w:val="0"/>
          <w:color w:val="000000"/>
          <w:spacing w:val="0"/>
          <w:sz w:val="28"/>
          <w:szCs w:val="28"/>
          <w:highlight w:val="none"/>
          <w:shd w:val="clear" w:fill="FFFFFF"/>
        </w:rPr>
        <w:t>元。20</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23</w:t>
      </w:r>
      <w:r>
        <w:rPr>
          <w:rFonts w:hint="eastAsia" w:asciiTheme="minorEastAsia" w:hAnsiTheme="minorEastAsia" w:eastAsiaTheme="minorEastAsia" w:cstheme="minorEastAsia"/>
          <w:i w:val="0"/>
          <w:iCs w:val="0"/>
          <w:caps w:val="0"/>
          <w:color w:val="000000"/>
          <w:spacing w:val="0"/>
          <w:sz w:val="28"/>
          <w:szCs w:val="28"/>
          <w:highlight w:val="none"/>
          <w:shd w:val="clear" w:fill="FFFFFF"/>
        </w:rPr>
        <w:t>年我委本年收入</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1416.76</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万元(其中财政拔款收入</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1416.76</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万元)，本年支出</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1416.76</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万元(其中财政拔款支出</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1416.76</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万元)。其中基本支出</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928.90</w:t>
      </w:r>
      <w:r>
        <w:rPr>
          <w:rFonts w:hint="eastAsia" w:asciiTheme="minorEastAsia" w:hAnsiTheme="minorEastAsia" w:eastAsiaTheme="minorEastAsia" w:cstheme="minorEastAsia"/>
          <w:i w:val="0"/>
          <w:iCs w:val="0"/>
          <w:caps w:val="0"/>
          <w:color w:val="000000"/>
          <w:spacing w:val="0"/>
          <w:sz w:val="28"/>
          <w:szCs w:val="28"/>
          <w:highlight w:val="none"/>
          <w:shd w:val="clear" w:fill="FFFFFF"/>
        </w:rPr>
        <w:t>万元，项目支出</w:t>
      </w:r>
      <w:r>
        <w:rPr>
          <w:rFonts w:hint="eastAsia" w:asciiTheme="minorEastAsia" w:hAnsiTheme="minorEastAsia" w:cstheme="minorEastAsia"/>
          <w:i w:val="0"/>
          <w:iCs w:val="0"/>
          <w:caps w:val="0"/>
          <w:color w:val="000000"/>
          <w:spacing w:val="0"/>
          <w:sz w:val="28"/>
          <w:szCs w:val="28"/>
          <w:highlight w:val="none"/>
          <w:shd w:val="clear" w:fill="FFFFFF"/>
          <w:lang w:val="en-US" w:eastAsia="zh-CN"/>
        </w:rPr>
        <w:t>487.86</w:t>
      </w:r>
      <w:r>
        <w:rPr>
          <w:rFonts w:hint="eastAsia" w:asciiTheme="minorEastAsia" w:hAnsiTheme="minorEastAsia" w:eastAsiaTheme="minorEastAsia" w:cstheme="minorEastAsia"/>
          <w:i w:val="0"/>
          <w:iCs w:val="0"/>
          <w:caps w:val="0"/>
          <w:color w:val="000000"/>
          <w:spacing w:val="0"/>
          <w:sz w:val="28"/>
          <w:szCs w:val="28"/>
          <w:highlight w:val="none"/>
          <w:shd w:val="clear" w:fill="FFFFFF"/>
        </w:rPr>
        <w:t>元。</w:t>
      </w:r>
    </w:p>
    <w:p w14:paraId="0D5BED4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cstheme="minorEastAsia"/>
          <w:i w:val="0"/>
          <w:iCs w:val="0"/>
          <w:caps w:val="0"/>
          <w:color w:val="000000"/>
          <w:spacing w:val="0"/>
          <w:sz w:val="28"/>
          <w:szCs w:val="28"/>
          <w:shd w:val="clear" w:fill="FFFFFF"/>
          <w:lang w:val="en-US" w:eastAsia="zh-CN"/>
        </w:rPr>
        <w:t>4.</w:t>
      </w:r>
      <w:r>
        <w:rPr>
          <w:rFonts w:hint="eastAsia" w:asciiTheme="minorEastAsia" w:hAnsiTheme="minorEastAsia" w:eastAsiaTheme="minorEastAsia" w:cstheme="minorEastAsia"/>
          <w:i w:val="0"/>
          <w:iCs w:val="0"/>
          <w:caps w:val="0"/>
          <w:color w:val="000000"/>
          <w:spacing w:val="0"/>
          <w:sz w:val="28"/>
          <w:szCs w:val="28"/>
          <w:shd w:val="clear" w:fill="FFFFFF"/>
        </w:rPr>
        <w:t>预算管理</w:t>
      </w:r>
    </w:p>
    <w:p w14:paraId="00C3355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公用经费支出是指部门基本支出中的一般商品和服务支出，20</w:t>
      </w:r>
      <w:r>
        <w:rPr>
          <w:rFonts w:hint="eastAsia" w:asciiTheme="minorEastAsia" w:hAnsiTheme="minorEastAsia" w:cstheme="minorEastAsia"/>
          <w:i w:val="0"/>
          <w:iCs w:val="0"/>
          <w:caps w:val="0"/>
          <w:color w:val="000000"/>
          <w:spacing w:val="0"/>
          <w:sz w:val="28"/>
          <w:szCs w:val="28"/>
          <w:shd w:val="clear" w:fill="FFFFFF"/>
          <w:lang w:val="en-US" w:eastAsia="zh-CN"/>
        </w:rPr>
        <w:t>23</w:t>
      </w:r>
      <w:r>
        <w:rPr>
          <w:rFonts w:hint="eastAsia" w:asciiTheme="minorEastAsia" w:hAnsiTheme="minorEastAsia" w:eastAsiaTheme="minorEastAsia" w:cstheme="minorEastAsia"/>
          <w:i w:val="0"/>
          <w:iCs w:val="0"/>
          <w:caps w:val="0"/>
          <w:color w:val="000000"/>
          <w:spacing w:val="0"/>
          <w:sz w:val="28"/>
          <w:szCs w:val="28"/>
          <w:shd w:val="clear" w:fill="FFFFFF"/>
        </w:rPr>
        <w:t>年公用经费实际支出为</w:t>
      </w:r>
      <w:r>
        <w:rPr>
          <w:rFonts w:hint="eastAsia" w:asciiTheme="minorEastAsia" w:hAnsiTheme="minorEastAsia" w:cstheme="minorEastAsia"/>
          <w:i w:val="0"/>
          <w:iCs w:val="0"/>
          <w:caps w:val="0"/>
          <w:color w:val="000000"/>
          <w:spacing w:val="0"/>
          <w:sz w:val="28"/>
          <w:szCs w:val="28"/>
          <w:shd w:val="clear" w:fill="FFFFFF"/>
          <w:lang w:val="en-US" w:eastAsia="zh-CN"/>
        </w:rPr>
        <w:t>97.84</w:t>
      </w:r>
      <w:r>
        <w:rPr>
          <w:rFonts w:hint="eastAsia" w:asciiTheme="minorEastAsia" w:hAnsiTheme="minorEastAsia" w:eastAsiaTheme="minorEastAsia" w:cstheme="minorEastAsia"/>
          <w:i w:val="0"/>
          <w:iCs w:val="0"/>
          <w:caps w:val="0"/>
          <w:color w:val="000000"/>
          <w:spacing w:val="0"/>
          <w:sz w:val="28"/>
          <w:szCs w:val="28"/>
          <w:shd w:val="clear" w:fill="FFFFFF"/>
        </w:rPr>
        <w:t>万元，年初预算安排公用经费总额为</w:t>
      </w:r>
      <w:r>
        <w:rPr>
          <w:rFonts w:hint="eastAsia" w:asciiTheme="minorEastAsia" w:hAnsiTheme="minorEastAsia" w:cstheme="minorEastAsia"/>
          <w:i w:val="0"/>
          <w:iCs w:val="0"/>
          <w:caps w:val="0"/>
          <w:color w:val="000000"/>
          <w:spacing w:val="0"/>
          <w:sz w:val="28"/>
          <w:szCs w:val="28"/>
          <w:shd w:val="clear" w:fill="FFFFFF"/>
          <w:lang w:val="en-US" w:eastAsia="zh-CN"/>
        </w:rPr>
        <w:t>138</w:t>
      </w:r>
      <w:r>
        <w:rPr>
          <w:rFonts w:hint="eastAsia" w:asciiTheme="minorEastAsia" w:hAnsiTheme="minorEastAsia" w:eastAsiaTheme="minorEastAsia" w:cstheme="minorEastAsia"/>
          <w:i w:val="0"/>
          <w:iCs w:val="0"/>
          <w:caps w:val="0"/>
          <w:color w:val="000000"/>
          <w:spacing w:val="0"/>
          <w:sz w:val="28"/>
          <w:szCs w:val="28"/>
          <w:shd w:val="clear" w:fill="FFFFFF"/>
        </w:rPr>
        <w:t>万元，公用经费控制率为</w:t>
      </w:r>
      <w:r>
        <w:rPr>
          <w:rFonts w:hint="eastAsia" w:asciiTheme="minorEastAsia" w:hAnsiTheme="minorEastAsia" w:cstheme="minorEastAsia"/>
          <w:i w:val="0"/>
          <w:iCs w:val="0"/>
          <w:caps w:val="0"/>
          <w:color w:val="000000"/>
          <w:spacing w:val="0"/>
          <w:sz w:val="28"/>
          <w:szCs w:val="28"/>
          <w:shd w:val="clear" w:fill="FFFFFF"/>
          <w:lang w:val="en-US" w:eastAsia="zh-CN"/>
        </w:rPr>
        <w:t>70.90</w:t>
      </w:r>
      <w:r>
        <w:rPr>
          <w:rFonts w:hint="eastAsia" w:asciiTheme="minorEastAsia" w:hAnsiTheme="minorEastAsia" w:eastAsiaTheme="minorEastAsia" w:cstheme="minorEastAsia"/>
          <w:i w:val="0"/>
          <w:iCs w:val="0"/>
          <w:caps w:val="0"/>
          <w:color w:val="000000"/>
          <w:spacing w:val="0"/>
          <w:sz w:val="28"/>
          <w:szCs w:val="28"/>
          <w:shd w:val="clear" w:fill="FFFFFF"/>
        </w:rPr>
        <w:t>%。公用经费</w:t>
      </w:r>
      <w:r>
        <w:rPr>
          <w:rFonts w:hint="eastAsia" w:asciiTheme="minorEastAsia" w:hAnsiTheme="minorEastAsia" w:cstheme="minorEastAsia"/>
          <w:i w:val="0"/>
          <w:iCs w:val="0"/>
          <w:caps w:val="0"/>
          <w:color w:val="000000"/>
          <w:spacing w:val="0"/>
          <w:sz w:val="28"/>
          <w:szCs w:val="28"/>
          <w:shd w:val="clear" w:fill="FFFFFF"/>
          <w:lang w:val="en-US" w:eastAsia="zh-CN"/>
        </w:rPr>
        <w:t>较</w:t>
      </w:r>
      <w:r>
        <w:rPr>
          <w:rFonts w:hint="eastAsia" w:asciiTheme="minorEastAsia" w:hAnsiTheme="minorEastAsia" w:eastAsiaTheme="minorEastAsia" w:cstheme="minorEastAsia"/>
          <w:i w:val="0"/>
          <w:iCs w:val="0"/>
          <w:caps w:val="0"/>
          <w:color w:val="000000"/>
          <w:spacing w:val="0"/>
          <w:sz w:val="28"/>
          <w:szCs w:val="28"/>
          <w:shd w:val="clear" w:fill="FFFFFF"/>
        </w:rPr>
        <w:t>预算的</w:t>
      </w:r>
      <w:r>
        <w:rPr>
          <w:rFonts w:hint="eastAsia" w:asciiTheme="minorEastAsia" w:hAnsiTheme="minorEastAsia" w:cstheme="minorEastAsia"/>
          <w:i w:val="0"/>
          <w:iCs w:val="0"/>
          <w:caps w:val="0"/>
          <w:color w:val="000000"/>
          <w:spacing w:val="0"/>
          <w:sz w:val="28"/>
          <w:szCs w:val="28"/>
          <w:shd w:val="clear" w:fill="FFFFFF"/>
          <w:lang w:val="en-US" w:eastAsia="zh-CN"/>
        </w:rPr>
        <w:t>少</w:t>
      </w:r>
      <w:r>
        <w:rPr>
          <w:rFonts w:hint="eastAsia" w:asciiTheme="minorEastAsia" w:hAnsiTheme="minorEastAsia" w:eastAsiaTheme="minorEastAsia" w:cstheme="minorEastAsia"/>
          <w:i w:val="0"/>
          <w:iCs w:val="0"/>
          <w:caps w:val="0"/>
          <w:color w:val="000000"/>
          <w:spacing w:val="0"/>
          <w:sz w:val="28"/>
          <w:szCs w:val="28"/>
          <w:shd w:val="clear" w:fill="FFFFFF"/>
        </w:rPr>
        <w:t>原因主要是</w:t>
      </w:r>
      <w:r>
        <w:rPr>
          <w:rFonts w:hint="eastAsia" w:asciiTheme="minorEastAsia" w:hAnsiTheme="minorEastAsia" w:cstheme="minorEastAsia"/>
          <w:i w:val="0"/>
          <w:iCs w:val="0"/>
          <w:caps w:val="0"/>
          <w:color w:val="000000"/>
          <w:spacing w:val="0"/>
          <w:sz w:val="28"/>
          <w:szCs w:val="28"/>
          <w:shd w:val="clear" w:fill="FFFFFF"/>
          <w:lang w:val="en-US" w:eastAsia="zh-CN"/>
        </w:rPr>
        <w:t>压减经费开支</w:t>
      </w:r>
      <w:r>
        <w:rPr>
          <w:rFonts w:hint="eastAsia" w:asciiTheme="minorEastAsia" w:hAnsiTheme="minorEastAsia" w:eastAsiaTheme="minorEastAsia" w:cstheme="minorEastAsia"/>
          <w:i w:val="0"/>
          <w:iCs w:val="0"/>
          <w:caps w:val="0"/>
          <w:color w:val="000000"/>
          <w:spacing w:val="0"/>
          <w:sz w:val="28"/>
          <w:szCs w:val="28"/>
          <w:shd w:val="clear" w:fill="FFFFFF"/>
        </w:rPr>
        <w:t>。</w:t>
      </w:r>
    </w:p>
    <w:p w14:paraId="38DAB5D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lang w:eastAsia="zh-CN"/>
        </w:rPr>
      </w:pPr>
      <w:r>
        <w:rPr>
          <w:rFonts w:hint="eastAsia" w:asciiTheme="minorEastAsia" w:hAnsiTheme="minorEastAsia" w:eastAsiaTheme="minorEastAsia" w:cstheme="minorEastAsia"/>
          <w:i w:val="0"/>
          <w:iCs w:val="0"/>
          <w:caps w:val="0"/>
          <w:color w:val="000000"/>
          <w:spacing w:val="0"/>
          <w:sz w:val="28"/>
          <w:szCs w:val="28"/>
          <w:shd w:val="clear" w:fill="FFFFFF"/>
        </w:rPr>
        <w:t>20</w:t>
      </w:r>
      <w:r>
        <w:rPr>
          <w:rFonts w:hint="eastAsia" w:asciiTheme="minorEastAsia" w:hAnsiTheme="minorEastAsia" w:cstheme="minorEastAsia"/>
          <w:i w:val="0"/>
          <w:iCs w:val="0"/>
          <w:caps w:val="0"/>
          <w:color w:val="000000"/>
          <w:spacing w:val="0"/>
          <w:sz w:val="28"/>
          <w:szCs w:val="28"/>
          <w:shd w:val="clear" w:fill="FFFFFF"/>
          <w:lang w:val="en-US" w:eastAsia="zh-CN"/>
        </w:rPr>
        <w:t>23</w:t>
      </w:r>
      <w:r>
        <w:rPr>
          <w:rFonts w:hint="eastAsia" w:asciiTheme="minorEastAsia" w:hAnsiTheme="minorEastAsia" w:eastAsiaTheme="minorEastAsia" w:cstheme="minorEastAsia"/>
          <w:i w:val="0"/>
          <w:iCs w:val="0"/>
          <w:caps w:val="0"/>
          <w:color w:val="000000"/>
          <w:spacing w:val="0"/>
          <w:sz w:val="28"/>
          <w:szCs w:val="28"/>
          <w:shd w:val="clear" w:fill="FFFFFF"/>
        </w:rPr>
        <w:t>年“三公经费”实际支出数为</w:t>
      </w:r>
      <w:r>
        <w:rPr>
          <w:rFonts w:hint="eastAsia" w:asciiTheme="minorEastAsia" w:hAnsiTheme="minorEastAsia" w:cstheme="minorEastAsia"/>
          <w:i w:val="0"/>
          <w:iCs w:val="0"/>
          <w:caps w:val="0"/>
          <w:color w:val="000000"/>
          <w:spacing w:val="0"/>
          <w:sz w:val="28"/>
          <w:szCs w:val="28"/>
          <w:shd w:val="clear" w:fill="FFFFFF"/>
          <w:lang w:val="en-US" w:eastAsia="zh-CN"/>
        </w:rPr>
        <w:t>19.14</w:t>
      </w:r>
      <w:r>
        <w:rPr>
          <w:rFonts w:hint="eastAsia" w:asciiTheme="minorEastAsia" w:hAnsiTheme="minorEastAsia" w:eastAsiaTheme="minorEastAsia" w:cstheme="minorEastAsia"/>
          <w:i w:val="0"/>
          <w:iCs w:val="0"/>
          <w:caps w:val="0"/>
          <w:color w:val="000000"/>
          <w:spacing w:val="0"/>
          <w:sz w:val="28"/>
          <w:szCs w:val="28"/>
          <w:shd w:val="clear" w:fill="FFFFFF"/>
        </w:rPr>
        <w:t>万元，“三公经费”预算安排数为</w:t>
      </w:r>
      <w:r>
        <w:rPr>
          <w:rFonts w:hint="eastAsia" w:asciiTheme="minorEastAsia" w:hAnsiTheme="minorEastAsia" w:cstheme="minorEastAsia"/>
          <w:i w:val="0"/>
          <w:iCs w:val="0"/>
          <w:caps w:val="0"/>
          <w:color w:val="000000"/>
          <w:spacing w:val="0"/>
          <w:sz w:val="28"/>
          <w:szCs w:val="28"/>
          <w:shd w:val="clear" w:fill="FFFFFF"/>
          <w:lang w:val="en-US" w:eastAsia="zh-CN"/>
        </w:rPr>
        <w:t>18</w:t>
      </w:r>
      <w:r>
        <w:rPr>
          <w:rFonts w:hint="eastAsia" w:asciiTheme="minorEastAsia" w:hAnsiTheme="minorEastAsia" w:eastAsiaTheme="minorEastAsia" w:cstheme="minorEastAsia"/>
          <w:i w:val="0"/>
          <w:iCs w:val="0"/>
          <w:caps w:val="0"/>
          <w:color w:val="000000"/>
          <w:spacing w:val="0"/>
          <w:sz w:val="28"/>
          <w:szCs w:val="28"/>
          <w:shd w:val="clear" w:fill="FFFFFF"/>
        </w:rPr>
        <w:t>万元，“三公经费”控制率为</w:t>
      </w:r>
      <w:r>
        <w:rPr>
          <w:rFonts w:hint="eastAsia" w:asciiTheme="minorEastAsia" w:hAnsiTheme="minorEastAsia" w:cstheme="minorEastAsia"/>
          <w:i w:val="0"/>
          <w:iCs w:val="0"/>
          <w:caps w:val="0"/>
          <w:color w:val="000000"/>
          <w:spacing w:val="0"/>
          <w:sz w:val="28"/>
          <w:szCs w:val="28"/>
          <w:shd w:val="clear" w:fill="FFFFFF"/>
          <w:lang w:val="en-US" w:eastAsia="zh-CN"/>
        </w:rPr>
        <w:t>106.33</w:t>
      </w:r>
      <w:r>
        <w:rPr>
          <w:rFonts w:hint="eastAsia" w:asciiTheme="minorEastAsia" w:hAnsiTheme="minorEastAsia" w:eastAsiaTheme="minorEastAsia" w:cstheme="minorEastAsia"/>
          <w:i w:val="0"/>
          <w:iCs w:val="0"/>
          <w:caps w:val="0"/>
          <w:color w:val="000000"/>
          <w:spacing w:val="0"/>
          <w:sz w:val="28"/>
          <w:szCs w:val="28"/>
          <w:shd w:val="clear" w:fill="FFFFFF"/>
        </w:rPr>
        <w:t>%。20</w:t>
      </w:r>
      <w:r>
        <w:rPr>
          <w:rFonts w:hint="eastAsia" w:asciiTheme="minorEastAsia" w:hAnsiTheme="minorEastAsia" w:cstheme="minorEastAsia"/>
          <w:i w:val="0"/>
          <w:iCs w:val="0"/>
          <w:caps w:val="0"/>
          <w:color w:val="000000"/>
          <w:spacing w:val="0"/>
          <w:sz w:val="28"/>
          <w:szCs w:val="28"/>
          <w:shd w:val="clear" w:fill="FFFFFF"/>
          <w:lang w:val="en-US" w:eastAsia="zh-CN"/>
        </w:rPr>
        <w:t>23</w:t>
      </w:r>
      <w:r>
        <w:rPr>
          <w:rFonts w:hint="eastAsia" w:asciiTheme="minorEastAsia" w:hAnsiTheme="minorEastAsia" w:eastAsiaTheme="minorEastAsia" w:cstheme="minorEastAsia"/>
          <w:i w:val="0"/>
          <w:iCs w:val="0"/>
          <w:caps w:val="0"/>
          <w:color w:val="000000"/>
          <w:spacing w:val="0"/>
          <w:sz w:val="28"/>
          <w:szCs w:val="28"/>
          <w:shd w:val="clear" w:fill="FFFFFF"/>
        </w:rPr>
        <w:t>年实际政府采购金额为217.16万元，政府采购预算数为</w:t>
      </w:r>
      <w:r>
        <w:rPr>
          <w:rFonts w:hint="eastAsia" w:asciiTheme="minorEastAsia" w:hAnsiTheme="minorEastAsia" w:cstheme="minorEastAsia"/>
          <w:i w:val="0"/>
          <w:iCs w:val="0"/>
          <w:caps w:val="0"/>
          <w:color w:val="000000"/>
          <w:spacing w:val="0"/>
          <w:sz w:val="28"/>
          <w:szCs w:val="28"/>
          <w:shd w:val="clear" w:fill="FFFFFF"/>
          <w:lang w:val="en-US" w:eastAsia="zh-CN"/>
        </w:rPr>
        <w:t>0</w:t>
      </w:r>
      <w:r>
        <w:rPr>
          <w:rFonts w:hint="eastAsia" w:asciiTheme="minorEastAsia" w:hAnsiTheme="minorEastAsia" w:eastAsiaTheme="minorEastAsia" w:cstheme="minorEastAsia"/>
          <w:i w:val="0"/>
          <w:iCs w:val="0"/>
          <w:caps w:val="0"/>
          <w:color w:val="000000"/>
          <w:spacing w:val="0"/>
          <w:sz w:val="28"/>
          <w:szCs w:val="28"/>
          <w:shd w:val="clear" w:fill="FFFFFF"/>
        </w:rPr>
        <w:t>万元，政府采购执行率为</w:t>
      </w:r>
      <w:r>
        <w:rPr>
          <w:rFonts w:hint="eastAsia" w:asciiTheme="minorEastAsia" w:hAnsiTheme="minorEastAsia" w:cstheme="minorEastAsia"/>
          <w:i w:val="0"/>
          <w:iCs w:val="0"/>
          <w:caps w:val="0"/>
          <w:color w:val="000000"/>
          <w:spacing w:val="0"/>
          <w:sz w:val="28"/>
          <w:szCs w:val="28"/>
          <w:shd w:val="clear" w:fill="FFFFFF"/>
          <w:lang w:val="en-US" w:eastAsia="zh-CN"/>
        </w:rPr>
        <w:t>0</w:t>
      </w:r>
      <w:r>
        <w:rPr>
          <w:rFonts w:hint="eastAsia" w:asciiTheme="minorEastAsia" w:hAnsiTheme="minorEastAsia" w:eastAsiaTheme="minorEastAsia" w:cstheme="minorEastAsia"/>
          <w:i w:val="0"/>
          <w:iCs w:val="0"/>
          <w:caps w:val="0"/>
          <w:color w:val="000000"/>
          <w:spacing w:val="0"/>
          <w:sz w:val="28"/>
          <w:szCs w:val="28"/>
          <w:shd w:val="clear" w:fill="FFFFFF"/>
        </w:rPr>
        <w:t>%。导致政府采购执行率低的主要原因一是一次性采购未达采购限额的零散采购较多，根据相关文件精神不需要政府采购</w:t>
      </w:r>
      <w:r>
        <w:rPr>
          <w:rFonts w:hint="eastAsia" w:asciiTheme="minorEastAsia" w:hAnsiTheme="minorEastAsia" w:cstheme="minorEastAsia"/>
          <w:i w:val="0"/>
          <w:iCs w:val="0"/>
          <w:caps w:val="0"/>
          <w:color w:val="000000"/>
          <w:spacing w:val="0"/>
          <w:sz w:val="28"/>
          <w:szCs w:val="28"/>
          <w:shd w:val="clear" w:fill="FFFFFF"/>
          <w:lang w:eastAsia="zh-CN"/>
        </w:rPr>
        <w:t>。</w:t>
      </w:r>
    </w:p>
    <w:p w14:paraId="78B94DC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我委在资金使用上，严格遵守各项财经法规和财务管理制度规定，资金拔付有完整的审批程序和手续，支出符合部门预算批复的用途,无截留、挤占、挪用、虚列支出等情况。</w:t>
      </w:r>
    </w:p>
    <w:p w14:paraId="5A10FBA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cstheme="minorEastAsia"/>
          <w:i w:val="0"/>
          <w:iCs w:val="0"/>
          <w:caps w:val="0"/>
          <w:color w:val="000000"/>
          <w:spacing w:val="0"/>
          <w:sz w:val="28"/>
          <w:szCs w:val="28"/>
          <w:shd w:val="clear" w:fill="FFFFFF"/>
          <w:lang w:val="en-US" w:eastAsia="zh-CN"/>
        </w:rPr>
        <w:t>我委</w:t>
      </w:r>
      <w:r>
        <w:rPr>
          <w:rFonts w:hint="eastAsia" w:asciiTheme="minorEastAsia" w:hAnsiTheme="minorEastAsia" w:eastAsiaTheme="minorEastAsia" w:cstheme="minorEastAsia"/>
          <w:i w:val="0"/>
          <w:iCs w:val="0"/>
          <w:caps w:val="0"/>
          <w:color w:val="000000"/>
          <w:spacing w:val="0"/>
          <w:sz w:val="28"/>
          <w:szCs w:val="28"/>
          <w:shd w:val="clear" w:fill="FFFFFF"/>
        </w:rPr>
        <w:t>准时在我</w:t>
      </w:r>
      <w:r>
        <w:rPr>
          <w:rFonts w:hint="eastAsia" w:asciiTheme="minorEastAsia" w:hAnsiTheme="minorEastAsia" w:cstheme="minorEastAsia"/>
          <w:i w:val="0"/>
          <w:iCs w:val="0"/>
          <w:caps w:val="0"/>
          <w:color w:val="000000"/>
          <w:spacing w:val="0"/>
          <w:sz w:val="28"/>
          <w:szCs w:val="28"/>
          <w:shd w:val="clear" w:fill="FFFFFF"/>
          <w:lang w:val="en-US" w:eastAsia="zh-CN"/>
        </w:rPr>
        <w:t>市</w:t>
      </w:r>
      <w:r>
        <w:rPr>
          <w:rFonts w:hint="eastAsia" w:asciiTheme="minorEastAsia" w:hAnsiTheme="minorEastAsia" w:eastAsiaTheme="minorEastAsia" w:cstheme="minorEastAsia"/>
          <w:i w:val="0"/>
          <w:iCs w:val="0"/>
          <w:caps w:val="0"/>
          <w:color w:val="000000"/>
          <w:spacing w:val="0"/>
          <w:sz w:val="28"/>
          <w:szCs w:val="28"/>
          <w:shd w:val="clear" w:fill="FFFFFF"/>
        </w:rPr>
        <w:t>政府门户网站上对20</w:t>
      </w:r>
      <w:r>
        <w:rPr>
          <w:rFonts w:hint="eastAsia" w:asciiTheme="minorEastAsia" w:hAnsiTheme="minorEastAsia" w:cstheme="minorEastAsia"/>
          <w:i w:val="0"/>
          <w:iCs w:val="0"/>
          <w:caps w:val="0"/>
          <w:color w:val="000000"/>
          <w:spacing w:val="0"/>
          <w:sz w:val="28"/>
          <w:szCs w:val="28"/>
          <w:shd w:val="clear" w:fill="FFFFFF"/>
          <w:lang w:val="en-US" w:eastAsia="zh-CN"/>
        </w:rPr>
        <w:t>23</w:t>
      </w:r>
      <w:r>
        <w:rPr>
          <w:rFonts w:hint="eastAsia" w:asciiTheme="minorEastAsia" w:hAnsiTheme="minorEastAsia" w:eastAsiaTheme="minorEastAsia" w:cstheme="minorEastAsia"/>
          <w:i w:val="0"/>
          <w:iCs w:val="0"/>
          <w:caps w:val="0"/>
          <w:color w:val="000000"/>
          <w:spacing w:val="0"/>
          <w:sz w:val="28"/>
          <w:szCs w:val="28"/>
          <w:shd w:val="clear" w:fill="FFFFFF"/>
        </w:rPr>
        <w:t>年部门预算和“三公”经费预算进行了公开，基础数据信息和会计信息资料真实、完整。</w:t>
      </w:r>
    </w:p>
    <w:p w14:paraId="4DB1428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default"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cstheme="minorEastAsia"/>
          <w:i w:val="0"/>
          <w:iCs w:val="0"/>
          <w:caps w:val="0"/>
          <w:color w:val="000000"/>
          <w:spacing w:val="0"/>
          <w:sz w:val="28"/>
          <w:szCs w:val="28"/>
          <w:shd w:val="clear" w:fill="FFFFFF"/>
          <w:lang w:val="en-US" w:eastAsia="zh-CN"/>
        </w:rPr>
        <w:t>5.</w:t>
      </w:r>
      <w:r>
        <w:rPr>
          <w:rFonts w:hint="eastAsia" w:asciiTheme="minorEastAsia" w:hAnsiTheme="minorEastAsia" w:eastAsiaTheme="minorEastAsia" w:cstheme="minorEastAsia"/>
          <w:i w:val="0"/>
          <w:iCs w:val="0"/>
          <w:caps w:val="0"/>
          <w:color w:val="000000"/>
          <w:spacing w:val="0"/>
          <w:sz w:val="28"/>
          <w:szCs w:val="28"/>
          <w:shd w:val="clear" w:fill="FFFFFF"/>
        </w:rPr>
        <w:t>资产管理</w:t>
      </w:r>
    </w:p>
    <w:p w14:paraId="3EADF04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为加强资产管理、规范资产管理行为，我委制定了《国有资产管理办法》</w:t>
      </w:r>
      <w:r>
        <w:rPr>
          <w:rFonts w:hint="eastAsia" w:asciiTheme="minorEastAsia" w:hAnsiTheme="minorEastAsia" w:cstheme="minorEastAsia"/>
          <w:i w:val="0"/>
          <w:iCs w:val="0"/>
          <w:caps w:val="0"/>
          <w:color w:val="000000"/>
          <w:spacing w:val="0"/>
          <w:sz w:val="28"/>
          <w:szCs w:val="28"/>
          <w:shd w:val="clear" w:fill="FFFFFF"/>
          <w:lang w:val="en-US" w:eastAsia="zh-CN"/>
        </w:rPr>
        <w:t>，</w:t>
      </w:r>
      <w:r>
        <w:rPr>
          <w:rFonts w:hint="eastAsia" w:asciiTheme="minorEastAsia" w:hAnsiTheme="minorEastAsia" w:eastAsiaTheme="minorEastAsia" w:cstheme="minorEastAsia"/>
          <w:i w:val="0"/>
          <w:iCs w:val="0"/>
          <w:caps w:val="0"/>
          <w:color w:val="000000"/>
          <w:spacing w:val="0"/>
          <w:sz w:val="28"/>
          <w:szCs w:val="28"/>
          <w:shd w:val="clear" w:fill="FFFFFF"/>
        </w:rPr>
        <w:t>该资产管理制度合法、合规、完整，并得到有效执行。资产保存完整，账务管理合规，账实相符，资产有偿使用及处置收入及时足额上缴。20</w:t>
      </w:r>
      <w:r>
        <w:rPr>
          <w:rFonts w:hint="eastAsia" w:asciiTheme="minorEastAsia" w:hAnsiTheme="minorEastAsia" w:cstheme="minorEastAsia"/>
          <w:i w:val="0"/>
          <w:iCs w:val="0"/>
          <w:caps w:val="0"/>
          <w:color w:val="000000"/>
          <w:spacing w:val="0"/>
          <w:sz w:val="28"/>
          <w:szCs w:val="28"/>
          <w:shd w:val="clear" w:fill="FFFFFF"/>
          <w:lang w:val="en-US" w:eastAsia="zh-CN"/>
        </w:rPr>
        <w:t>23</w:t>
      </w:r>
      <w:r>
        <w:rPr>
          <w:rFonts w:hint="eastAsia" w:asciiTheme="minorEastAsia" w:hAnsiTheme="minorEastAsia" w:eastAsiaTheme="minorEastAsia" w:cstheme="minorEastAsia"/>
          <w:i w:val="0"/>
          <w:iCs w:val="0"/>
          <w:caps w:val="0"/>
          <w:color w:val="000000"/>
          <w:spacing w:val="0"/>
          <w:sz w:val="28"/>
          <w:szCs w:val="28"/>
          <w:shd w:val="clear" w:fill="FFFFFF"/>
        </w:rPr>
        <w:t>年末我委共有固定资产</w:t>
      </w:r>
      <w:r>
        <w:rPr>
          <w:rFonts w:hint="eastAsia" w:asciiTheme="minorEastAsia" w:hAnsiTheme="minorEastAsia" w:cstheme="minorEastAsia"/>
          <w:i w:val="0"/>
          <w:iCs w:val="0"/>
          <w:caps w:val="0"/>
          <w:color w:val="000000"/>
          <w:spacing w:val="0"/>
          <w:sz w:val="28"/>
          <w:szCs w:val="28"/>
          <w:shd w:val="clear" w:fill="FFFFFF"/>
          <w:lang w:eastAsia="zh-CN"/>
        </w:rPr>
        <w:t>（</w:t>
      </w:r>
      <w:r>
        <w:rPr>
          <w:rFonts w:hint="eastAsia" w:asciiTheme="minorEastAsia" w:hAnsiTheme="minorEastAsia" w:cstheme="minorEastAsia"/>
          <w:i w:val="0"/>
          <w:iCs w:val="0"/>
          <w:caps w:val="0"/>
          <w:color w:val="000000"/>
          <w:spacing w:val="0"/>
          <w:sz w:val="28"/>
          <w:szCs w:val="28"/>
          <w:shd w:val="clear" w:fill="FFFFFF"/>
          <w:lang w:val="en-US" w:eastAsia="zh-CN"/>
        </w:rPr>
        <w:t>净值）149.13</w:t>
      </w:r>
      <w:r>
        <w:rPr>
          <w:rFonts w:hint="eastAsia" w:asciiTheme="minorEastAsia" w:hAnsiTheme="minorEastAsia" w:eastAsiaTheme="minorEastAsia" w:cstheme="minorEastAsia"/>
          <w:i w:val="0"/>
          <w:iCs w:val="0"/>
          <w:caps w:val="0"/>
          <w:color w:val="000000"/>
          <w:spacing w:val="0"/>
          <w:sz w:val="28"/>
          <w:szCs w:val="28"/>
          <w:shd w:val="clear" w:fill="FFFFFF"/>
        </w:rPr>
        <w:t>万元，在用固定资产</w:t>
      </w:r>
      <w:r>
        <w:rPr>
          <w:rFonts w:hint="eastAsia" w:asciiTheme="minorEastAsia" w:hAnsiTheme="minorEastAsia" w:cstheme="minorEastAsia"/>
          <w:i w:val="0"/>
          <w:iCs w:val="0"/>
          <w:caps w:val="0"/>
          <w:color w:val="000000"/>
          <w:spacing w:val="0"/>
          <w:sz w:val="28"/>
          <w:szCs w:val="28"/>
          <w:shd w:val="clear" w:fill="FFFFFF"/>
          <w:lang w:eastAsia="zh-CN"/>
        </w:rPr>
        <w:t>（</w:t>
      </w:r>
      <w:r>
        <w:rPr>
          <w:rFonts w:hint="eastAsia" w:asciiTheme="minorEastAsia" w:hAnsiTheme="minorEastAsia" w:cstheme="minorEastAsia"/>
          <w:i w:val="0"/>
          <w:iCs w:val="0"/>
          <w:caps w:val="0"/>
          <w:color w:val="000000"/>
          <w:spacing w:val="0"/>
          <w:sz w:val="28"/>
          <w:szCs w:val="28"/>
          <w:shd w:val="clear" w:fill="FFFFFF"/>
          <w:lang w:val="en-US" w:eastAsia="zh-CN"/>
        </w:rPr>
        <w:t>净值） 149.13</w:t>
      </w:r>
      <w:r>
        <w:rPr>
          <w:rFonts w:hint="eastAsia" w:asciiTheme="minorEastAsia" w:hAnsiTheme="minorEastAsia" w:eastAsiaTheme="minorEastAsia" w:cstheme="minorEastAsia"/>
          <w:i w:val="0"/>
          <w:iCs w:val="0"/>
          <w:caps w:val="0"/>
          <w:color w:val="000000"/>
          <w:spacing w:val="0"/>
          <w:sz w:val="28"/>
          <w:szCs w:val="28"/>
          <w:shd w:val="clear" w:fill="FFFFFF"/>
        </w:rPr>
        <w:t>万元，固定资产利用率为100%。达到目标值。</w:t>
      </w:r>
    </w:p>
    <w:p w14:paraId="019F565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shd w:val="clear" w:fill="FFFFFF"/>
          <w:lang w:eastAsia="zh-CN"/>
        </w:rPr>
      </w:pPr>
      <w:r>
        <w:rPr>
          <w:rFonts w:hint="eastAsia" w:asciiTheme="minorEastAsia" w:hAnsiTheme="minorEastAsia" w:cstheme="minorEastAsia"/>
          <w:i w:val="0"/>
          <w:iCs w:val="0"/>
          <w:caps w:val="0"/>
          <w:color w:val="000000"/>
          <w:spacing w:val="0"/>
          <w:sz w:val="28"/>
          <w:szCs w:val="28"/>
          <w:shd w:val="clear" w:fill="FFFFFF"/>
          <w:lang w:val="en-US" w:eastAsia="zh-CN"/>
        </w:rPr>
        <w:t>6.</w:t>
      </w:r>
      <w:r>
        <w:rPr>
          <w:rFonts w:hint="eastAsia" w:asciiTheme="minorEastAsia" w:hAnsiTheme="minorEastAsia" w:eastAsiaTheme="minorEastAsia" w:cstheme="minorEastAsia"/>
          <w:i w:val="0"/>
          <w:iCs w:val="0"/>
          <w:caps w:val="0"/>
          <w:color w:val="000000"/>
          <w:spacing w:val="0"/>
          <w:sz w:val="28"/>
          <w:szCs w:val="28"/>
          <w:shd w:val="clear" w:fill="FFFFFF"/>
        </w:rPr>
        <w:t>职责履行及效益</w:t>
      </w:r>
      <w:r>
        <w:rPr>
          <w:rFonts w:hint="eastAsia" w:asciiTheme="minorEastAsia" w:hAnsiTheme="minorEastAsia" w:cstheme="minorEastAsia"/>
          <w:i w:val="0"/>
          <w:iCs w:val="0"/>
          <w:caps w:val="0"/>
          <w:color w:val="000000"/>
          <w:spacing w:val="0"/>
          <w:sz w:val="28"/>
          <w:szCs w:val="28"/>
          <w:shd w:val="clear" w:fill="FFFFFF"/>
          <w:lang w:eastAsia="zh-CN"/>
        </w:rPr>
        <w:t>。2023年，在市委坚强领导下，在省委政法委关心指导下，全市政法机关坚持以习近平新时代中国特色社会主义思想为指导，深入学习贯彻党的二十大精神，认真学习贯彻习近平法治思想，锚定“强基础、增质效、创一流”目标，全力以赴防风险、保平安、护稳定、促发展，全市现行治安受理数和刑事立案数有所下降，诉前调解数大幅上升，综治民调、法治化营商环境民调、诉源治理、铁路护路等工作居全省第一，平安建设获评全省“先进”。</w:t>
      </w:r>
    </w:p>
    <w:p w14:paraId="44F0F2A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2" w:firstLineChars="200"/>
        <w:textAlignment w:val="auto"/>
        <w:rPr>
          <w:rFonts w:hint="eastAsia" w:asciiTheme="minorEastAsia" w:hAnsiTheme="minorEastAsia" w:eastAsiaTheme="minorEastAsia" w:cstheme="minorEastAsia"/>
          <w:b/>
          <w:bCs/>
          <w:i w:val="0"/>
          <w:iCs w:val="0"/>
          <w:caps w:val="0"/>
          <w:color w:val="000000"/>
          <w:spacing w:val="0"/>
          <w:sz w:val="28"/>
          <w:szCs w:val="28"/>
        </w:rPr>
      </w:pPr>
      <w:r>
        <w:rPr>
          <w:rFonts w:hint="eastAsia" w:asciiTheme="minorEastAsia" w:hAnsiTheme="minorEastAsia" w:eastAsiaTheme="minorEastAsia" w:cstheme="minorEastAsia"/>
          <w:b/>
          <w:bCs/>
          <w:i w:val="0"/>
          <w:iCs w:val="0"/>
          <w:caps w:val="0"/>
          <w:color w:val="000000"/>
          <w:spacing w:val="0"/>
          <w:sz w:val="28"/>
          <w:szCs w:val="28"/>
          <w:shd w:val="clear" w:fill="FFFFFF"/>
        </w:rPr>
        <w:t>七、存在的问题及原因分析</w:t>
      </w:r>
    </w:p>
    <w:p w14:paraId="1856C18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left"/>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主要反映各种预算支出执行偏离绩效目标的情况，并分析其原因。</w:t>
      </w:r>
    </w:p>
    <w:p w14:paraId="073096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left"/>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从我委整体支出绩效自评情况看，目前我委在预算编制、预算执行等方面，依然存在一些问题和不足。</w:t>
      </w:r>
    </w:p>
    <w:p w14:paraId="6F587AF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left"/>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一)预算编制方面。存在问题:在全面、科学设置绩效评价指标，并对各项指标进行细化、量化等方面还需进一步加强。主要原因:我委各部门职责职能、具体工作内容较为宏观，绩效指标的设置做到全面、科学、细化、量化较难。</w:t>
      </w:r>
    </w:p>
    <w:p w14:paraId="1E7BF91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left"/>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(二)预算执行方面。存在问题:个别专项资金预算执行进度有待进一步提高。主要原因:项</w:t>
      </w:r>
      <w:r>
        <w:rPr>
          <w:rFonts w:hint="eastAsia" w:asciiTheme="minorEastAsia" w:hAnsiTheme="minorEastAsia" w:cstheme="minorEastAsia"/>
          <w:i w:val="0"/>
          <w:iCs w:val="0"/>
          <w:caps w:val="0"/>
          <w:color w:val="000000"/>
          <w:spacing w:val="0"/>
          <w:sz w:val="28"/>
          <w:szCs w:val="28"/>
          <w:shd w:val="clear" w:fill="FFFFFF"/>
          <w:lang w:val="en-US" w:eastAsia="zh-CN"/>
        </w:rPr>
        <w:t>目</w:t>
      </w:r>
      <w:r>
        <w:rPr>
          <w:rFonts w:hint="eastAsia" w:asciiTheme="minorEastAsia" w:hAnsiTheme="minorEastAsia" w:eastAsiaTheme="minorEastAsia" w:cstheme="minorEastAsia"/>
          <w:i w:val="0"/>
          <w:iCs w:val="0"/>
          <w:caps w:val="0"/>
          <w:color w:val="000000"/>
          <w:spacing w:val="0"/>
          <w:sz w:val="28"/>
          <w:szCs w:val="28"/>
          <w:shd w:val="clear" w:fill="FFFFFF"/>
        </w:rPr>
        <w:t>支出进度容易受政策和各环节审批流程影响，业务和财务信息对称、同步较难，容易出现支出进度较慢等情况。</w:t>
      </w:r>
    </w:p>
    <w:p w14:paraId="274874A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2" w:firstLineChars="200"/>
        <w:textAlignment w:val="auto"/>
        <w:rPr>
          <w:rFonts w:hint="eastAsia" w:asciiTheme="minorEastAsia" w:hAnsiTheme="minorEastAsia" w:eastAsiaTheme="minorEastAsia" w:cstheme="minorEastAsia"/>
          <w:b/>
          <w:bCs/>
          <w:i w:val="0"/>
          <w:iCs w:val="0"/>
          <w:caps w:val="0"/>
          <w:color w:val="000000"/>
          <w:spacing w:val="0"/>
          <w:sz w:val="28"/>
          <w:szCs w:val="28"/>
        </w:rPr>
      </w:pPr>
      <w:r>
        <w:rPr>
          <w:rFonts w:hint="eastAsia" w:asciiTheme="minorEastAsia" w:hAnsiTheme="minorEastAsia" w:eastAsiaTheme="minorEastAsia" w:cstheme="minorEastAsia"/>
          <w:b/>
          <w:bCs/>
          <w:i w:val="0"/>
          <w:iCs w:val="0"/>
          <w:caps w:val="0"/>
          <w:color w:val="000000"/>
          <w:spacing w:val="0"/>
          <w:sz w:val="28"/>
          <w:szCs w:val="28"/>
          <w:shd w:val="clear" w:fill="FFFFFF"/>
        </w:rPr>
        <w:t>八、下一步改进措施</w:t>
      </w:r>
    </w:p>
    <w:p w14:paraId="4AAC88F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left"/>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(一)提高预算编制准确度。抓好机关预算编制工作的学习、培训，进一步提高相关工作人员的预算编制能力和水平</w:t>
      </w:r>
      <w:r>
        <w:rPr>
          <w:rFonts w:hint="eastAsia" w:asciiTheme="minorEastAsia" w:hAnsiTheme="minorEastAsia" w:cstheme="minorEastAsia"/>
          <w:i w:val="0"/>
          <w:iCs w:val="0"/>
          <w:caps w:val="0"/>
          <w:color w:val="000000"/>
          <w:spacing w:val="0"/>
          <w:sz w:val="28"/>
          <w:szCs w:val="28"/>
          <w:shd w:val="clear" w:fill="FFFFFF"/>
          <w:lang w:eastAsia="zh-CN"/>
        </w:rPr>
        <w:t>；</w:t>
      </w:r>
      <w:r>
        <w:rPr>
          <w:rFonts w:hint="eastAsia" w:asciiTheme="minorEastAsia" w:hAnsiTheme="minorEastAsia" w:eastAsiaTheme="minorEastAsia" w:cstheme="minorEastAsia"/>
          <w:i w:val="0"/>
          <w:iCs w:val="0"/>
          <w:caps w:val="0"/>
          <w:color w:val="000000"/>
          <w:spacing w:val="0"/>
          <w:sz w:val="28"/>
          <w:szCs w:val="28"/>
          <w:shd w:val="clear" w:fill="FFFFFF"/>
        </w:rPr>
        <w:t>通过明确各部门预算编制责任人，落实编制责任，完善年初预算绩效目标，丰富、细化预算编制内容，总结预算编制和执行过程中出现各类问题，不断提高预算编制准确度。</w:t>
      </w:r>
    </w:p>
    <w:p w14:paraId="22B5136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left"/>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二)加强预算执行进度管理。加强督促跟踪问效，定期对项目、资金管理情况进行跟踪检查，通报资金使用进度和预算执行进度，对预算执行提出具体要求，做好业务工作和预算绩效管理工作的深度融合，确保按时、按质、按量执行预算。</w:t>
      </w:r>
    </w:p>
    <w:p w14:paraId="6A7706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shd w:val="clear" w:fill="FFFFFF"/>
        </w:rPr>
        <w:t>九、其他需要说明的情况</w:t>
      </w:r>
    </w:p>
    <w:p w14:paraId="29E4AE1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left="0" w:right="0" w:firstLine="560" w:firstLineChars="200"/>
        <w:textAlignment w:val="auto"/>
        <w:rPr>
          <w:rFonts w:hint="default"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cstheme="minorEastAsia"/>
          <w:i w:val="0"/>
          <w:iCs w:val="0"/>
          <w:caps w:val="0"/>
          <w:color w:val="000000"/>
          <w:spacing w:val="0"/>
          <w:sz w:val="28"/>
          <w:szCs w:val="28"/>
          <w:lang w:val="en-US" w:eastAsia="zh-CN"/>
        </w:rPr>
        <w:t xml:space="preserve">    无。</w:t>
      </w:r>
    </w:p>
    <w:p w14:paraId="19FDEBC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eastAsia" w:asciiTheme="minorEastAsia" w:hAnsiTheme="minorEastAsia" w:eastAsiaTheme="minorEastAsia" w:cstheme="minorEastAsia"/>
          <w:i w:val="0"/>
          <w:iCs w:val="0"/>
          <w:caps w:val="0"/>
          <w:color w:val="000000"/>
          <w:spacing w:val="0"/>
          <w:sz w:val="28"/>
          <w:szCs w:val="28"/>
        </w:rPr>
      </w:pPr>
    </w:p>
    <w:p w14:paraId="482D920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right="0" w:firstLine="0"/>
        <w:textAlignment w:val="auto"/>
        <w:rPr>
          <w:rFonts w:hint="eastAsia" w:asciiTheme="minorEastAsia" w:hAnsiTheme="minorEastAsia" w:eastAsiaTheme="minorEastAsia" w:cstheme="minorEastAsia"/>
          <w:i w:val="0"/>
          <w:iCs w:val="0"/>
          <w:caps w:val="0"/>
          <w:color w:val="000000"/>
          <w:spacing w:val="0"/>
          <w:sz w:val="28"/>
          <w:szCs w:val="28"/>
        </w:rPr>
      </w:pPr>
    </w:p>
    <w:p w14:paraId="7DE09C8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rPr>
        <w:t>报告应包括以下附件：</w:t>
      </w:r>
    </w:p>
    <w:p w14:paraId="527F72D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1.</w:t>
      </w:r>
      <w:r>
        <w:rPr>
          <w:rFonts w:hint="eastAsia" w:asciiTheme="minorEastAsia" w:hAnsiTheme="minorEastAsia" w:eastAsiaTheme="minorEastAsia" w:cstheme="minorEastAsia"/>
          <w:i w:val="0"/>
          <w:iCs w:val="0"/>
          <w:caps w:val="0"/>
          <w:color w:val="000000"/>
          <w:spacing w:val="0"/>
          <w:sz w:val="28"/>
          <w:szCs w:val="28"/>
          <w:shd w:val="clear" w:fill="FFFFFF"/>
        </w:rPr>
        <w:t>部门整体支出绩效评价基础数据表</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 xml:space="preserve">  </w:t>
      </w:r>
    </w:p>
    <w:p w14:paraId="105286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eastAsia" w:asciiTheme="minorEastAsia" w:hAnsiTheme="minorEastAsia" w:eastAsiaTheme="minorEastAsia" w:cstheme="minorEastAsia"/>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2.</w:t>
      </w:r>
      <w:r>
        <w:rPr>
          <w:rFonts w:hint="eastAsia" w:asciiTheme="minorEastAsia" w:hAnsiTheme="minorEastAsia" w:eastAsiaTheme="minorEastAsia" w:cstheme="minorEastAsia"/>
          <w:i w:val="0"/>
          <w:iCs w:val="0"/>
          <w:caps w:val="0"/>
          <w:color w:val="000000"/>
          <w:spacing w:val="0"/>
          <w:sz w:val="28"/>
          <w:szCs w:val="28"/>
          <w:shd w:val="clear" w:fill="FFFFFF"/>
        </w:rPr>
        <w:t>部门整体支出绩效自评表</w:t>
      </w:r>
    </w:p>
    <w:p w14:paraId="3EA13EB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8B7905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53A44CE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0C6787A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72E16C3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AD812B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0117177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5A378C3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2D31CE4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14:paraId="2016AAB1">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5BCFA38B">
      <w:pPr>
        <w:widowControl/>
        <w:shd w:val="clear"/>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39DA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vAlign w:val="center"/>
          </w:tcPr>
          <w:p w14:paraId="442A1C95">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vAlign w:val="center"/>
          </w:tcPr>
          <w:p w14:paraId="3CAE203E">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vAlign w:val="center"/>
          </w:tcPr>
          <w:p w14:paraId="2B5AC2E4">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vAlign w:val="center"/>
          </w:tcPr>
          <w:p w14:paraId="4836F757">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5CAD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vAlign w:val="center"/>
          </w:tcPr>
          <w:p w14:paraId="5AB51FE9">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p>
        </w:tc>
        <w:tc>
          <w:tcPr>
            <w:tcW w:w="2038" w:type="dxa"/>
            <w:gridSpan w:val="2"/>
            <w:vAlign w:val="center"/>
          </w:tcPr>
          <w:p w14:paraId="2C4E9C9A">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52</w:t>
            </w:r>
            <w:r>
              <w:rPr>
                <w:rFonts w:hint="eastAsia" w:ascii="仿宋" w:hAnsi="仿宋" w:eastAsia="仿宋" w:cs="仿宋"/>
                <w:b w:val="0"/>
                <w:bCs w:val="0"/>
                <w:kern w:val="0"/>
                <w:sz w:val="20"/>
                <w:szCs w:val="20"/>
              </w:rPr>
              <w:t>　</w:t>
            </w:r>
          </w:p>
        </w:tc>
        <w:tc>
          <w:tcPr>
            <w:tcW w:w="2240" w:type="dxa"/>
            <w:gridSpan w:val="2"/>
            <w:vAlign w:val="center"/>
          </w:tcPr>
          <w:p w14:paraId="6CC145EC">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46</w:t>
            </w:r>
          </w:p>
        </w:tc>
        <w:tc>
          <w:tcPr>
            <w:tcW w:w="1832" w:type="dxa"/>
            <w:gridSpan w:val="2"/>
            <w:vAlign w:val="center"/>
          </w:tcPr>
          <w:p w14:paraId="4AC8B5F3">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88.46%</w:t>
            </w:r>
            <w:r>
              <w:rPr>
                <w:rFonts w:hint="eastAsia" w:ascii="仿宋" w:hAnsi="仿宋" w:eastAsia="仿宋" w:cs="仿宋"/>
                <w:b w:val="0"/>
                <w:bCs w:val="0"/>
                <w:kern w:val="0"/>
                <w:sz w:val="20"/>
                <w:szCs w:val="20"/>
              </w:rPr>
              <w:t>　</w:t>
            </w:r>
          </w:p>
        </w:tc>
      </w:tr>
      <w:tr w14:paraId="326FF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1BF1A941">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vAlign w:val="center"/>
          </w:tcPr>
          <w:p w14:paraId="313DBDFA">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vAlign w:val="center"/>
          </w:tcPr>
          <w:p w14:paraId="24865EE9">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vAlign w:val="center"/>
          </w:tcPr>
          <w:p w14:paraId="6C4288BC">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14:paraId="69685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57294DD3">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vAlign w:val="center"/>
          </w:tcPr>
          <w:p w14:paraId="58686082">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15.62</w:t>
            </w:r>
          </w:p>
        </w:tc>
        <w:tc>
          <w:tcPr>
            <w:tcW w:w="2240" w:type="dxa"/>
            <w:gridSpan w:val="2"/>
            <w:vAlign w:val="center"/>
          </w:tcPr>
          <w:p w14:paraId="485D3B47">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20.40</w:t>
            </w:r>
          </w:p>
        </w:tc>
        <w:tc>
          <w:tcPr>
            <w:tcW w:w="1832" w:type="dxa"/>
            <w:gridSpan w:val="2"/>
            <w:vAlign w:val="center"/>
          </w:tcPr>
          <w:p w14:paraId="48B6CD29">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19.14</w:t>
            </w:r>
          </w:p>
        </w:tc>
      </w:tr>
      <w:tr w14:paraId="15E2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38D94E59">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vAlign w:val="center"/>
          </w:tcPr>
          <w:p w14:paraId="181CEE69">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13.45</w:t>
            </w:r>
          </w:p>
        </w:tc>
        <w:tc>
          <w:tcPr>
            <w:tcW w:w="2240" w:type="dxa"/>
            <w:gridSpan w:val="2"/>
            <w:vAlign w:val="center"/>
          </w:tcPr>
          <w:p w14:paraId="522F7D31">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16.40</w:t>
            </w:r>
          </w:p>
        </w:tc>
        <w:tc>
          <w:tcPr>
            <w:tcW w:w="1832" w:type="dxa"/>
            <w:gridSpan w:val="2"/>
            <w:vAlign w:val="center"/>
          </w:tcPr>
          <w:p w14:paraId="45A266D2">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15.14</w:t>
            </w:r>
          </w:p>
        </w:tc>
      </w:tr>
      <w:tr w14:paraId="71FC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70A496C3">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vAlign w:val="center"/>
          </w:tcPr>
          <w:p w14:paraId="683B6B4F">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p>
        </w:tc>
        <w:tc>
          <w:tcPr>
            <w:tcW w:w="2240" w:type="dxa"/>
            <w:gridSpan w:val="2"/>
            <w:vAlign w:val="center"/>
          </w:tcPr>
          <w:p w14:paraId="6DB6789E">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p>
        </w:tc>
        <w:tc>
          <w:tcPr>
            <w:tcW w:w="1832" w:type="dxa"/>
            <w:gridSpan w:val="2"/>
            <w:vAlign w:val="center"/>
          </w:tcPr>
          <w:p w14:paraId="0517B145">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p>
        </w:tc>
      </w:tr>
      <w:tr w14:paraId="70D9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20192AA6">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vAlign w:val="center"/>
          </w:tcPr>
          <w:p w14:paraId="6CD603AD">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13.45</w:t>
            </w:r>
          </w:p>
        </w:tc>
        <w:tc>
          <w:tcPr>
            <w:tcW w:w="2240" w:type="dxa"/>
            <w:gridSpan w:val="2"/>
            <w:vAlign w:val="center"/>
          </w:tcPr>
          <w:p w14:paraId="3F8430B5">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16.40</w:t>
            </w:r>
          </w:p>
        </w:tc>
        <w:tc>
          <w:tcPr>
            <w:tcW w:w="1832" w:type="dxa"/>
            <w:gridSpan w:val="2"/>
            <w:vAlign w:val="center"/>
          </w:tcPr>
          <w:p w14:paraId="5D595FC3">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15.14</w:t>
            </w:r>
          </w:p>
        </w:tc>
      </w:tr>
      <w:tr w14:paraId="26E8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7A651EC2">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vAlign w:val="center"/>
          </w:tcPr>
          <w:p w14:paraId="6DD3648B">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p>
        </w:tc>
        <w:tc>
          <w:tcPr>
            <w:tcW w:w="2240" w:type="dxa"/>
            <w:gridSpan w:val="2"/>
            <w:vAlign w:val="center"/>
          </w:tcPr>
          <w:p w14:paraId="6E511324">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p>
        </w:tc>
        <w:tc>
          <w:tcPr>
            <w:tcW w:w="1832" w:type="dxa"/>
            <w:gridSpan w:val="2"/>
            <w:vAlign w:val="center"/>
          </w:tcPr>
          <w:p w14:paraId="0866976E">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p>
        </w:tc>
      </w:tr>
      <w:tr w14:paraId="3583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6CED12BC">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vAlign w:val="center"/>
          </w:tcPr>
          <w:p w14:paraId="6A3E1E5B">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2.16</w:t>
            </w:r>
          </w:p>
        </w:tc>
        <w:tc>
          <w:tcPr>
            <w:tcW w:w="2240" w:type="dxa"/>
            <w:gridSpan w:val="2"/>
            <w:vAlign w:val="center"/>
          </w:tcPr>
          <w:p w14:paraId="6397096D">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4.00</w:t>
            </w:r>
          </w:p>
        </w:tc>
        <w:tc>
          <w:tcPr>
            <w:tcW w:w="1832" w:type="dxa"/>
            <w:gridSpan w:val="2"/>
            <w:vAlign w:val="center"/>
          </w:tcPr>
          <w:p w14:paraId="43F6358B">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lang w:val="en-US" w:eastAsia="zh-CN"/>
              </w:rPr>
              <w:t>4.00</w:t>
            </w:r>
          </w:p>
        </w:tc>
      </w:tr>
      <w:tr w14:paraId="7C1E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62919F28">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vAlign w:val="center"/>
          </w:tcPr>
          <w:p w14:paraId="094E1DD1">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vAlign w:val="center"/>
          </w:tcPr>
          <w:p w14:paraId="0F635243">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vAlign w:val="center"/>
          </w:tcPr>
          <w:p w14:paraId="0E1F76CC">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EBB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3B908BB1">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vAlign w:val="center"/>
          </w:tcPr>
          <w:p w14:paraId="72281E63">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vAlign w:val="center"/>
          </w:tcPr>
          <w:p w14:paraId="05502DB9">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vAlign w:val="center"/>
          </w:tcPr>
          <w:p w14:paraId="33BFBC5C">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B4B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6A626A45">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vAlign w:val="center"/>
          </w:tcPr>
          <w:p w14:paraId="708135E6">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vAlign w:val="center"/>
          </w:tcPr>
          <w:p w14:paraId="3C47845F">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vAlign w:val="center"/>
          </w:tcPr>
          <w:p w14:paraId="5F6C9B8A">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DAF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0F61A453">
            <w:pPr>
              <w:keepNext w:val="0"/>
              <w:keepLines w:val="0"/>
              <w:widowControl/>
              <w:suppressLineNumbers w:val="0"/>
              <w:shd w:val="clear"/>
              <w:spacing w:before="0" w:beforeAutospacing="0" w:after="0" w:afterAutospacing="0"/>
              <w:ind w:left="0" w:right="0"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p w14:paraId="152BF887">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vAlign w:val="center"/>
          </w:tcPr>
          <w:p w14:paraId="62C8E020">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518.83</w:t>
            </w:r>
          </w:p>
        </w:tc>
        <w:tc>
          <w:tcPr>
            <w:tcW w:w="2240" w:type="dxa"/>
            <w:gridSpan w:val="2"/>
            <w:vAlign w:val="center"/>
          </w:tcPr>
          <w:p w14:paraId="6E85E824">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220.62</w:t>
            </w:r>
          </w:p>
        </w:tc>
        <w:tc>
          <w:tcPr>
            <w:tcW w:w="1832" w:type="dxa"/>
            <w:gridSpan w:val="2"/>
            <w:vAlign w:val="center"/>
          </w:tcPr>
          <w:p w14:paraId="41F3A389">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487.86</w:t>
            </w:r>
          </w:p>
        </w:tc>
      </w:tr>
      <w:tr w14:paraId="0E07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440F3595">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市稳定办（其中岗位津贴1.62万元）</w:t>
            </w:r>
          </w:p>
        </w:tc>
        <w:tc>
          <w:tcPr>
            <w:tcW w:w="2038" w:type="dxa"/>
            <w:gridSpan w:val="2"/>
            <w:vAlign w:val="center"/>
          </w:tcPr>
          <w:p w14:paraId="732D26A8">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2.82</w:t>
            </w:r>
          </w:p>
        </w:tc>
        <w:tc>
          <w:tcPr>
            <w:tcW w:w="2240" w:type="dxa"/>
            <w:gridSpan w:val="2"/>
            <w:vAlign w:val="center"/>
          </w:tcPr>
          <w:p w14:paraId="74845E43">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2.62</w:t>
            </w:r>
          </w:p>
        </w:tc>
        <w:tc>
          <w:tcPr>
            <w:tcW w:w="1832" w:type="dxa"/>
            <w:gridSpan w:val="2"/>
            <w:vAlign w:val="center"/>
          </w:tcPr>
          <w:p w14:paraId="51A8077F">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2.61</w:t>
            </w:r>
          </w:p>
        </w:tc>
      </w:tr>
      <w:tr w14:paraId="6F43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4697C148">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联合接访中心工作经费</w:t>
            </w:r>
          </w:p>
        </w:tc>
        <w:tc>
          <w:tcPr>
            <w:tcW w:w="2038" w:type="dxa"/>
            <w:gridSpan w:val="2"/>
            <w:vAlign w:val="center"/>
          </w:tcPr>
          <w:p w14:paraId="13671A13">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30</w:t>
            </w:r>
            <w:r>
              <w:rPr>
                <w:rFonts w:hint="eastAsia" w:ascii="仿宋" w:hAnsi="仿宋" w:eastAsia="仿宋" w:cs="仿宋"/>
                <w:b w:val="0"/>
                <w:bCs w:val="0"/>
                <w:kern w:val="0"/>
                <w:sz w:val="20"/>
                <w:szCs w:val="20"/>
                <w:lang w:val="en-US" w:eastAsia="zh-CN"/>
              </w:rPr>
              <w:t>.00</w:t>
            </w:r>
          </w:p>
        </w:tc>
        <w:tc>
          <w:tcPr>
            <w:tcW w:w="2240" w:type="dxa"/>
            <w:gridSpan w:val="2"/>
            <w:vAlign w:val="center"/>
          </w:tcPr>
          <w:p w14:paraId="56F5375A">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30</w:t>
            </w:r>
            <w:r>
              <w:rPr>
                <w:rFonts w:hint="eastAsia" w:ascii="仿宋" w:hAnsi="仿宋" w:eastAsia="仿宋" w:cs="仿宋"/>
                <w:b w:val="0"/>
                <w:bCs w:val="0"/>
                <w:kern w:val="0"/>
                <w:sz w:val="20"/>
                <w:szCs w:val="20"/>
                <w:lang w:val="en-US" w:eastAsia="zh-CN"/>
              </w:rPr>
              <w:t>.00</w:t>
            </w:r>
          </w:p>
        </w:tc>
        <w:tc>
          <w:tcPr>
            <w:tcW w:w="1832" w:type="dxa"/>
            <w:gridSpan w:val="2"/>
            <w:vAlign w:val="center"/>
          </w:tcPr>
          <w:p w14:paraId="59B0F8D4">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30</w:t>
            </w:r>
            <w:r>
              <w:rPr>
                <w:rFonts w:hint="eastAsia" w:ascii="仿宋" w:hAnsi="仿宋" w:eastAsia="仿宋" w:cs="仿宋"/>
                <w:b w:val="0"/>
                <w:bCs w:val="0"/>
                <w:kern w:val="0"/>
                <w:sz w:val="20"/>
                <w:szCs w:val="20"/>
                <w:lang w:val="en-US" w:eastAsia="zh-CN"/>
              </w:rPr>
              <w:t>.00</w:t>
            </w:r>
          </w:p>
        </w:tc>
      </w:tr>
      <w:tr w14:paraId="3E9A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02986FDC">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社会稳定风险评估专项工作经费</w:t>
            </w:r>
          </w:p>
        </w:tc>
        <w:tc>
          <w:tcPr>
            <w:tcW w:w="2038" w:type="dxa"/>
            <w:gridSpan w:val="2"/>
            <w:vAlign w:val="center"/>
          </w:tcPr>
          <w:p w14:paraId="781FF6C9">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24</w:t>
            </w:r>
            <w:r>
              <w:rPr>
                <w:rFonts w:hint="eastAsia" w:ascii="仿宋" w:hAnsi="仿宋" w:eastAsia="仿宋" w:cs="仿宋"/>
                <w:b w:val="0"/>
                <w:bCs w:val="0"/>
                <w:kern w:val="0"/>
                <w:sz w:val="20"/>
                <w:szCs w:val="20"/>
                <w:lang w:val="en-US" w:eastAsia="zh-CN"/>
              </w:rPr>
              <w:t>.00</w:t>
            </w:r>
          </w:p>
        </w:tc>
        <w:tc>
          <w:tcPr>
            <w:tcW w:w="2240" w:type="dxa"/>
            <w:gridSpan w:val="2"/>
            <w:vAlign w:val="center"/>
          </w:tcPr>
          <w:p w14:paraId="546FA77C">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20.00</w:t>
            </w:r>
          </w:p>
        </w:tc>
        <w:tc>
          <w:tcPr>
            <w:tcW w:w="1832" w:type="dxa"/>
            <w:gridSpan w:val="2"/>
            <w:vAlign w:val="center"/>
          </w:tcPr>
          <w:p w14:paraId="00C1C7C8">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20.00</w:t>
            </w:r>
          </w:p>
        </w:tc>
      </w:tr>
      <w:tr w14:paraId="5323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79AA4F6C">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综治民调暗访督查工作经费</w:t>
            </w:r>
          </w:p>
        </w:tc>
        <w:tc>
          <w:tcPr>
            <w:tcW w:w="2038" w:type="dxa"/>
            <w:gridSpan w:val="2"/>
            <w:vAlign w:val="center"/>
          </w:tcPr>
          <w:p w14:paraId="73D79EC9">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30</w:t>
            </w:r>
            <w:r>
              <w:rPr>
                <w:rFonts w:hint="eastAsia" w:ascii="仿宋" w:hAnsi="仿宋" w:eastAsia="仿宋" w:cs="仿宋"/>
                <w:b w:val="0"/>
                <w:bCs w:val="0"/>
                <w:kern w:val="0"/>
                <w:sz w:val="20"/>
                <w:szCs w:val="20"/>
                <w:lang w:val="en-US" w:eastAsia="zh-CN"/>
              </w:rPr>
              <w:t>.00</w:t>
            </w:r>
          </w:p>
        </w:tc>
        <w:tc>
          <w:tcPr>
            <w:tcW w:w="2240" w:type="dxa"/>
            <w:gridSpan w:val="2"/>
            <w:vAlign w:val="center"/>
          </w:tcPr>
          <w:p w14:paraId="10C4BC14">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30</w:t>
            </w:r>
            <w:r>
              <w:rPr>
                <w:rFonts w:hint="eastAsia" w:ascii="仿宋" w:hAnsi="仿宋" w:eastAsia="仿宋" w:cs="仿宋"/>
                <w:b w:val="0"/>
                <w:bCs w:val="0"/>
                <w:kern w:val="0"/>
                <w:sz w:val="20"/>
                <w:szCs w:val="20"/>
                <w:lang w:val="en-US" w:eastAsia="zh-CN"/>
              </w:rPr>
              <w:t>.00</w:t>
            </w:r>
          </w:p>
        </w:tc>
        <w:tc>
          <w:tcPr>
            <w:tcW w:w="1832" w:type="dxa"/>
            <w:gridSpan w:val="2"/>
            <w:vAlign w:val="center"/>
          </w:tcPr>
          <w:p w14:paraId="794EF632">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30</w:t>
            </w:r>
            <w:r>
              <w:rPr>
                <w:rFonts w:hint="eastAsia" w:ascii="仿宋" w:hAnsi="仿宋" w:eastAsia="仿宋" w:cs="仿宋"/>
                <w:b w:val="0"/>
                <w:bCs w:val="0"/>
                <w:kern w:val="0"/>
                <w:sz w:val="20"/>
                <w:szCs w:val="20"/>
                <w:lang w:val="en-US" w:eastAsia="zh-CN"/>
              </w:rPr>
              <w:t>.00</w:t>
            </w:r>
          </w:p>
        </w:tc>
      </w:tr>
      <w:tr w14:paraId="527E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4A3E0B4C">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综治经费及表彰经费</w:t>
            </w:r>
          </w:p>
        </w:tc>
        <w:tc>
          <w:tcPr>
            <w:tcW w:w="2038" w:type="dxa"/>
            <w:gridSpan w:val="2"/>
            <w:vAlign w:val="center"/>
          </w:tcPr>
          <w:p w14:paraId="45D6D58A">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90</w:t>
            </w:r>
            <w:r>
              <w:rPr>
                <w:rFonts w:hint="eastAsia" w:ascii="仿宋" w:hAnsi="仿宋" w:eastAsia="仿宋" w:cs="仿宋"/>
                <w:b w:val="0"/>
                <w:bCs w:val="0"/>
                <w:kern w:val="0"/>
                <w:sz w:val="20"/>
                <w:szCs w:val="20"/>
                <w:lang w:val="en-US" w:eastAsia="zh-CN"/>
              </w:rPr>
              <w:t>.00</w:t>
            </w:r>
          </w:p>
        </w:tc>
        <w:tc>
          <w:tcPr>
            <w:tcW w:w="2240" w:type="dxa"/>
            <w:gridSpan w:val="2"/>
            <w:vAlign w:val="center"/>
          </w:tcPr>
          <w:p w14:paraId="7A2CA180">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65.00</w:t>
            </w:r>
          </w:p>
        </w:tc>
        <w:tc>
          <w:tcPr>
            <w:tcW w:w="1832" w:type="dxa"/>
            <w:gridSpan w:val="2"/>
            <w:vAlign w:val="center"/>
          </w:tcPr>
          <w:p w14:paraId="5761593C">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64.89</w:t>
            </w:r>
          </w:p>
        </w:tc>
      </w:tr>
      <w:tr w14:paraId="5D6C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29834A9E">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教育转化专项经费</w:t>
            </w:r>
          </w:p>
        </w:tc>
        <w:tc>
          <w:tcPr>
            <w:tcW w:w="2038" w:type="dxa"/>
            <w:gridSpan w:val="2"/>
            <w:vAlign w:val="center"/>
          </w:tcPr>
          <w:p w14:paraId="71E6350E">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17.07</w:t>
            </w:r>
          </w:p>
        </w:tc>
        <w:tc>
          <w:tcPr>
            <w:tcW w:w="2240" w:type="dxa"/>
            <w:gridSpan w:val="2"/>
            <w:vAlign w:val="center"/>
          </w:tcPr>
          <w:p w14:paraId="635A5DC4">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15</w:t>
            </w:r>
            <w:r>
              <w:rPr>
                <w:rFonts w:hint="eastAsia" w:ascii="仿宋" w:hAnsi="仿宋" w:eastAsia="仿宋" w:cs="仿宋"/>
                <w:b w:val="0"/>
                <w:bCs w:val="0"/>
                <w:kern w:val="0"/>
                <w:sz w:val="20"/>
                <w:szCs w:val="20"/>
                <w:lang w:val="en-US" w:eastAsia="zh-CN"/>
              </w:rPr>
              <w:t>.00</w:t>
            </w:r>
          </w:p>
        </w:tc>
        <w:tc>
          <w:tcPr>
            <w:tcW w:w="1832" w:type="dxa"/>
            <w:gridSpan w:val="2"/>
            <w:vAlign w:val="center"/>
          </w:tcPr>
          <w:p w14:paraId="5DE8784C">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14.97</w:t>
            </w:r>
          </w:p>
        </w:tc>
      </w:tr>
      <w:tr w14:paraId="6D335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5AF4ED54">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教育转化基地维修</w:t>
            </w:r>
          </w:p>
        </w:tc>
        <w:tc>
          <w:tcPr>
            <w:tcW w:w="2038" w:type="dxa"/>
            <w:gridSpan w:val="2"/>
            <w:vAlign w:val="center"/>
          </w:tcPr>
          <w:p w14:paraId="5D8C4A12">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3.6</w:t>
            </w:r>
            <w:r>
              <w:rPr>
                <w:rFonts w:hint="eastAsia" w:ascii="仿宋" w:hAnsi="仿宋" w:eastAsia="仿宋" w:cs="仿宋"/>
                <w:b w:val="0"/>
                <w:bCs w:val="0"/>
                <w:kern w:val="0"/>
                <w:sz w:val="20"/>
                <w:szCs w:val="20"/>
                <w:lang w:val="en-US" w:eastAsia="zh-CN"/>
              </w:rPr>
              <w:t>0</w:t>
            </w:r>
          </w:p>
        </w:tc>
        <w:tc>
          <w:tcPr>
            <w:tcW w:w="2240" w:type="dxa"/>
            <w:gridSpan w:val="2"/>
            <w:vAlign w:val="center"/>
          </w:tcPr>
          <w:p w14:paraId="5516ED1E">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.00</w:t>
            </w:r>
          </w:p>
        </w:tc>
        <w:tc>
          <w:tcPr>
            <w:tcW w:w="1832" w:type="dxa"/>
            <w:gridSpan w:val="2"/>
            <w:vAlign w:val="center"/>
          </w:tcPr>
          <w:p w14:paraId="2A8A3521">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3.00</w:t>
            </w:r>
          </w:p>
        </w:tc>
      </w:tr>
      <w:tr w14:paraId="21E7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405BE317">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综治民调奖励</w:t>
            </w:r>
          </w:p>
        </w:tc>
        <w:tc>
          <w:tcPr>
            <w:tcW w:w="2038" w:type="dxa"/>
            <w:gridSpan w:val="2"/>
            <w:vAlign w:val="center"/>
          </w:tcPr>
          <w:p w14:paraId="6305A213">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30</w:t>
            </w:r>
            <w:r>
              <w:rPr>
                <w:rFonts w:hint="eastAsia" w:ascii="仿宋" w:hAnsi="仿宋" w:eastAsia="仿宋" w:cs="仿宋"/>
                <w:b w:val="0"/>
                <w:bCs w:val="0"/>
                <w:kern w:val="0"/>
                <w:sz w:val="20"/>
                <w:szCs w:val="20"/>
                <w:lang w:val="en-US" w:eastAsia="zh-CN"/>
              </w:rPr>
              <w:t>.00</w:t>
            </w:r>
          </w:p>
        </w:tc>
        <w:tc>
          <w:tcPr>
            <w:tcW w:w="2240" w:type="dxa"/>
            <w:gridSpan w:val="2"/>
            <w:vAlign w:val="center"/>
          </w:tcPr>
          <w:p w14:paraId="39A20254">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25.00</w:t>
            </w:r>
          </w:p>
        </w:tc>
        <w:tc>
          <w:tcPr>
            <w:tcW w:w="1832" w:type="dxa"/>
            <w:gridSpan w:val="2"/>
            <w:vAlign w:val="center"/>
          </w:tcPr>
          <w:p w14:paraId="0469B9D4">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25.00</w:t>
            </w:r>
          </w:p>
        </w:tc>
      </w:tr>
      <w:tr w14:paraId="5BFA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12BEEE18">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涉法涉诉信访案件评查经费</w:t>
            </w:r>
          </w:p>
        </w:tc>
        <w:tc>
          <w:tcPr>
            <w:tcW w:w="2038" w:type="dxa"/>
            <w:gridSpan w:val="2"/>
            <w:vAlign w:val="center"/>
          </w:tcPr>
          <w:p w14:paraId="72028B6F">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33.67</w:t>
            </w:r>
          </w:p>
        </w:tc>
        <w:tc>
          <w:tcPr>
            <w:tcW w:w="2240" w:type="dxa"/>
            <w:gridSpan w:val="2"/>
            <w:vAlign w:val="center"/>
          </w:tcPr>
          <w:p w14:paraId="7FA79184">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c>
          <w:tcPr>
            <w:tcW w:w="1832" w:type="dxa"/>
            <w:gridSpan w:val="2"/>
            <w:vAlign w:val="center"/>
          </w:tcPr>
          <w:p w14:paraId="4B2EC5A8">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39.99</w:t>
            </w:r>
          </w:p>
        </w:tc>
      </w:tr>
      <w:tr w14:paraId="03BF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22568FE2">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平安怀化建设资金</w:t>
            </w:r>
          </w:p>
        </w:tc>
        <w:tc>
          <w:tcPr>
            <w:tcW w:w="2038" w:type="dxa"/>
            <w:gridSpan w:val="2"/>
            <w:vAlign w:val="center"/>
          </w:tcPr>
          <w:p w14:paraId="7A30A7CE">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60</w:t>
            </w:r>
            <w:r>
              <w:rPr>
                <w:rFonts w:hint="eastAsia" w:ascii="仿宋" w:hAnsi="仿宋" w:eastAsia="仿宋" w:cs="仿宋"/>
                <w:b w:val="0"/>
                <w:bCs w:val="0"/>
                <w:kern w:val="0"/>
                <w:sz w:val="20"/>
                <w:szCs w:val="20"/>
                <w:lang w:val="en-US" w:eastAsia="zh-CN"/>
              </w:rPr>
              <w:t>.00</w:t>
            </w:r>
          </w:p>
        </w:tc>
        <w:tc>
          <w:tcPr>
            <w:tcW w:w="2240" w:type="dxa"/>
            <w:gridSpan w:val="2"/>
            <w:vAlign w:val="center"/>
          </w:tcPr>
          <w:p w14:paraId="7C10DD74">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c>
          <w:tcPr>
            <w:tcW w:w="1832" w:type="dxa"/>
            <w:gridSpan w:val="2"/>
            <w:vAlign w:val="center"/>
          </w:tcPr>
          <w:p w14:paraId="6CB34B9E">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50.00</w:t>
            </w:r>
          </w:p>
        </w:tc>
      </w:tr>
      <w:tr w14:paraId="6008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67A04830">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扫黑除恶专项</w:t>
            </w:r>
          </w:p>
        </w:tc>
        <w:tc>
          <w:tcPr>
            <w:tcW w:w="2038" w:type="dxa"/>
            <w:gridSpan w:val="2"/>
            <w:vAlign w:val="center"/>
          </w:tcPr>
          <w:p w14:paraId="53EE1634">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100</w:t>
            </w:r>
            <w:r>
              <w:rPr>
                <w:rFonts w:hint="eastAsia" w:ascii="仿宋" w:hAnsi="仿宋" w:eastAsia="仿宋" w:cs="仿宋"/>
                <w:b w:val="0"/>
                <w:bCs w:val="0"/>
                <w:kern w:val="0"/>
                <w:sz w:val="20"/>
                <w:szCs w:val="20"/>
                <w:lang w:val="en-US" w:eastAsia="zh-CN"/>
              </w:rPr>
              <w:t>.00</w:t>
            </w:r>
          </w:p>
        </w:tc>
        <w:tc>
          <w:tcPr>
            <w:tcW w:w="2240" w:type="dxa"/>
            <w:gridSpan w:val="2"/>
            <w:vAlign w:val="center"/>
          </w:tcPr>
          <w:p w14:paraId="516F6858">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c>
          <w:tcPr>
            <w:tcW w:w="1832" w:type="dxa"/>
            <w:gridSpan w:val="2"/>
            <w:vAlign w:val="center"/>
          </w:tcPr>
          <w:p w14:paraId="539C45B3">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100</w:t>
            </w:r>
            <w:r>
              <w:rPr>
                <w:rFonts w:hint="eastAsia" w:ascii="仿宋" w:hAnsi="仿宋" w:eastAsia="仿宋" w:cs="仿宋"/>
                <w:b w:val="0"/>
                <w:bCs w:val="0"/>
                <w:kern w:val="0"/>
                <w:sz w:val="20"/>
                <w:szCs w:val="20"/>
                <w:lang w:val="en-US" w:eastAsia="zh-CN"/>
              </w:rPr>
              <w:t>.00</w:t>
            </w:r>
          </w:p>
        </w:tc>
      </w:tr>
      <w:tr w14:paraId="11BA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5E508891">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人才资源开发专项资金</w:t>
            </w:r>
          </w:p>
        </w:tc>
        <w:tc>
          <w:tcPr>
            <w:tcW w:w="2038" w:type="dxa"/>
            <w:gridSpan w:val="2"/>
            <w:vAlign w:val="center"/>
          </w:tcPr>
          <w:p w14:paraId="0443E9D5">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3.2</w:t>
            </w:r>
            <w:r>
              <w:rPr>
                <w:rFonts w:hint="eastAsia" w:ascii="仿宋" w:hAnsi="仿宋" w:eastAsia="仿宋" w:cs="仿宋"/>
                <w:b w:val="0"/>
                <w:bCs w:val="0"/>
                <w:kern w:val="0"/>
                <w:sz w:val="20"/>
                <w:szCs w:val="20"/>
                <w:lang w:val="en-US" w:eastAsia="zh-CN"/>
              </w:rPr>
              <w:t>0</w:t>
            </w:r>
          </w:p>
        </w:tc>
        <w:tc>
          <w:tcPr>
            <w:tcW w:w="2240" w:type="dxa"/>
            <w:gridSpan w:val="2"/>
            <w:vAlign w:val="center"/>
          </w:tcPr>
          <w:p w14:paraId="3119A1EC">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c>
          <w:tcPr>
            <w:tcW w:w="1832" w:type="dxa"/>
            <w:gridSpan w:val="2"/>
            <w:vAlign w:val="center"/>
          </w:tcPr>
          <w:p w14:paraId="017B6C69">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3.2</w:t>
            </w:r>
            <w:r>
              <w:rPr>
                <w:rFonts w:hint="eastAsia" w:ascii="仿宋" w:hAnsi="仿宋" w:eastAsia="仿宋" w:cs="仿宋"/>
                <w:b w:val="0"/>
                <w:bCs w:val="0"/>
                <w:kern w:val="0"/>
                <w:sz w:val="20"/>
                <w:szCs w:val="20"/>
                <w:lang w:val="en-US" w:eastAsia="zh-CN"/>
              </w:rPr>
              <w:t>0</w:t>
            </w:r>
          </w:p>
        </w:tc>
      </w:tr>
      <w:tr w14:paraId="3393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25AFF2BF">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2021年度综治民调奖励经费</w:t>
            </w:r>
          </w:p>
        </w:tc>
        <w:tc>
          <w:tcPr>
            <w:tcW w:w="2038" w:type="dxa"/>
            <w:gridSpan w:val="2"/>
            <w:vAlign w:val="center"/>
          </w:tcPr>
          <w:p w14:paraId="38090A38">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18</w:t>
            </w:r>
            <w:r>
              <w:rPr>
                <w:rFonts w:hint="eastAsia" w:ascii="仿宋" w:hAnsi="仿宋" w:eastAsia="仿宋" w:cs="仿宋"/>
                <w:b w:val="0"/>
                <w:bCs w:val="0"/>
                <w:kern w:val="0"/>
                <w:sz w:val="20"/>
                <w:szCs w:val="20"/>
                <w:lang w:val="en-US" w:eastAsia="zh-CN"/>
              </w:rPr>
              <w:t>.00</w:t>
            </w:r>
          </w:p>
        </w:tc>
        <w:tc>
          <w:tcPr>
            <w:tcW w:w="2240" w:type="dxa"/>
            <w:gridSpan w:val="2"/>
            <w:vAlign w:val="center"/>
          </w:tcPr>
          <w:p w14:paraId="76698AAF">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c>
          <w:tcPr>
            <w:tcW w:w="1832" w:type="dxa"/>
            <w:gridSpan w:val="2"/>
            <w:vAlign w:val="center"/>
          </w:tcPr>
          <w:p w14:paraId="1A37A7CB">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r>
      <w:tr w14:paraId="2C53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6E129620">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2022年省级维稳和教育转化补助资金</w:t>
            </w:r>
          </w:p>
        </w:tc>
        <w:tc>
          <w:tcPr>
            <w:tcW w:w="2038" w:type="dxa"/>
            <w:gridSpan w:val="2"/>
            <w:vAlign w:val="center"/>
          </w:tcPr>
          <w:p w14:paraId="3C40FE4C">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32</w:t>
            </w:r>
            <w:r>
              <w:rPr>
                <w:rFonts w:hint="eastAsia" w:ascii="仿宋" w:hAnsi="仿宋" w:eastAsia="仿宋" w:cs="仿宋"/>
                <w:b w:val="0"/>
                <w:bCs w:val="0"/>
                <w:kern w:val="0"/>
                <w:sz w:val="20"/>
                <w:szCs w:val="20"/>
                <w:lang w:val="en-US" w:eastAsia="zh-CN"/>
              </w:rPr>
              <w:t>.00</w:t>
            </w:r>
          </w:p>
        </w:tc>
        <w:tc>
          <w:tcPr>
            <w:tcW w:w="2240" w:type="dxa"/>
            <w:gridSpan w:val="2"/>
            <w:vAlign w:val="center"/>
          </w:tcPr>
          <w:p w14:paraId="32B549C0">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c>
          <w:tcPr>
            <w:tcW w:w="1832" w:type="dxa"/>
            <w:gridSpan w:val="2"/>
            <w:vAlign w:val="center"/>
          </w:tcPr>
          <w:p w14:paraId="6D8BFA23">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r>
      <w:tr w14:paraId="51A8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3BB777B6">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全省平安建设考核奖励经费</w:t>
            </w:r>
          </w:p>
        </w:tc>
        <w:tc>
          <w:tcPr>
            <w:tcW w:w="2038" w:type="dxa"/>
            <w:gridSpan w:val="2"/>
            <w:vAlign w:val="center"/>
          </w:tcPr>
          <w:p w14:paraId="71390F63">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15</w:t>
            </w:r>
            <w:r>
              <w:rPr>
                <w:rFonts w:hint="eastAsia" w:ascii="仿宋" w:hAnsi="仿宋" w:eastAsia="仿宋" w:cs="仿宋"/>
                <w:b w:val="0"/>
                <w:bCs w:val="0"/>
                <w:kern w:val="0"/>
                <w:sz w:val="20"/>
                <w:szCs w:val="20"/>
                <w:lang w:val="en-US" w:eastAsia="zh-CN"/>
              </w:rPr>
              <w:t>.00</w:t>
            </w:r>
          </w:p>
        </w:tc>
        <w:tc>
          <w:tcPr>
            <w:tcW w:w="2240" w:type="dxa"/>
            <w:gridSpan w:val="2"/>
            <w:vAlign w:val="center"/>
          </w:tcPr>
          <w:p w14:paraId="53284FC9">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c>
          <w:tcPr>
            <w:tcW w:w="1832" w:type="dxa"/>
            <w:gridSpan w:val="2"/>
            <w:vAlign w:val="center"/>
          </w:tcPr>
          <w:p w14:paraId="18662861">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r>
      <w:tr w14:paraId="2726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68A0F615">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法学研究课题专项经费</w:t>
            </w:r>
          </w:p>
        </w:tc>
        <w:tc>
          <w:tcPr>
            <w:tcW w:w="2038" w:type="dxa"/>
            <w:gridSpan w:val="2"/>
            <w:vAlign w:val="center"/>
          </w:tcPr>
          <w:p w14:paraId="4EC7AD77">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16.27</w:t>
            </w:r>
          </w:p>
        </w:tc>
        <w:tc>
          <w:tcPr>
            <w:tcW w:w="2240" w:type="dxa"/>
            <w:gridSpan w:val="2"/>
            <w:vAlign w:val="center"/>
          </w:tcPr>
          <w:p w14:paraId="3D9A66B8">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10</w:t>
            </w:r>
            <w:r>
              <w:rPr>
                <w:rFonts w:hint="eastAsia" w:ascii="仿宋" w:hAnsi="仿宋" w:eastAsia="仿宋" w:cs="仿宋"/>
                <w:b w:val="0"/>
                <w:bCs w:val="0"/>
                <w:kern w:val="0"/>
                <w:sz w:val="20"/>
                <w:szCs w:val="20"/>
                <w:lang w:val="en-US" w:eastAsia="zh-CN"/>
              </w:rPr>
              <w:t>.00</w:t>
            </w:r>
          </w:p>
        </w:tc>
        <w:tc>
          <w:tcPr>
            <w:tcW w:w="1832" w:type="dxa"/>
            <w:gridSpan w:val="2"/>
            <w:vAlign w:val="center"/>
          </w:tcPr>
          <w:p w14:paraId="667AD600">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9.00</w:t>
            </w:r>
          </w:p>
        </w:tc>
      </w:tr>
      <w:tr w14:paraId="25C5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146E2C6C">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抗疫补助资金</w:t>
            </w:r>
          </w:p>
        </w:tc>
        <w:tc>
          <w:tcPr>
            <w:tcW w:w="2038" w:type="dxa"/>
            <w:gridSpan w:val="2"/>
            <w:vAlign w:val="center"/>
          </w:tcPr>
          <w:p w14:paraId="22CE6859">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3.20</w:t>
            </w:r>
          </w:p>
        </w:tc>
        <w:tc>
          <w:tcPr>
            <w:tcW w:w="2240" w:type="dxa"/>
            <w:gridSpan w:val="2"/>
            <w:vAlign w:val="center"/>
          </w:tcPr>
          <w:p w14:paraId="2E2C93BF">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c>
          <w:tcPr>
            <w:tcW w:w="1832" w:type="dxa"/>
            <w:gridSpan w:val="2"/>
            <w:vAlign w:val="center"/>
          </w:tcPr>
          <w:p w14:paraId="1C402D67">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r>
      <w:tr w14:paraId="4DDE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2075D98B">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调研经费 </w:t>
            </w:r>
          </w:p>
        </w:tc>
        <w:tc>
          <w:tcPr>
            <w:tcW w:w="2038" w:type="dxa"/>
            <w:gridSpan w:val="2"/>
            <w:vAlign w:val="center"/>
          </w:tcPr>
          <w:p w14:paraId="148C1301">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10.00</w:t>
            </w:r>
          </w:p>
        </w:tc>
        <w:tc>
          <w:tcPr>
            <w:tcW w:w="2240" w:type="dxa"/>
            <w:gridSpan w:val="2"/>
            <w:vAlign w:val="center"/>
          </w:tcPr>
          <w:p w14:paraId="54A21917">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10</w:t>
            </w:r>
            <w:r>
              <w:rPr>
                <w:rFonts w:hint="eastAsia" w:ascii="仿宋" w:hAnsi="仿宋" w:eastAsia="仿宋" w:cs="仿宋"/>
                <w:b w:val="0"/>
                <w:bCs w:val="0"/>
                <w:kern w:val="0"/>
                <w:sz w:val="20"/>
                <w:szCs w:val="20"/>
                <w:lang w:val="en-US" w:eastAsia="zh-CN"/>
              </w:rPr>
              <w:t>.00</w:t>
            </w:r>
          </w:p>
        </w:tc>
        <w:tc>
          <w:tcPr>
            <w:tcW w:w="1832" w:type="dxa"/>
            <w:gridSpan w:val="2"/>
            <w:vAlign w:val="center"/>
          </w:tcPr>
          <w:p w14:paraId="55CBAA64">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10.00</w:t>
            </w:r>
          </w:p>
        </w:tc>
      </w:tr>
      <w:tr w14:paraId="0B2B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30C5408B">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全市和市直单位综合治理维护稳定表彰经费</w:t>
            </w:r>
          </w:p>
        </w:tc>
        <w:tc>
          <w:tcPr>
            <w:tcW w:w="2038" w:type="dxa"/>
            <w:gridSpan w:val="2"/>
            <w:vAlign w:val="center"/>
          </w:tcPr>
          <w:p w14:paraId="627A045A">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lang w:val="en-US" w:eastAsia="zh-CN"/>
              </w:rPr>
            </w:pPr>
          </w:p>
        </w:tc>
        <w:tc>
          <w:tcPr>
            <w:tcW w:w="2240" w:type="dxa"/>
            <w:gridSpan w:val="2"/>
            <w:vAlign w:val="center"/>
          </w:tcPr>
          <w:p w14:paraId="2AA861D9">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10</w:t>
            </w:r>
            <w:r>
              <w:rPr>
                <w:rFonts w:hint="eastAsia" w:ascii="仿宋" w:hAnsi="仿宋" w:eastAsia="仿宋" w:cs="仿宋"/>
                <w:b w:val="0"/>
                <w:bCs w:val="0"/>
                <w:kern w:val="0"/>
                <w:sz w:val="20"/>
                <w:szCs w:val="20"/>
                <w:lang w:val="en-US" w:eastAsia="zh-CN"/>
              </w:rPr>
              <w:t>.00</w:t>
            </w:r>
          </w:p>
        </w:tc>
        <w:tc>
          <w:tcPr>
            <w:tcW w:w="1832" w:type="dxa"/>
            <w:gridSpan w:val="2"/>
            <w:vAlign w:val="center"/>
          </w:tcPr>
          <w:p w14:paraId="0DDC3976">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10</w:t>
            </w:r>
            <w:r>
              <w:rPr>
                <w:rFonts w:hint="eastAsia" w:ascii="仿宋" w:hAnsi="仿宋" w:eastAsia="仿宋" w:cs="仿宋"/>
                <w:b w:val="0"/>
                <w:bCs w:val="0"/>
                <w:kern w:val="0"/>
                <w:sz w:val="20"/>
                <w:szCs w:val="20"/>
                <w:lang w:val="en-US" w:eastAsia="zh-CN"/>
              </w:rPr>
              <w:t>.00</w:t>
            </w:r>
          </w:p>
        </w:tc>
      </w:tr>
      <w:tr w14:paraId="29365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66006029">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市级综治中心场地建设</w:t>
            </w:r>
          </w:p>
        </w:tc>
        <w:tc>
          <w:tcPr>
            <w:tcW w:w="2038" w:type="dxa"/>
            <w:gridSpan w:val="2"/>
            <w:vAlign w:val="center"/>
          </w:tcPr>
          <w:p w14:paraId="0411E8A3">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lang w:val="en-US" w:eastAsia="zh-CN"/>
              </w:rPr>
            </w:pPr>
          </w:p>
        </w:tc>
        <w:tc>
          <w:tcPr>
            <w:tcW w:w="2240" w:type="dxa"/>
            <w:gridSpan w:val="2"/>
            <w:vAlign w:val="center"/>
          </w:tcPr>
          <w:p w14:paraId="029D92EE">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c>
          <w:tcPr>
            <w:tcW w:w="1832" w:type="dxa"/>
            <w:gridSpan w:val="2"/>
            <w:vAlign w:val="center"/>
          </w:tcPr>
          <w:p w14:paraId="1F89C64E">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37.00</w:t>
            </w:r>
          </w:p>
        </w:tc>
      </w:tr>
      <w:tr w14:paraId="5C40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330653AA">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市域社会治理智能化综合平台建设运维费</w:t>
            </w:r>
          </w:p>
        </w:tc>
        <w:tc>
          <w:tcPr>
            <w:tcW w:w="2038" w:type="dxa"/>
            <w:gridSpan w:val="2"/>
            <w:vAlign w:val="center"/>
          </w:tcPr>
          <w:p w14:paraId="04097029">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lang w:val="en-US" w:eastAsia="zh-CN"/>
              </w:rPr>
            </w:pPr>
          </w:p>
        </w:tc>
        <w:tc>
          <w:tcPr>
            <w:tcW w:w="2240" w:type="dxa"/>
            <w:gridSpan w:val="2"/>
            <w:vAlign w:val="center"/>
          </w:tcPr>
          <w:p w14:paraId="06B485D4">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c>
          <w:tcPr>
            <w:tcW w:w="1832" w:type="dxa"/>
            <w:gridSpan w:val="2"/>
            <w:vAlign w:val="center"/>
          </w:tcPr>
          <w:p w14:paraId="31AB9D7F">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10.20</w:t>
            </w:r>
          </w:p>
        </w:tc>
      </w:tr>
      <w:tr w14:paraId="4D43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66B2D7B6">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纳入第二次分配项目</w:t>
            </w:r>
          </w:p>
        </w:tc>
        <w:tc>
          <w:tcPr>
            <w:tcW w:w="2038" w:type="dxa"/>
            <w:gridSpan w:val="2"/>
            <w:vAlign w:val="center"/>
          </w:tcPr>
          <w:p w14:paraId="7F20364B">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lang w:val="en-US" w:eastAsia="zh-CN"/>
              </w:rPr>
            </w:pPr>
          </w:p>
        </w:tc>
        <w:tc>
          <w:tcPr>
            <w:tcW w:w="2240" w:type="dxa"/>
            <w:gridSpan w:val="2"/>
            <w:vAlign w:val="center"/>
          </w:tcPr>
          <w:p w14:paraId="4B7ECA85">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c>
          <w:tcPr>
            <w:tcW w:w="1832" w:type="dxa"/>
            <w:gridSpan w:val="2"/>
            <w:vAlign w:val="center"/>
          </w:tcPr>
          <w:p w14:paraId="42B959A8">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13.00</w:t>
            </w:r>
          </w:p>
        </w:tc>
      </w:tr>
      <w:tr w14:paraId="2FA1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2AFD3C30">
            <w:pPr>
              <w:keepNext w:val="0"/>
              <w:keepLines w:val="0"/>
              <w:widowControl/>
              <w:suppressLineNumbers w:val="0"/>
              <w:shd w:val="clear"/>
              <w:spacing w:before="0" w:beforeAutospacing="0" w:after="0" w:afterAutospacing="0"/>
              <w:ind w:left="0" w:right="0"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市委政法委工作经费</w:t>
            </w:r>
          </w:p>
        </w:tc>
        <w:tc>
          <w:tcPr>
            <w:tcW w:w="2038" w:type="dxa"/>
            <w:gridSpan w:val="2"/>
            <w:vAlign w:val="center"/>
          </w:tcPr>
          <w:p w14:paraId="61868672">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lang w:val="en-US" w:eastAsia="zh-CN"/>
              </w:rPr>
            </w:pPr>
          </w:p>
        </w:tc>
        <w:tc>
          <w:tcPr>
            <w:tcW w:w="2240" w:type="dxa"/>
            <w:gridSpan w:val="2"/>
            <w:vAlign w:val="center"/>
          </w:tcPr>
          <w:p w14:paraId="7A653629">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c>
          <w:tcPr>
            <w:tcW w:w="1832" w:type="dxa"/>
            <w:gridSpan w:val="2"/>
            <w:vAlign w:val="center"/>
          </w:tcPr>
          <w:p w14:paraId="2B1DA6A4">
            <w:pPr>
              <w:keepNext w:val="0"/>
              <w:keepLines w:val="0"/>
              <w:widowControl/>
              <w:suppressLineNumbers w:val="0"/>
              <w:shd w:val="clear"/>
              <w:spacing w:before="0" w:beforeAutospacing="0" w:after="0" w:afterAutospacing="0"/>
              <w:ind w:left="0" w:right="0"/>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15.00</w:t>
            </w:r>
          </w:p>
        </w:tc>
      </w:tr>
      <w:tr w14:paraId="23E1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33D66962">
            <w:pPr>
              <w:keepNext w:val="0"/>
              <w:keepLines w:val="0"/>
              <w:widowControl/>
              <w:suppressLineNumbers w:val="0"/>
              <w:shd w:val="clear"/>
              <w:spacing w:before="0" w:beforeAutospacing="0" w:after="0" w:afterAutospacing="0"/>
              <w:ind w:left="0" w:right="0"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vAlign w:val="center"/>
          </w:tcPr>
          <w:p w14:paraId="577ECC2B">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vAlign w:val="center"/>
          </w:tcPr>
          <w:p w14:paraId="2E523B8E">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vAlign w:val="center"/>
          </w:tcPr>
          <w:p w14:paraId="2FBB8882">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A7F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vAlign w:val="center"/>
          </w:tcPr>
          <w:p w14:paraId="5B8BEB68">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c>
          <w:tcPr>
            <w:tcW w:w="2038" w:type="dxa"/>
            <w:gridSpan w:val="2"/>
            <w:vAlign w:val="center"/>
          </w:tcPr>
          <w:p w14:paraId="438E9D57">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c>
          <w:tcPr>
            <w:tcW w:w="2240" w:type="dxa"/>
            <w:gridSpan w:val="2"/>
            <w:vAlign w:val="center"/>
          </w:tcPr>
          <w:p w14:paraId="10EB307F">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c>
          <w:tcPr>
            <w:tcW w:w="1832" w:type="dxa"/>
            <w:gridSpan w:val="2"/>
            <w:vAlign w:val="center"/>
          </w:tcPr>
          <w:p w14:paraId="3F791CE3">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p>
        </w:tc>
      </w:tr>
      <w:tr w14:paraId="6DB2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32904C6B">
            <w:pPr>
              <w:keepNext w:val="0"/>
              <w:keepLines w:val="0"/>
              <w:widowControl/>
              <w:suppressLineNumbers w:val="0"/>
              <w:shd w:val="clear"/>
              <w:spacing w:before="0" w:beforeAutospacing="0" w:after="0" w:afterAutospacing="0"/>
              <w:ind w:left="0" w:right="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vAlign w:val="center"/>
          </w:tcPr>
          <w:p w14:paraId="6ED8504A">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vAlign w:val="center"/>
          </w:tcPr>
          <w:p w14:paraId="74F54CEC">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vAlign w:val="center"/>
          </w:tcPr>
          <w:p w14:paraId="233286ED">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887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5A5AECC4">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vAlign w:val="center"/>
          </w:tcPr>
          <w:p w14:paraId="1E95654F">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vAlign w:val="center"/>
          </w:tcPr>
          <w:p w14:paraId="0A7572C1">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vAlign w:val="center"/>
          </w:tcPr>
          <w:p w14:paraId="4F9AAD7C">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3CE1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3DF10227">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vAlign w:val="center"/>
          </w:tcPr>
          <w:p w14:paraId="453A9823">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vAlign w:val="center"/>
          </w:tcPr>
          <w:p w14:paraId="5E158963">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vAlign w:val="center"/>
          </w:tcPr>
          <w:p w14:paraId="6E983754">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5EFA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vAlign w:val="center"/>
          </w:tcPr>
          <w:p w14:paraId="734434EC">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vAlign w:val="center"/>
          </w:tcPr>
          <w:p w14:paraId="676C9F18">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vAlign w:val="center"/>
          </w:tcPr>
          <w:p w14:paraId="7B488106">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vAlign w:val="center"/>
          </w:tcPr>
          <w:p w14:paraId="43B2B742">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1E52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3244D792">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vAlign w:val="center"/>
          </w:tcPr>
          <w:p w14:paraId="70ADE048">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vAlign w:val="center"/>
          </w:tcPr>
          <w:p w14:paraId="22C814A9">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vAlign w:val="center"/>
          </w:tcPr>
          <w:p w14:paraId="701EB228">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8F6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791457C4">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vAlign w:val="center"/>
          </w:tcPr>
          <w:p w14:paraId="392F6338">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vAlign w:val="center"/>
          </w:tcPr>
          <w:p w14:paraId="0CB802FA">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vAlign w:val="center"/>
          </w:tcPr>
          <w:p w14:paraId="3B415555">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E69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vAlign w:val="center"/>
          </w:tcPr>
          <w:p w14:paraId="769F4FC2">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p>
          <w:p w14:paraId="08C14696">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lang w:eastAsia="zh-CN"/>
              </w:rPr>
            </w:pPr>
          </w:p>
        </w:tc>
        <w:tc>
          <w:tcPr>
            <w:tcW w:w="1189" w:type="dxa"/>
            <w:vAlign w:val="center"/>
          </w:tcPr>
          <w:p w14:paraId="7D163EE7">
            <w:pPr>
              <w:keepNext w:val="0"/>
              <w:keepLines w:val="0"/>
              <w:widowControl/>
              <w:suppressLineNumbers w:val="0"/>
              <w:shd w:val="clear"/>
              <w:spacing w:before="0" w:beforeAutospacing="0" w:after="0" w:afterAutospacing="0" w:line="240" w:lineRule="exact"/>
              <w:ind w:left="0" w:right="0"/>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批复规模</w:t>
            </w:r>
          </w:p>
          <w:p w14:paraId="60E72642">
            <w:pPr>
              <w:keepNext w:val="0"/>
              <w:keepLines w:val="0"/>
              <w:widowControl/>
              <w:suppressLineNumbers w:val="0"/>
              <w:shd w:val="clear"/>
              <w:spacing w:before="0" w:beforeAutospacing="0" w:after="0" w:afterAutospacing="0" w:line="240" w:lineRule="exact"/>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849" w:type="dxa"/>
            <w:vAlign w:val="center"/>
          </w:tcPr>
          <w:p w14:paraId="2CE49BAB">
            <w:pPr>
              <w:keepNext w:val="0"/>
              <w:keepLines w:val="0"/>
              <w:widowControl/>
              <w:suppressLineNumbers w:val="0"/>
              <w:shd w:val="clear"/>
              <w:spacing w:before="0" w:beforeAutospacing="0" w:after="0" w:afterAutospacing="0" w:line="240" w:lineRule="exact"/>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vAlign w:val="center"/>
          </w:tcPr>
          <w:p w14:paraId="03A85100">
            <w:pPr>
              <w:keepNext w:val="0"/>
              <w:keepLines w:val="0"/>
              <w:widowControl/>
              <w:suppressLineNumbers w:val="0"/>
              <w:shd w:val="clear"/>
              <w:spacing w:before="0" w:beforeAutospacing="0" w:after="0" w:afterAutospacing="0" w:line="240" w:lineRule="exact"/>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vAlign w:val="center"/>
          </w:tcPr>
          <w:p w14:paraId="5FC258B5">
            <w:pPr>
              <w:keepNext w:val="0"/>
              <w:keepLines w:val="0"/>
              <w:widowControl/>
              <w:suppressLineNumbers w:val="0"/>
              <w:shd w:val="clear"/>
              <w:spacing w:before="0" w:beforeAutospacing="0" w:after="0" w:afterAutospacing="0" w:line="240" w:lineRule="exact"/>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vAlign w:val="center"/>
          </w:tcPr>
          <w:p w14:paraId="527E35C7">
            <w:pPr>
              <w:keepNext w:val="0"/>
              <w:keepLines w:val="0"/>
              <w:widowControl/>
              <w:suppressLineNumbers w:val="0"/>
              <w:shd w:val="clear"/>
              <w:spacing w:before="0" w:beforeAutospacing="0" w:after="0" w:afterAutospacing="0" w:line="240" w:lineRule="exact"/>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vAlign w:val="center"/>
          </w:tcPr>
          <w:p w14:paraId="530C9332">
            <w:pPr>
              <w:keepNext w:val="0"/>
              <w:keepLines w:val="0"/>
              <w:widowControl/>
              <w:suppressLineNumbers w:val="0"/>
              <w:shd w:val="clear"/>
              <w:spacing w:before="0" w:beforeAutospacing="0" w:after="0" w:afterAutospacing="0" w:line="240" w:lineRule="exact"/>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7B5A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vAlign w:val="center"/>
          </w:tcPr>
          <w:p w14:paraId="60EDD75E">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p>
        </w:tc>
        <w:tc>
          <w:tcPr>
            <w:tcW w:w="1189" w:type="dxa"/>
            <w:vAlign w:val="center"/>
          </w:tcPr>
          <w:p w14:paraId="5562EFD9">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49" w:type="dxa"/>
            <w:vAlign w:val="center"/>
          </w:tcPr>
          <w:p w14:paraId="06EF0376">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29" w:type="dxa"/>
            <w:vAlign w:val="center"/>
          </w:tcPr>
          <w:p w14:paraId="5A3D5C11">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vAlign w:val="center"/>
          </w:tcPr>
          <w:p w14:paraId="54AB8A86">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vAlign w:val="center"/>
          </w:tcPr>
          <w:p w14:paraId="65F8B6A3">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vAlign w:val="center"/>
          </w:tcPr>
          <w:p w14:paraId="004E4B3E">
            <w:pPr>
              <w:keepNext w:val="0"/>
              <w:keepLines w:val="0"/>
              <w:widowControl/>
              <w:suppressLineNumbers w:val="0"/>
              <w:shd w:val="clear"/>
              <w:spacing w:before="0" w:beforeAutospacing="0" w:after="0" w:afterAutospacing="0"/>
              <w:ind w:left="0" w:right="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A7F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vAlign w:val="center"/>
          </w:tcPr>
          <w:p w14:paraId="688CD830">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vAlign w:val="center"/>
          </w:tcPr>
          <w:p w14:paraId="16934648">
            <w:pPr>
              <w:keepNext w:val="0"/>
              <w:keepLines w:val="0"/>
              <w:widowControl/>
              <w:suppressLineNumbers w:val="0"/>
              <w:shd w:val="clear"/>
              <w:spacing w:before="0" w:beforeAutospacing="0" w:after="0" w:afterAutospacing="0"/>
              <w:ind w:left="0" w:right="0"/>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bl>
    <w:p w14:paraId="2725CD0C">
      <w:pPr>
        <w:pStyle w:val="11"/>
        <w:keepNext/>
        <w:keepLines/>
        <w:pageBreakBefore w:val="0"/>
        <w:widowControl w:val="0"/>
        <w:shd w:val="clear"/>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6526DAB2">
      <w:pPr>
        <w:widowControl w:val="0"/>
        <w:shd w:val="clear"/>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6C53732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7C52F9E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22C50F6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51367C7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4645D7A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271F06A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4CE1E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40A223C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6B1E1B1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4B78EB2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5EEF0B7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B575D9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62B845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23DBAC3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59F3AA6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7143C1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42E7CEE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4D52438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5EE8F8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911DDA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B3FD6B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14:paraId="138DAE61">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1155"/>
        <w:gridCol w:w="1101"/>
        <w:gridCol w:w="987"/>
        <w:gridCol w:w="92"/>
        <w:gridCol w:w="1181"/>
        <w:gridCol w:w="1242"/>
        <w:gridCol w:w="578"/>
        <w:gridCol w:w="616"/>
        <w:gridCol w:w="1163"/>
      </w:tblGrid>
      <w:tr w14:paraId="6BED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7" w:type="dxa"/>
            <w:vAlign w:val="center"/>
          </w:tcPr>
          <w:p w14:paraId="5CEA5DE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115" w:type="dxa"/>
            <w:gridSpan w:val="9"/>
            <w:vAlign w:val="center"/>
          </w:tcPr>
          <w:p w14:paraId="57675CA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综治民调奖励　</w:t>
            </w:r>
          </w:p>
        </w:tc>
      </w:tr>
      <w:tr w14:paraId="1C35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47" w:type="dxa"/>
            <w:vMerge w:val="restart"/>
            <w:vAlign w:val="center"/>
          </w:tcPr>
          <w:p w14:paraId="3F906DC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34CF98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算申请</w:t>
            </w:r>
          </w:p>
          <w:p w14:paraId="6055D18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256" w:type="dxa"/>
            <w:gridSpan w:val="2"/>
            <w:vAlign w:val="center"/>
          </w:tcPr>
          <w:p w14:paraId="2901CD7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p>
        </w:tc>
        <w:tc>
          <w:tcPr>
            <w:tcW w:w="987" w:type="dxa"/>
            <w:vAlign w:val="center"/>
          </w:tcPr>
          <w:p w14:paraId="5FC9484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1727837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73" w:type="dxa"/>
            <w:gridSpan w:val="2"/>
            <w:vAlign w:val="center"/>
          </w:tcPr>
          <w:p w14:paraId="3D9CE52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242" w:type="dxa"/>
            <w:vAlign w:val="center"/>
          </w:tcPr>
          <w:p w14:paraId="63B2697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7C675F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578" w:type="dxa"/>
            <w:vAlign w:val="center"/>
          </w:tcPr>
          <w:p w14:paraId="581ACE1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616" w:type="dxa"/>
            <w:vAlign w:val="center"/>
          </w:tcPr>
          <w:p w14:paraId="14A3DE4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63" w:type="dxa"/>
            <w:vAlign w:val="center"/>
          </w:tcPr>
          <w:p w14:paraId="0E84FC1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FB4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vAlign w:val="center"/>
          </w:tcPr>
          <w:p w14:paraId="614ED37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2256" w:type="dxa"/>
            <w:gridSpan w:val="2"/>
            <w:vAlign w:val="center"/>
          </w:tcPr>
          <w:p w14:paraId="1784218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87" w:type="dxa"/>
            <w:vAlign w:val="center"/>
          </w:tcPr>
          <w:p w14:paraId="4D30825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rPr>
              <w:t>1232.48</w:t>
            </w:r>
          </w:p>
        </w:tc>
        <w:tc>
          <w:tcPr>
            <w:tcW w:w="1273" w:type="dxa"/>
            <w:gridSpan w:val="2"/>
            <w:vAlign w:val="center"/>
          </w:tcPr>
          <w:p w14:paraId="0945243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1416.76</w:t>
            </w:r>
          </w:p>
        </w:tc>
        <w:tc>
          <w:tcPr>
            <w:tcW w:w="1242" w:type="dxa"/>
            <w:vAlign w:val="center"/>
          </w:tcPr>
          <w:p w14:paraId="5F8700F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1416.76</w:t>
            </w:r>
          </w:p>
        </w:tc>
        <w:tc>
          <w:tcPr>
            <w:tcW w:w="578" w:type="dxa"/>
            <w:vAlign w:val="center"/>
          </w:tcPr>
          <w:p w14:paraId="3597AEB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616" w:type="dxa"/>
            <w:vAlign w:val="center"/>
          </w:tcPr>
          <w:p w14:paraId="6F974A9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w:t>
            </w:r>
          </w:p>
        </w:tc>
        <w:tc>
          <w:tcPr>
            <w:tcW w:w="1163" w:type="dxa"/>
            <w:vAlign w:val="center"/>
          </w:tcPr>
          <w:p w14:paraId="793738B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18D0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147" w:type="dxa"/>
            <w:vMerge w:val="continue"/>
            <w:vAlign w:val="center"/>
          </w:tcPr>
          <w:p w14:paraId="7F169A0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4516" w:type="dxa"/>
            <w:gridSpan w:val="5"/>
            <w:vAlign w:val="center"/>
          </w:tcPr>
          <w:p w14:paraId="15AEE15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599" w:type="dxa"/>
            <w:gridSpan w:val="4"/>
            <w:vAlign w:val="center"/>
          </w:tcPr>
          <w:p w14:paraId="7022422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513C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vAlign w:val="center"/>
          </w:tcPr>
          <w:p w14:paraId="29C150E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4516" w:type="dxa"/>
            <w:gridSpan w:val="5"/>
            <w:vAlign w:val="center"/>
          </w:tcPr>
          <w:p w14:paraId="596ABA4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1416.76</w:t>
            </w:r>
          </w:p>
        </w:tc>
        <w:tc>
          <w:tcPr>
            <w:tcW w:w="3599" w:type="dxa"/>
            <w:gridSpan w:val="4"/>
            <w:vAlign w:val="center"/>
          </w:tcPr>
          <w:p w14:paraId="15FABEE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928.90</w:t>
            </w:r>
          </w:p>
        </w:tc>
      </w:tr>
      <w:tr w14:paraId="4EAE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vAlign w:val="center"/>
          </w:tcPr>
          <w:p w14:paraId="2033DD0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4516" w:type="dxa"/>
            <w:gridSpan w:val="5"/>
            <w:vAlign w:val="center"/>
          </w:tcPr>
          <w:p w14:paraId="682A285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599" w:type="dxa"/>
            <w:gridSpan w:val="4"/>
            <w:vAlign w:val="center"/>
          </w:tcPr>
          <w:p w14:paraId="5BEC7B9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firstLine="600" w:firstLineChars="300"/>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487.86</w:t>
            </w:r>
          </w:p>
        </w:tc>
      </w:tr>
      <w:tr w14:paraId="4E4B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vAlign w:val="center"/>
          </w:tcPr>
          <w:p w14:paraId="659FB38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4516" w:type="dxa"/>
            <w:gridSpan w:val="5"/>
            <w:vAlign w:val="center"/>
          </w:tcPr>
          <w:p w14:paraId="21C85A1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599" w:type="dxa"/>
            <w:gridSpan w:val="4"/>
            <w:vAlign w:val="center"/>
          </w:tcPr>
          <w:p w14:paraId="7B500B6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r>
      <w:tr w14:paraId="5EC6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7" w:type="dxa"/>
            <w:vMerge w:val="continue"/>
            <w:vAlign w:val="center"/>
          </w:tcPr>
          <w:p w14:paraId="4F63A54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4516" w:type="dxa"/>
            <w:gridSpan w:val="5"/>
            <w:vAlign w:val="center"/>
          </w:tcPr>
          <w:p w14:paraId="0188FF1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599" w:type="dxa"/>
            <w:gridSpan w:val="4"/>
            <w:vAlign w:val="center"/>
          </w:tcPr>
          <w:p w14:paraId="7E00F0D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r>
      <w:tr w14:paraId="6BFF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restart"/>
            <w:vAlign w:val="center"/>
          </w:tcPr>
          <w:p w14:paraId="3419777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6" w:type="dxa"/>
            <w:gridSpan w:val="5"/>
            <w:vAlign w:val="center"/>
          </w:tcPr>
          <w:p w14:paraId="5F86583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599" w:type="dxa"/>
            <w:gridSpan w:val="4"/>
            <w:vAlign w:val="center"/>
          </w:tcPr>
          <w:p w14:paraId="36AE859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89C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147" w:type="dxa"/>
            <w:vMerge w:val="continue"/>
            <w:vAlign w:val="center"/>
          </w:tcPr>
          <w:p w14:paraId="45EC9B7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4516" w:type="dxa"/>
            <w:gridSpan w:val="5"/>
            <w:vAlign w:val="center"/>
          </w:tcPr>
          <w:p w14:paraId="19CF362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部分内容涉密</w:t>
            </w:r>
          </w:p>
        </w:tc>
        <w:tc>
          <w:tcPr>
            <w:tcW w:w="3599" w:type="dxa"/>
            <w:gridSpan w:val="4"/>
            <w:vAlign w:val="center"/>
          </w:tcPr>
          <w:p w14:paraId="41081A7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240" w:lineRule="auto"/>
              <w:ind w:right="0" w:firstLine="400" w:firstLineChars="200"/>
              <w:jc w:val="center"/>
              <w:textAlignment w:val="auto"/>
              <w:rPr>
                <w:rFonts w:hint="eastAsia" w:ascii="仿宋" w:hAnsi="仿宋" w:eastAsia="仿宋" w:cs="仿宋"/>
                <w:color w:val="000000"/>
                <w:kern w:val="0"/>
                <w:sz w:val="20"/>
                <w:szCs w:val="20"/>
              </w:rPr>
            </w:pPr>
            <w:r>
              <w:rPr>
                <w:rFonts w:hint="eastAsia" w:ascii="仿宋" w:hAnsi="仿宋" w:eastAsia="仿宋" w:cs="仿宋"/>
                <w:b w:val="0"/>
                <w:bCs w:val="0"/>
                <w:kern w:val="0"/>
                <w:sz w:val="20"/>
                <w:szCs w:val="20"/>
                <w:lang w:val="en-US" w:eastAsia="zh-CN" w:bidi="ar-SA"/>
              </w:rPr>
              <w:t>2023年，在市委坚强领导下，在省委政法委关心指导下，全市政法机关坚持以习近平新时代中国特色社会主义思想为指导，深入学习贯彻党的二十大精神，认真学习贯彻习近平法治思想，锚定“强基础、增质效、创一流”目标，全力以赴防风险、保平安、护稳定、促发展，全市现行治安受理数和刑事立案数有所下降，诉前调解数大幅上升，综治民调、法治化营商环境民调、诉源治理、铁路护路等工作居全省第一，平安建设获评全省“先进”。</w:t>
            </w:r>
          </w:p>
        </w:tc>
      </w:tr>
      <w:tr w14:paraId="1D7E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7" w:type="dxa"/>
            <w:vMerge w:val="restart"/>
            <w:vAlign w:val="center"/>
          </w:tcPr>
          <w:p w14:paraId="445072D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24864F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BE7DDB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2DE89F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55" w:type="dxa"/>
            <w:vAlign w:val="center"/>
          </w:tcPr>
          <w:p w14:paraId="447B9B4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01" w:type="dxa"/>
            <w:vAlign w:val="center"/>
          </w:tcPr>
          <w:p w14:paraId="380B1B3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79" w:type="dxa"/>
            <w:gridSpan w:val="2"/>
            <w:vAlign w:val="center"/>
          </w:tcPr>
          <w:p w14:paraId="3B31AE9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81" w:type="dxa"/>
            <w:vAlign w:val="center"/>
          </w:tcPr>
          <w:p w14:paraId="50AB914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FBD610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242" w:type="dxa"/>
            <w:vAlign w:val="center"/>
          </w:tcPr>
          <w:p w14:paraId="290EEFB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B8F80B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578" w:type="dxa"/>
            <w:vAlign w:val="center"/>
          </w:tcPr>
          <w:p w14:paraId="64DDAA1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616" w:type="dxa"/>
            <w:vAlign w:val="center"/>
          </w:tcPr>
          <w:p w14:paraId="5A56141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63" w:type="dxa"/>
            <w:vAlign w:val="top"/>
          </w:tcPr>
          <w:p w14:paraId="1BC3578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4C3CCF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2C9CC5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4CD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vAlign w:val="center"/>
          </w:tcPr>
          <w:p w14:paraId="7AB341A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55" w:type="dxa"/>
            <w:vMerge w:val="restart"/>
            <w:vAlign w:val="center"/>
          </w:tcPr>
          <w:p w14:paraId="41942AD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9ECCEB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101" w:type="dxa"/>
            <w:vMerge w:val="restart"/>
            <w:vAlign w:val="center"/>
          </w:tcPr>
          <w:p w14:paraId="6D2BEA6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6BF23A6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9" w:type="dxa"/>
            <w:gridSpan w:val="2"/>
            <w:vAlign w:val="center"/>
          </w:tcPr>
          <w:p w14:paraId="7C45457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组织交流研讨会</w:t>
            </w:r>
          </w:p>
        </w:tc>
        <w:tc>
          <w:tcPr>
            <w:tcW w:w="1181" w:type="dxa"/>
            <w:vAlign w:val="center"/>
          </w:tcPr>
          <w:p w14:paraId="617EFF5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150次</w:t>
            </w:r>
          </w:p>
        </w:tc>
        <w:tc>
          <w:tcPr>
            <w:tcW w:w="1242" w:type="dxa"/>
            <w:vAlign w:val="center"/>
          </w:tcPr>
          <w:p w14:paraId="33781B4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150次</w:t>
            </w:r>
          </w:p>
        </w:tc>
        <w:tc>
          <w:tcPr>
            <w:tcW w:w="578" w:type="dxa"/>
            <w:vAlign w:val="center"/>
          </w:tcPr>
          <w:p w14:paraId="65F352B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vAlign w:val="center"/>
          </w:tcPr>
          <w:p w14:paraId="0EBE8AD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163" w:type="dxa"/>
            <w:vAlign w:val="center"/>
          </w:tcPr>
          <w:p w14:paraId="75EEDE8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r>
      <w:tr w14:paraId="67DB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vAlign w:val="center"/>
          </w:tcPr>
          <w:p w14:paraId="4FD45CB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55" w:type="dxa"/>
            <w:vMerge w:val="continue"/>
            <w:vAlign w:val="center"/>
          </w:tcPr>
          <w:p w14:paraId="760FD69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01" w:type="dxa"/>
            <w:vMerge w:val="continue"/>
            <w:vAlign w:val="center"/>
          </w:tcPr>
          <w:p w14:paraId="54D411D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079" w:type="dxa"/>
            <w:gridSpan w:val="2"/>
            <w:vAlign w:val="center"/>
          </w:tcPr>
          <w:p w14:paraId="5FFCB2F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走找想促”调研实践次数</w:t>
            </w:r>
          </w:p>
        </w:tc>
        <w:tc>
          <w:tcPr>
            <w:tcW w:w="1181" w:type="dxa"/>
            <w:vAlign w:val="center"/>
          </w:tcPr>
          <w:p w14:paraId="2EDBEE6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617次</w:t>
            </w:r>
          </w:p>
        </w:tc>
        <w:tc>
          <w:tcPr>
            <w:tcW w:w="1242" w:type="dxa"/>
            <w:vAlign w:val="center"/>
          </w:tcPr>
          <w:p w14:paraId="03FB9B6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617次</w:t>
            </w:r>
          </w:p>
        </w:tc>
        <w:tc>
          <w:tcPr>
            <w:tcW w:w="578" w:type="dxa"/>
            <w:vAlign w:val="center"/>
          </w:tcPr>
          <w:p w14:paraId="12CF1F6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616" w:type="dxa"/>
            <w:vAlign w:val="center"/>
          </w:tcPr>
          <w:p w14:paraId="41C02B4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163" w:type="dxa"/>
            <w:vAlign w:val="center"/>
          </w:tcPr>
          <w:p w14:paraId="741922A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r>
      <w:tr w14:paraId="1DAC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vAlign w:val="center"/>
          </w:tcPr>
          <w:p w14:paraId="06496A4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55" w:type="dxa"/>
            <w:vMerge w:val="continue"/>
            <w:vAlign w:val="center"/>
          </w:tcPr>
          <w:p w14:paraId="0D356F0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01" w:type="dxa"/>
            <w:vMerge w:val="restart"/>
            <w:vAlign w:val="center"/>
          </w:tcPr>
          <w:p w14:paraId="00602FF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0049CA5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9" w:type="dxa"/>
            <w:gridSpan w:val="2"/>
            <w:vAlign w:val="center"/>
          </w:tcPr>
          <w:p w14:paraId="340F494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平安建设获评等级</w:t>
            </w:r>
          </w:p>
        </w:tc>
        <w:tc>
          <w:tcPr>
            <w:tcW w:w="1181" w:type="dxa"/>
            <w:vAlign w:val="center"/>
          </w:tcPr>
          <w:p w14:paraId="58B9461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全省先进</w:t>
            </w:r>
          </w:p>
        </w:tc>
        <w:tc>
          <w:tcPr>
            <w:tcW w:w="1242" w:type="dxa"/>
            <w:vAlign w:val="center"/>
          </w:tcPr>
          <w:p w14:paraId="5AB7ABF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全省先进</w:t>
            </w:r>
          </w:p>
        </w:tc>
        <w:tc>
          <w:tcPr>
            <w:tcW w:w="578" w:type="dxa"/>
            <w:vAlign w:val="center"/>
          </w:tcPr>
          <w:p w14:paraId="6C35A44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616" w:type="dxa"/>
            <w:vAlign w:val="center"/>
          </w:tcPr>
          <w:p w14:paraId="55991E7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63" w:type="dxa"/>
            <w:vAlign w:val="center"/>
          </w:tcPr>
          <w:p w14:paraId="21E1ADF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46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vAlign w:val="center"/>
          </w:tcPr>
          <w:p w14:paraId="4DA5E81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55" w:type="dxa"/>
            <w:vMerge w:val="continue"/>
            <w:vAlign w:val="center"/>
          </w:tcPr>
          <w:p w14:paraId="0C4E5B1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01" w:type="dxa"/>
            <w:vMerge w:val="continue"/>
            <w:vAlign w:val="center"/>
          </w:tcPr>
          <w:p w14:paraId="536D073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079" w:type="dxa"/>
            <w:gridSpan w:val="2"/>
            <w:vAlign w:val="center"/>
          </w:tcPr>
          <w:p w14:paraId="6529C41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铁路护路工作获评等级</w:t>
            </w:r>
          </w:p>
        </w:tc>
        <w:tc>
          <w:tcPr>
            <w:tcW w:w="1181" w:type="dxa"/>
            <w:vAlign w:val="center"/>
          </w:tcPr>
          <w:p w14:paraId="3885FCC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全省第一</w:t>
            </w:r>
          </w:p>
        </w:tc>
        <w:tc>
          <w:tcPr>
            <w:tcW w:w="1242" w:type="dxa"/>
            <w:vAlign w:val="center"/>
          </w:tcPr>
          <w:p w14:paraId="12669F8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全省第一</w:t>
            </w:r>
          </w:p>
        </w:tc>
        <w:tc>
          <w:tcPr>
            <w:tcW w:w="578" w:type="dxa"/>
            <w:vAlign w:val="center"/>
          </w:tcPr>
          <w:p w14:paraId="73F363E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616" w:type="dxa"/>
            <w:vAlign w:val="center"/>
          </w:tcPr>
          <w:p w14:paraId="5FDD340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63" w:type="dxa"/>
            <w:vAlign w:val="center"/>
          </w:tcPr>
          <w:p w14:paraId="7E90DB8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1D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vAlign w:val="center"/>
          </w:tcPr>
          <w:p w14:paraId="3919B86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55" w:type="dxa"/>
            <w:vMerge w:val="continue"/>
            <w:vAlign w:val="center"/>
          </w:tcPr>
          <w:p w14:paraId="0DF709B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01" w:type="dxa"/>
            <w:vAlign w:val="center"/>
          </w:tcPr>
          <w:p w14:paraId="6146D3A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4B09829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9" w:type="dxa"/>
            <w:gridSpan w:val="2"/>
            <w:vAlign w:val="center"/>
          </w:tcPr>
          <w:p w14:paraId="308E31B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181" w:type="dxa"/>
            <w:vAlign w:val="center"/>
          </w:tcPr>
          <w:p w14:paraId="1189241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2023年12月之前完成</w:t>
            </w:r>
          </w:p>
        </w:tc>
        <w:tc>
          <w:tcPr>
            <w:tcW w:w="1242" w:type="dxa"/>
            <w:vAlign w:val="center"/>
          </w:tcPr>
          <w:p w14:paraId="7F63685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2023年12月之前完成</w:t>
            </w:r>
          </w:p>
        </w:tc>
        <w:tc>
          <w:tcPr>
            <w:tcW w:w="578" w:type="dxa"/>
            <w:vAlign w:val="center"/>
          </w:tcPr>
          <w:p w14:paraId="652E217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vAlign w:val="center"/>
          </w:tcPr>
          <w:p w14:paraId="0E23771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63" w:type="dxa"/>
            <w:vAlign w:val="center"/>
          </w:tcPr>
          <w:p w14:paraId="424C377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5B27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vAlign w:val="center"/>
          </w:tcPr>
          <w:p w14:paraId="11C278A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55" w:type="dxa"/>
            <w:vMerge w:val="continue"/>
            <w:vAlign w:val="center"/>
          </w:tcPr>
          <w:p w14:paraId="1C9E9D2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01" w:type="dxa"/>
            <w:vAlign w:val="center"/>
          </w:tcPr>
          <w:p w14:paraId="5AA8B37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14:paraId="173C408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9" w:type="dxa"/>
            <w:gridSpan w:val="2"/>
            <w:vAlign w:val="center"/>
          </w:tcPr>
          <w:p w14:paraId="1A0D653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成本控制</w:t>
            </w:r>
          </w:p>
        </w:tc>
        <w:tc>
          <w:tcPr>
            <w:tcW w:w="1181" w:type="dxa"/>
            <w:vAlign w:val="center"/>
          </w:tcPr>
          <w:p w14:paraId="59CA74F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≦1416.76　</w:t>
            </w:r>
          </w:p>
        </w:tc>
        <w:tc>
          <w:tcPr>
            <w:tcW w:w="1242" w:type="dxa"/>
            <w:vAlign w:val="center"/>
          </w:tcPr>
          <w:p w14:paraId="0FB8EFE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≦1416.76　</w:t>
            </w:r>
          </w:p>
        </w:tc>
        <w:tc>
          <w:tcPr>
            <w:tcW w:w="578" w:type="dxa"/>
            <w:vAlign w:val="center"/>
          </w:tcPr>
          <w:p w14:paraId="3812C7D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vAlign w:val="center"/>
          </w:tcPr>
          <w:p w14:paraId="6618D2F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63" w:type="dxa"/>
            <w:vAlign w:val="center"/>
          </w:tcPr>
          <w:p w14:paraId="2E587B6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F2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vAlign w:val="center"/>
          </w:tcPr>
          <w:p w14:paraId="4E09744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55" w:type="dxa"/>
            <w:vMerge w:val="restart"/>
            <w:vAlign w:val="center"/>
          </w:tcPr>
          <w:p w14:paraId="6FE4655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AA29CE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101" w:type="dxa"/>
            <w:vAlign w:val="center"/>
          </w:tcPr>
          <w:p w14:paraId="0EFE77B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9A81A1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9" w:type="dxa"/>
            <w:gridSpan w:val="2"/>
            <w:vAlign w:val="center"/>
          </w:tcPr>
          <w:p w14:paraId="5F81AC2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加强经济领域政法服务和保障怀化国际陆港建设</w:t>
            </w:r>
          </w:p>
        </w:tc>
        <w:tc>
          <w:tcPr>
            <w:tcW w:w="1181" w:type="dxa"/>
            <w:vAlign w:val="center"/>
          </w:tcPr>
          <w:p w14:paraId="3366916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效果明显</w:t>
            </w:r>
          </w:p>
        </w:tc>
        <w:tc>
          <w:tcPr>
            <w:tcW w:w="1242" w:type="dxa"/>
            <w:vAlign w:val="center"/>
          </w:tcPr>
          <w:p w14:paraId="70CC756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效果明显</w:t>
            </w:r>
          </w:p>
        </w:tc>
        <w:tc>
          <w:tcPr>
            <w:tcW w:w="578" w:type="dxa"/>
            <w:vAlign w:val="center"/>
          </w:tcPr>
          <w:p w14:paraId="55CF1D2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vAlign w:val="center"/>
          </w:tcPr>
          <w:p w14:paraId="12CEF4D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63" w:type="dxa"/>
            <w:vAlign w:val="center"/>
          </w:tcPr>
          <w:p w14:paraId="2ACCAE1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9A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vAlign w:val="center"/>
          </w:tcPr>
          <w:p w14:paraId="274AD1F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55" w:type="dxa"/>
            <w:vMerge w:val="continue"/>
            <w:vAlign w:val="center"/>
          </w:tcPr>
          <w:p w14:paraId="6F54AB1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01" w:type="dxa"/>
            <w:vAlign w:val="center"/>
          </w:tcPr>
          <w:p w14:paraId="55CDCFE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0B0AFA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9" w:type="dxa"/>
            <w:gridSpan w:val="2"/>
            <w:vAlign w:val="center"/>
          </w:tcPr>
          <w:p w14:paraId="48DE982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政治社会安全稳定</w:t>
            </w:r>
          </w:p>
        </w:tc>
        <w:tc>
          <w:tcPr>
            <w:tcW w:w="1181" w:type="dxa"/>
            <w:vAlign w:val="center"/>
          </w:tcPr>
          <w:p w14:paraId="06E3BF3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242" w:type="dxa"/>
            <w:vAlign w:val="center"/>
          </w:tcPr>
          <w:p w14:paraId="3204A8A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578" w:type="dxa"/>
            <w:vAlign w:val="center"/>
          </w:tcPr>
          <w:p w14:paraId="794F1E6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vAlign w:val="center"/>
          </w:tcPr>
          <w:p w14:paraId="605B9DA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63" w:type="dxa"/>
            <w:vAlign w:val="center"/>
          </w:tcPr>
          <w:p w14:paraId="526CFC4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p>
        </w:tc>
      </w:tr>
      <w:tr w14:paraId="3F18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vAlign w:val="center"/>
          </w:tcPr>
          <w:p w14:paraId="7EF77E5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55" w:type="dxa"/>
            <w:vMerge w:val="continue"/>
            <w:vAlign w:val="center"/>
          </w:tcPr>
          <w:p w14:paraId="3AA2F96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01" w:type="dxa"/>
            <w:vAlign w:val="center"/>
          </w:tcPr>
          <w:p w14:paraId="6174572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4C285F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9" w:type="dxa"/>
            <w:gridSpan w:val="2"/>
            <w:vAlign w:val="center"/>
          </w:tcPr>
          <w:p w14:paraId="154617F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181" w:type="dxa"/>
            <w:vAlign w:val="center"/>
          </w:tcPr>
          <w:p w14:paraId="143C60B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p>
        </w:tc>
        <w:tc>
          <w:tcPr>
            <w:tcW w:w="1242" w:type="dxa"/>
            <w:vAlign w:val="center"/>
          </w:tcPr>
          <w:p w14:paraId="0A00E34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p>
        </w:tc>
        <w:tc>
          <w:tcPr>
            <w:tcW w:w="578" w:type="dxa"/>
            <w:vAlign w:val="center"/>
          </w:tcPr>
          <w:p w14:paraId="7A23C1A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p>
        </w:tc>
        <w:tc>
          <w:tcPr>
            <w:tcW w:w="616" w:type="dxa"/>
            <w:vAlign w:val="center"/>
          </w:tcPr>
          <w:p w14:paraId="6733D4E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p>
        </w:tc>
        <w:tc>
          <w:tcPr>
            <w:tcW w:w="1163" w:type="dxa"/>
            <w:vAlign w:val="center"/>
          </w:tcPr>
          <w:p w14:paraId="7B20A26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p>
        </w:tc>
      </w:tr>
      <w:tr w14:paraId="7399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vAlign w:val="center"/>
          </w:tcPr>
          <w:p w14:paraId="3A56FA4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55" w:type="dxa"/>
            <w:vMerge w:val="continue"/>
            <w:vAlign w:val="center"/>
          </w:tcPr>
          <w:p w14:paraId="3481DEF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01" w:type="dxa"/>
            <w:vAlign w:val="center"/>
          </w:tcPr>
          <w:p w14:paraId="18E73F3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79" w:type="dxa"/>
            <w:gridSpan w:val="2"/>
            <w:vAlign w:val="center"/>
          </w:tcPr>
          <w:p w14:paraId="255F774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社会环境不断向</w:t>
            </w:r>
          </w:p>
          <w:p w14:paraId="3373A7F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好，社会经济更高</w:t>
            </w:r>
          </w:p>
          <w:p w14:paraId="31F5263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质重发展</w:t>
            </w:r>
          </w:p>
        </w:tc>
        <w:tc>
          <w:tcPr>
            <w:tcW w:w="1181" w:type="dxa"/>
            <w:vAlign w:val="center"/>
          </w:tcPr>
          <w:p w14:paraId="34A664D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242" w:type="dxa"/>
            <w:vAlign w:val="center"/>
          </w:tcPr>
          <w:p w14:paraId="5F93E63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578" w:type="dxa"/>
            <w:vAlign w:val="center"/>
          </w:tcPr>
          <w:p w14:paraId="5CCBB52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616" w:type="dxa"/>
            <w:vAlign w:val="center"/>
          </w:tcPr>
          <w:p w14:paraId="201ECF3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63" w:type="dxa"/>
            <w:vAlign w:val="center"/>
          </w:tcPr>
          <w:p w14:paraId="63AB543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p>
        </w:tc>
      </w:tr>
      <w:tr w14:paraId="21C9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vAlign w:val="center"/>
          </w:tcPr>
          <w:p w14:paraId="3FA7D63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55" w:type="dxa"/>
            <w:vMerge w:val="restart"/>
            <w:vAlign w:val="center"/>
          </w:tcPr>
          <w:p w14:paraId="4A556A1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736916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69217B7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101" w:type="dxa"/>
            <w:vMerge w:val="restart"/>
            <w:vAlign w:val="center"/>
          </w:tcPr>
          <w:p w14:paraId="08EF850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079" w:type="dxa"/>
            <w:gridSpan w:val="2"/>
            <w:vAlign w:val="center"/>
          </w:tcPr>
          <w:p w14:paraId="2C8AFC4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企业满意度测评</w:t>
            </w:r>
          </w:p>
        </w:tc>
        <w:tc>
          <w:tcPr>
            <w:tcW w:w="1181" w:type="dxa"/>
            <w:vAlign w:val="center"/>
          </w:tcPr>
          <w:p w14:paraId="7E7EC8E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全省第一</w:t>
            </w:r>
          </w:p>
        </w:tc>
        <w:tc>
          <w:tcPr>
            <w:tcW w:w="1242" w:type="dxa"/>
            <w:vAlign w:val="center"/>
          </w:tcPr>
          <w:p w14:paraId="4C7FA98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全省第一</w:t>
            </w:r>
          </w:p>
        </w:tc>
        <w:tc>
          <w:tcPr>
            <w:tcW w:w="578" w:type="dxa"/>
            <w:vAlign w:val="center"/>
          </w:tcPr>
          <w:p w14:paraId="1B36CF0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616" w:type="dxa"/>
            <w:vAlign w:val="center"/>
          </w:tcPr>
          <w:p w14:paraId="0C74434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63" w:type="dxa"/>
            <w:vAlign w:val="center"/>
          </w:tcPr>
          <w:p w14:paraId="6712474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p>
        </w:tc>
      </w:tr>
      <w:tr w14:paraId="5C73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tcBorders>
              <w:bottom w:val="nil"/>
            </w:tcBorders>
            <w:vAlign w:val="center"/>
          </w:tcPr>
          <w:p w14:paraId="69E5D55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p>
        </w:tc>
        <w:tc>
          <w:tcPr>
            <w:tcW w:w="1155" w:type="dxa"/>
            <w:vMerge w:val="continue"/>
            <w:vAlign w:val="center"/>
          </w:tcPr>
          <w:p w14:paraId="3CD111E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101" w:type="dxa"/>
            <w:vMerge w:val="continue"/>
            <w:vAlign w:val="center"/>
          </w:tcPr>
          <w:p w14:paraId="02E002F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p>
        </w:tc>
        <w:tc>
          <w:tcPr>
            <w:tcW w:w="1079" w:type="dxa"/>
            <w:gridSpan w:val="2"/>
            <w:vAlign w:val="center"/>
          </w:tcPr>
          <w:p w14:paraId="1159B9A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群众安全感提升</w:t>
            </w:r>
          </w:p>
        </w:tc>
        <w:tc>
          <w:tcPr>
            <w:tcW w:w="1181" w:type="dxa"/>
            <w:vAlign w:val="center"/>
          </w:tcPr>
          <w:p w14:paraId="5AA5256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242" w:type="dxa"/>
            <w:vAlign w:val="center"/>
          </w:tcPr>
          <w:p w14:paraId="38FEE53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578" w:type="dxa"/>
            <w:vAlign w:val="center"/>
          </w:tcPr>
          <w:p w14:paraId="2F82071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616" w:type="dxa"/>
            <w:vAlign w:val="center"/>
          </w:tcPr>
          <w:p w14:paraId="2DB2D50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63" w:type="dxa"/>
            <w:vAlign w:val="center"/>
          </w:tcPr>
          <w:p w14:paraId="1495437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p>
        </w:tc>
      </w:tr>
      <w:tr w14:paraId="572A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5" w:type="dxa"/>
            <w:gridSpan w:val="7"/>
            <w:vAlign w:val="center"/>
          </w:tcPr>
          <w:p w14:paraId="6E4F4FB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578" w:type="dxa"/>
            <w:vAlign w:val="center"/>
          </w:tcPr>
          <w:p w14:paraId="4A9BE1B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616" w:type="dxa"/>
            <w:vAlign w:val="center"/>
          </w:tcPr>
          <w:p w14:paraId="61785A5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63" w:type="dxa"/>
            <w:vAlign w:val="center"/>
          </w:tcPr>
          <w:p w14:paraId="6452063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BEF3F65">
      <w:pPr>
        <w:widowControl w:val="0"/>
        <w:shd w:val="clear"/>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7E665296">
      <w:pPr>
        <w:shd w:val="clear"/>
        <w:rPr>
          <w:rFonts w:hint="default"/>
          <w:lang w:val="en-US" w:eastAsia="zh-CN"/>
        </w:rPr>
      </w:pPr>
      <w:r>
        <w:rPr>
          <w:rFonts w:hint="default"/>
          <w:lang w:val="en-US" w:eastAsia="zh-CN"/>
        </w:rPr>
        <w:br w:type="page"/>
      </w:r>
    </w:p>
    <w:p w14:paraId="5103860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附件2</w:t>
      </w:r>
    </w:p>
    <w:p w14:paraId="54CDAEF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center"/>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项目支出绩效自评报告</w:t>
      </w:r>
    </w:p>
    <w:p w14:paraId="31DAF6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rPr>
      </w:pPr>
    </w:p>
    <w:p w14:paraId="310480F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left="0" w:right="0" w:firstLine="562" w:firstLineChars="200"/>
        <w:jc w:val="both"/>
        <w:textAlignment w:val="auto"/>
        <w:rPr>
          <w:rFonts w:hint="eastAsia" w:asciiTheme="minorEastAsia" w:hAnsiTheme="minorEastAsia" w:eastAsiaTheme="minorEastAsia" w:cstheme="minorEastAsia"/>
          <w:b/>
          <w:bCs/>
          <w:i w:val="0"/>
          <w:iCs w:val="0"/>
          <w:caps w:val="0"/>
          <w:color w:val="000000"/>
          <w:spacing w:val="0"/>
          <w:sz w:val="28"/>
          <w:szCs w:val="28"/>
        </w:rPr>
      </w:pPr>
      <w:r>
        <w:rPr>
          <w:rFonts w:hint="eastAsia" w:asciiTheme="minorEastAsia" w:hAnsiTheme="minorEastAsia" w:eastAsiaTheme="minorEastAsia" w:cstheme="minorEastAsia"/>
          <w:b/>
          <w:bCs/>
          <w:i w:val="0"/>
          <w:iCs w:val="0"/>
          <w:caps w:val="0"/>
          <w:color w:val="000000"/>
          <w:spacing w:val="0"/>
          <w:sz w:val="28"/>
          <w:szCs w:val="28"/>
          <w:shd w:val="clear" w:fill="FFFFFF"/>
        </w:rPr>
        <w:t>一、项目基本情况</w:t>
      </w:r>
    </w:p>
    <w:p w14:paraId="2D8626D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sz w:val="28"/>
          <w:szCs w:val="28"/>
          <w:shd w:val="clear" w:fill="FFFFFF"/>
        </w:rPr>
      </w:pPr>
      <w:r>
        <w:rPr>
          <w:rFonts w:hint="eastAsia" w:asciiTheme="minorEastAsia" w:hAnsiTheme="minorEastAsia" w:eastAsiaTheme="minorEastAsia" w:cstheme="minorEastAsia"/>
          <w:b w:val="0"/>
          <w:bCs w:val="0"/>
          <w:i w:val="0"/>
          <w:iCs w:val="0"/>
          <w:caps w:val="0"/>
          <w:color w:val="000000"/>
          <w:spacing w:val="0"/>
          <w:sz w:val="28"/>
          <w:szCs w:val="28"/>
          <w:shd w:val="clear" w:fill="FFFFFF"/>
        </w:rPr>
        <w:t>（一）项目概况</w:t>
      </w:r>
    </w:p>
    <w:p w14:paraId="45B359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1.项目决策背景</w:t>
      </w:r>
    </w:p>
    <w:p w14:paraId="4E530D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sz w:val="28"/>
          <w:szCs w:val="28"/>
          <w:shd w:val="clear" w:fill="FFFFFF"/>
          <w:lang w:eastAsia="zh-CN"/>
        </w:rPr>
        <w:t>2023年，在市委坚强领导下，在省委政法委关心指导下，全市政法机关坚持以习近平新时代中国特色社会主义思想为指导，深入学习贯彻党的二十大精神，认真学习贯彻习近平法治思想，锚定“强基础、增质效、创一流”目标，全力以赴防风险、保平安、护稳定、促发展。</w:t>
      </w:r>
    </w:p>
    <w:p w14:paraId="12CEBD0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2.项目主要内容</w:t>
      </w:r>
    </w:p>
    <w:p w14:paraId="00AF332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eastAsia="zh-CN"/>
        </w:rPr>
        <w:t>（1）专项业务经费</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主要用于市稳定办工作、联合接访中心工作、社会稳定风险评估专项工作、综治民调暗访督查工作、综治经费及表彰工作、教育转化专项工作、教育转化基地维修工作、调研工作、综治民调奖励等工作日常运转。</w:t>
      </w:r>
    </w:p>
    <w:p w14:paraId="7C9F5DB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eastAsia="zh-CN"/>
        </w:rPr>
        <w:t>（</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2</w:t>
      </w:r>
      <w:r>
        <w:rPr>
          <w:rFonts w:hint="eastAsia" w:asciiTheme="minorEastAsia" w:hAnsiTheme="minorEastAsia" w:eastAsiaTheme="minorEastAsia" w:cstheme="minorEastAsia"/>
          <w:i w:val="0"/>
          <w:iCs w:val="0"/>
          <w:caps w:val="0"/>
          <w:color w:val="000000"/>
          <w:spacing w:val="0"/>
          <w:sz w:val="28"/>
          <w:szCs w:val="28"/>
          <w:shd w:val="clear" w:fill="FFFFFF"/>
          <w:lang w:eastAsia="zh-CN"/>
        </w:rPr>
        <w:t>）法学研究课题专项经费</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用于支持法学研究课题项目，</w:t>
      </w:r>
      <w:r>
        <w:rPr>
          <w:rFonts w:hint="eastAsia" w:asciiTheme="minorEastAsia" w:hAnsiTheme="minorEastAsia" w:eastAsiaTheme="minorEastAsia" w:cstheme="minorEastAsia"/>
          <w:i w:val="0"/>
          <w:iCs w:val="0"/>
          <w:caps w:val="0"/>
          <w:color w:val="000000"/>
          <w:spacing w:val="0"/>
          <w:sz w:val="28"/>
          <w:szCs w:val="28"/>
          <w:shd w:val="clear" w:fill="FFFFFF"/>
          <w:lang w:eastAsia="zh-CN"/>
        </w:rPr>
        <w:t>开展</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法学研究评审费、办公费、差旅费等。</w:t>
      </w:r>
    </w:p>
    <w:p w14:paraId="6203F05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（3）全市和市直单位综合治理维护稳定表彰经费用于</w:t>
      </w:r>
      <w:r>
        <w:rPr>
          <w:rFonts w:hint="eastAsia" w:asciiTheme="minorEastAsia" w:hAnsiTheme="minorEastAsia" w:eastAsiaTheme="minorEastAsia" w:cstheme="minorEastAsia"/>
          <w:i w:val="0"/>
          <w:iCs w:val="0"/>
          <w:caps w:val="0"/>
          <w:color w:val="000000"/>
          <w:spacing w:val="0"/>
          <w:sz w:val="28"/>
          <w:szCs w:val="28"/>
          <w:shd w:val="clear" w:fill="FFFFFF"/>
          <w:lang w:eastAsia="zh-CN"/>
        </w:rPr>
        <w:t>统一协调全市政法各单位开展工作，维护全市社会稳定大局。</w:t>
      </w:r>
    </w:p>
    <w:p w14:paraId="2799EBD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（4）平安怀化建设资金用于开展平安怀化建设工作相关的办公费、印刷费、邮电费、差旅费、会议费、其他等支出。</w:t>
      </w:r>
    </w:p>
    <w:p w14:paraId="3E9F403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（5）涉法涉诉信访案件评查经费主要用于开展执法监督，组织涉法涉诉信访案件评查，促进司法公正，维护社会公平正义相关工作的办公费、邮电费、差旅费、培训费、其他等支出。</w:t>
      </w:r>
    </w:p>
    <w:p w14:paraId="3C27C184">
      <w:pPr>
        <w:pStyle w:val="13"/>
        <w:shd w:val="clear"/>
        <w:spacing w:line="360" w:lineRule="auto"/>
        <w:ind w:firstLine="560" w:firstLineChars="200"/>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（6）人才资源开发专项资金用于付人才引进住房和生活补贴。</w:t>
      </w:r>
    </w:p>
    <w:p w14:paraId="52DF2C9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（7）市级综治中心场地建设用于市级综治中心场地建设。</w:t>
      </w:r>
    </w:p>
    <w:p w14:paraId="55BF18D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（8）市域社会治理智能化综合平台建设运维费用于市域社会治理信息化智能平台及指挥大厅信息化建设项目及相关运维费。</w:t>
      </w:r>
    </w:p>
    <w:p w14:paraId="5ED43B2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eastAsia="zh-CN"/>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（9）政法委教育转化工作经费</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用于</w:t>
      </w:r>
      <w:r>
        <w:rPr>
          <w:rFonts w:hint="eastAsia" w:asciiTheme="minorEastAsia" w:hAnsiTheme="minorEastAsia" w:eastAsiaTheme="minorEastAsia" w:cstheme="minorEastAsia"/>
          <w:i w:val="0"/>
          <w:iCs w:val="0"/>
          <w:caps w:val="0"/>
          <w:color w:val="000000"/>
          <w:spacing w:val="0"/>
          <w:sz w:val="28"/>
          <w:szCs w:val="28"/>
          <w:shd w:val="clear" w:fill="FFFFFF"/>
          <w:lang w:eastAsia="zh-CN"/>
        </w:rPr>
        <w:t>统一协调全市政法各单位开展工作，维护全市社会稳定大局。</w:t>
      </w:r>
    </w:p>
    <w:p w14:paraId="4827BA2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（10）扫黑除恶专项用于开展常态化扫黑除恶工作相关的办公费、印刷费、邮电费、差旅费等支出；拨付基层扫黑除恶工作经费。</w:t>
      </w:r>
    </w:p>
    <w:p w14:paraId="3EB15AE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（11）市委政法委工作经费主要用于2023年全市政法系统学习贯彻党的二十大精神轮训班培训费及开展日常政法工作。</w:t>
      </w:r>
    </w:p>
    <w:p w14:paraId="7609A3C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b/>
          <w:bCs/>
          <w:i w:val="0"/>
          <w:iCs w:val="0"/>
          <w:caps w:val="0"/>
          <w:color w:val="000000"/>
          <w:spacing w:val="0"/>
          <w:sz w:val="28"/>
          <w:szCs w:val="28"/>
          <w:shd w:val="clear" w:fill="FFFFFF"/>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3.项目组织管理机构</w:t>
      </w:r>
    </w:p>
    <w:p w14:paraId="799368E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项目组织管理机构为中共怀化市委政法委员会。</w:t>
      </w:r>
    </w:p>
    <w:p w14:paraId="5195266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sz w:val="28"/>
          <w:szCs w:val="28"/>
          <w:shd w:val="clear" w:fill="FFFFFF"/>
        </w:rPr>
      </w:pPr>
      <w:r>
        <w:rPr>
          <w:rFonts w:hint="eastAsia" w:asciiTheme="minorEastAsia" w:hAnsiTheme="minorEastAsia" w:eastAsiaTheme="minorEastAsia" w:cstheme="minorEastAsia"/>
          <w:b w:val="0"/>
          <w:bCs w:val="0"/>
          <w:i w:val="0"/>
          <w:iCs w:val="0"/>
          <w:caps w:val="0"/>
          <w:color w:val="000000"/>
          <w:spacing w:val="0"/>
          <w:sz w:val="28"/>
          <w:szCs w:val="28"/>
          <w:shd w:val="clear" w:fill="FFFFFF"/>
        </w:rPr>
        <w:t>（二）预算资金使用管理情况</w:t>
      </w:r>
    </w:p>
    <w:p w14:paraId="52F6F869">
      <w:pPr>
        <w:keepNext w:val="0"/>
        <w:keepLines w:val="0"/>
        <w:pageBreakBefore w:val="0"/>
        <w:widowControl w:val="0"/>
        <w:shd w:val="clear"/>
        <w:kinsoku/>
        <w:wordWrap/>
        <w:overflowPunct/>
        <w:topLinePunct w:val="0"/>
        <w:autoSpaceDE/>
        <w:autoSpaceDN/>
        <w:bidi w:val="0"/>
        <w:adjustRightInd/>
        <w:snapToGrid w:val="0"/>
        <w:spacing w:line="520" w:lineRule="exact"/>
        <w:ind w:firstLine="560" w:firstLineChars="200"/>
        <w:textAlignment w:val="auto"/>
        <w:outlineLvl w:val="1"/>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bookmarkStart w:id="0" w:name="_Toc10810"/>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1.预算资金安排及管理情况</w:t>
      </w:r>
      <w:bookmarkEnd w:id="0"/>
    </w:p>
    <w:p w14:paraId="742422A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（1）资金来源及拨付流程</w:t>
      </w:r>
    </w:p>
    <w:p w14:paraId="593732A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2023年度，项目资金487.86万元，全部来源财政预算，其中财政一般预算拨款487.86万元。</w:t>
      </w:r>
    </w:p>
    <w:p w14:paraId="3A03973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年初预算批复下达379.46万元，来源于市级一般公共预算财政拨款资金299.46万元。</w:t>
      </w:r>
    </w:p>
    <w:p w14:paraId="5D7EC35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年中指标调剂批复下达188.40万元，其中：市级一般公共预算财政拨款资金160.40万元，省级一般公共预算财政拨款资金28万元。</w:t>
      </w:r>
    </w:p>
    <w:p w14:paraId="429EEC8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（2）资金到位情况</w:t>
      </w:r>
    </w:p>
    <w:p w14:paraId="1E8BE43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本年度项目资金实际到位487.86万元，到位率100%。</w:t>
      </w:r>
    </w:p>
    <w:p w14:paraId="21A9214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（3）资金使用情况</w:t>
      </w:r>
    </w:p>
    <w:p w14:paraId="16DB310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本年度支出986.11万元，资金执行率100%，其中：</w:t>
      </w:r>
      <w:r>
        <w:rPr>
          <w:rFonts w:hint="eastAsia" w:asciiTheme="minorEastAsia" w:hAnsiTheme="minorEastAsia" w:eastAsiaTheme="minorEastAsia" w:cstheme="minorEastAsia"/>
          <w:i w:val="0"/>
          <w:iCs w:val="0"/>
          <w:caps w:val="0"/>
          <w:color w:val="000000"/>
          <w:spacing w:val="0"/>
          <w:sz w:val="28"/>
          <w:szCs w:val="28"/>
          <w:shd w:val="clear" w:fill="FFFFFF"/>
          <w:lang w:eastAsia="zh-CN"/>
        </w:rPr>
        <w:t>专项业务经费</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200.47万元，</w:t>
      </w:r>
      <w:r>
        <w:rPr>
          <w:rFonts w:hint="eastAsia" w:asciiTheme="minorEastAsia" w:hAnsiTheme="minorEastAsia" w:eastAsiaTheme="minorEastAsia" w:cstheme="minorEastAsia"/>
          <w:i w:val="0"/>
          <w:iCs w:val="0"/>
          <w:caps w:val="0"/>
          <w:color w:val="000000"/>
          <w:spacing w:val="0"/>
          <w:sz w:val="28"/>
          <w:szCs w:val="28"/>
          <w:shd w:val="clear" w:fill="FFFFFF"/>
          <w:lang w:eastAsia="zh-CN"/>
        </w:rPr>
        <w:t>法学研究课题专项经费</w:t>
      </w: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9万元，全市和市直单位综合治理维护稳定表彰经费10万元，</w:t>
      </w: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平安怀化建设资金50万元，涉法涉诉信访案件评查经费40万元，人才资源开发专项资金3.20万元，市级综治中心场地建设37万元，市域社会治理智能化综合平台建设运维费10.20万元，政法委教育转化工作经费13万元，扫黑除恶专项100万元，市委政法委工作经费15万元。</w:t>
      </w:r>
    </w:p>
    <w:p w14:paraId="31CC5E8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（4）资金管理制度及执行情况</w:t>
      </w:r>
    </w:p>
    <w:p w14:paraId="450FA22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为规范和加强专项资金的使用管理，我委制定了内部财务管理制度，严格按照专项资金专款专用的规定严格使用管理，无挤占和挪用资金，确保专款专用、专账核算。</w:t>
      </w:r>
    </w:p>
    <w:p w14:paraId="2E913D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2.项目组织实施管理情况</w:t>
      </w:r>
    </w:p>
    <w:p w14:paraId="30EE2EB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我委严格按照有关财政资金管理要求，严格执行会计制度和财务制度，依法管理项目资金，结合我委的工作实际，对项目开支进行规范化、工作制度化，对经费使用范围的各类支出，按照经费使用审批的程序办理，财务人员做到依法理财，保障账目真实、完整、规范，项目总体执行情况较好，预期的绩效目标基本实现。</w:t>
      </w:r>
    </w:p>
    <w:p w14:paraId="6A0F79D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sz w:val="28"/>
          <w:szCs w:val="28"/>
          <w:shd w:val="clear" w:fill="FFFFFF"/>
        </w:rPr>
      </w:pPr>
      <w:r>
        <w:rPr>
          <w:rFonts w:hint="eastAsia" w:asciiTheme="minorEastAsia" w:hAnsiTheme="minorEastAsia" w:eastAsiaTheme="minorEastAsia" w:cstheme="minorEastAsia"/>
          <w:b w:val="0"/>
          <w:bCs w:val="0"/>
          <w:i w:val="0"/>
          <w:iCs w:val="0"/>
          <w:caps w:val="0"/>
          <w:color w:val="000000"/>
          <w:spacing w:val="0"/>
          <w:sz w:val="28"/>
          <w:szCs w:val="28"/>
          <w:shd w:val="clear" w:fill="FFFFFF"/>
        </w:rPr>
        <w:t>（三）预算绩效目标情况</w:t>
      </w:r>
    </w:p>
    <w:p w14:paraId="047535B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1.绩效目标</w:t>
      </w:r>
    </w:p>
    <w:p w14:paraId="23C852E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sz w:val="28"/>
          <w:szCs w:val="28"/>
          <w:shd w:val="clear" w:fill="FFFFFF"/>
          <w:lang w:eastAsia="zh-CN"/>
        </w:rPr>
        <w:t>2023年，在市委坚强领导下，在省委政法委关心指导下，全市政法机关坚持以习近平新时代中国特色社会主义思想为指导，深入学习贯彻党的二十大精神，认真学习贯彻习近平法治思想，锚定“强基础、增质效、创一流”目标，全力以赴防风险、保平安、护稳定、促发展。</w:t>
      </w:r>
    </w:p>
    <w:p w14:paraId="4D4C80B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2.绩效指标</w:t>
      </w:r>
    </w:p>
    <w:p w14:paraId="71D014B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（1）成本指标</w:t>
      </w:r>
    </w:p>
    <w:p w14:paraId="767B65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经济成本指标：项目成本控制≤487.86万元。</w:t>
      </w:r>
    </w:p>
    <w:p w14:paraId="0EB7FCD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（2）产出指标</w:t>
      </w:r>
    </w:p>
    <w:p w14:paraId="49CAA2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数量指标： 组织交流研讨会150次、“走找想促”调研实践次数617次、支持扫黑除恶3个基层经费、法学研究课题4个、市级综治中心建设点1个。</w:t>
      </w:r>
    </w:p>
    <w:p w14:paraId="0F556ED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质量指标：</w:t>
      </w:r>
      <w:r>
        <w:rPr>
          <w:rFonts w:hint="eastAsia" w:asciiTheme="minorEastAsia" w:hAnsiTheme="minorEastAsia" w:eastAsiaTheme="minorEastAsia" w:cstheme="minorEastAsia"/>
          <w:i w:val="0"/>
          <w:iCs w:val="0"/>
          <w:caps w:val="0"/>
          <w:color w:val="000000"/>
          <w:spacing w:val="0"/>
          <w:sz w:val="28"/>
          <w:szCs w:val="28"/>
          <w:shd w:val="clear" w:fill="FFFFFF"/>
          <w:lang w:eastAsia="zh-CN"/>
        </w:rPr>
        <w:t>综治民调、法治化营商环境民调、诉源治理、铁路护路等工作居全省第一、平安建设获评全省“先进”、我市企业满意度测评排名全省第1。</w:t>
      </w:r>
    </w:p>
    <w:p w14:paraId="0C962FE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时效指标：完成及时，2023年12月之前完成。</w:t>
      </w:r>
    </w:p>
    <w:p w14:paraId="36ED0A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（3）效益指标</w:t>
      </w:r>
    </w:p>
    <w:p w14:paraId="215C88D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社会效益指标：政治社会安全稳定。</w:t>
      </w:r>
    </w:p>
    <w:p w14:paraId="7D9D1D2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可持续效益指标：社会环境不断向好，社会经济更高质重发展。</w:t>
      </w:r>
    </w:p>
    <w:p w14:paraId="45ABF17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（4）满意度指标</w:t>
      </w:r>
    </w:p>
    <w:p w14:paraId="6F3C26F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服务对象满意度指标：社会群众满意度≥95%。</w:t>
      </w:r>
    </w:p>
    <w:p w14:paraId="1B1BDDF0">
      <w:pPr>
        <w:pStyle w:val="8"/>
        <w:keepNext w:val="0"/>
        <w:keepLines w:val="0"/>
        <w:pageBreakBefore w:val="0"/>
        <w:widowControl w:val="0"/>
        <w:shd w:val="clear"/>
        <w:kinsoku/>
        <w:wordWrap/>
        <w:overflowPunct/>
        <w:topLinePunct w:val="0"/>
        <w:autoSpaceDE/>
        <w:autoSpaceDN/>
        <w:bidi w:val="0"/>
        <w:adjustRightInd/>
        <w:snapToGrid w:val="0"/>
        <w:spacing w:beforeLines="0" w:afterLines="0" w:line="520" w:lineRule="exact"/>
        <w:ind w:left="0" w:leftChars="0"/>
        <w:textAlignment w:val="auto"/>
        <w:rPr>
          <w:rFonts w:hint="eastAsia" w:asciiTheme="minorEastAsia" w:hAnsiTheme="minorEastAsia" w:eastAsiaTheme="minorEastAsia" w:cstheme="minorEastAsia"/>
          <w:b/>
          <w:bCs/>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bCs/>
          <w:i w:val="0"/>
          <w:iCs w:val="0"/>
          <w:caps w:val="0"/>
          <w:color w:val="000000"/>
          <w:spacing w:val="0"/>
          <w:kern w:val="0"/>
          <w:sz w:val="28"/>
          <w:szCs w:val="28"/>
          <w:shd w:val="clear" w:fill="FFFFFF"/>
          <w:lang w:val="en-US" w:eastAsia="zh-CN" w:bidi="ar"/>
        </w:rPr>
        <w:t>二、绩效评价工作情况</w:t>
      </w:r>
    </w:p>
    <w:p w14:paraId="318DF2A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（一）绩效评价目的</w:t>
      </w:r>
    </w:p>
    <w:p w14:paraId="2A27ADC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bookmarkStart w:id="1" w:name="_Toc11844"/>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严格落实《预算法》及省、市绩效管理工作的有关规定，强化财政支出绩效理念，通过绩效评价分析，了解项目的使用情况和取得的效果，总结项目资金管理经验，进一步加强和规范项目资金管理，完善项目和资金管理办法，为指导预算编制和申报绩效目标、优化财政支出结构提供决策参考和依据。</w:t>
      </w:r>
    </w:p>
    <w:p w14:paraId="6EE2379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（二）被评价单位、绩效评价范围与时段</w:t>
      </w:r>
      <w:bookmarkEnd w:id="1"/>
    </w:p>
    <w:p w14:paraId="23C463C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bookmarkStart w:id="2" w:name="_Toc31835"/>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被评价单位为中共怀化市委政法委员会,评价范围为11个项目资金487.86万元，绩效评价范围包括所有财政下达预算批复且支付的项目，评价时段为2023年1月1日-2023年12月31日。</w:t>
      </w:r>
    </w:p>
    <w:p w14:paraId="49334AC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（三）绩效评价原则、评价指标体系、评价方法</w:t>
      </w:r>
      <w:bookmarkEnd w:id="2"/>
    </w:p>
    <w:p w14:paraId="7F56CBD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bookmarkStart w:id="3" w:name="_Toc32076"/>
      <w:bookmarkStart w:id="4" w:name="_Toc7615"/>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1.绩效评价原则</w:t>
      </w:r>
    </w:p>
    <w:p w14:paraId="1A9843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（1）科学公正。绩效评价运用科学合理的方法，按照规范的程序，对预算支出绩效评价进行客观、公正的反映。</w:t>
      </w:r>
    </w:p>
    <w:p w14:paraId="2F11A1D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（2）激励约束。绩效评价与预算安排、政策调整、改进管理挂钩，体现奖优罚劣和激励相容导向。</w:t>
      </w:r>
    </w:p>
    <w:p w14:paraId="48580C5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（3）公开透明。绩效评价结果依法依规公开，并自觉接受社会监督。</w:t>
      </w:r>
    </w:p>
    <w:p w14:paraId="31835AD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2.评价指标体系</w:t>
      </w:r>
    </w:p>
    <w:p w14:paraId="5DC85E2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本次项目支出绩效评价根据项目实际情况设定评价指标，主要包括成本指标，产出指标：数量、质量、时效等指标，效益指标：经济效益、社会效益、可持续影响，服务对象或社会公众满意度等指标。</w:t>
      </w:r>
    </w:p>
    <w:p w14:paraId="65AADAC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3.评价方法</w:t>
      </w:r>
    </w:p>
    <w:p w14:paraId="6112948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本次评价绩效评价主要采用以下评价方法：</w:t>
      </w:r>
    </w:p>
    <w:p w14:paraId="3756EAF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（1）比较法，将实施情况与绩效目标、历史情况等进行比较。</w:t>
      </w:r>
    </w:p>
    <w:p w14:paraId="3EA7F8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i w:val="0"/>
          <w:iCs w:val="0"/>
          <w:caps w:val="0"/>
          <w:color w:val="000000"/>
          <w:spacing w:val="0"/>
          <w:sz w:val="28"/>
          <w:szCs w:val="28"/>
          <w:shd w:val="clear" w:fill="FFFFFF"/>
          <w:lang w:val="en-US" w:eastAsia="zh-CN"/>
        </w:rPr>
        <w:t>（2）因素分析法，综合分析影响绩效目标实现、实施效果的内外部因素。</w:t>
      </w:r>
    </w:p>
    <w:p w14:paraId="65E0DBE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20" w:lineRule="exact"/>
        <w:ind w:right="0" w:firstLine="560" w:firstLineChars="200"/>
        <w:jc w:val="both"/>
        <w:textAlignment w:val="auto"/>
        <w:rPr>
          <w:rFonts w:hint="eastAsia" w:asciiTheme="minorEastAsia" w:hAnsiTheme="minorEastAsia" w:eastAsiaTheme="minorEastAsia" w:cstheme="minorEastAsia"/>
          <w:i w:val="0"/>
          <w:iCs w:val="0"/>
          <w:caps w:val="0"/>
          <w:color w:val="000000"/>
          <w:spacing w:val="0"/>
          <w:sz w:val="28"/>
          <w:szCs w:val="28"/>
          <w:shd w:val="clear" w:fill="FFFFFF"/>
          <w:lang w:val="en-US" w:eastAsia="zh-CN"/>
        </w:rPr>
      </w:pPr>
    </w:p>
    <w:p w14:paraId="7292C1F5">
      <w:pPr>
        <w:keepNext w:val="0"/>
        <w:keepLines w:val="0"/>
        <w:pageBreakBefore w:val="0"/>
        <w:widowControl w:val="0"/>
        <w:shd w:val="clear"/>
        <w:kinsoku/>
        <w:wordWrap/>
        <w:overflowPunct/>
        <w:topLinePunct w:val="0"/>
        <w:autoSpaceDE/>
        <w:autoSpaceDN/>
        <w:bidi w:val="0"/>
        <w:adjustRightInd/>
        <w:snapToGrid w:val="0"/>
        <w:spacing w:line="520" w:lineRule="exact"/>
        <w:ind w:firstLine="562" w:firstLineChars="200"/>
        <w:textAlignment w:val="auto"/>
        <w:outlineLvl w:val="0"/>
        <w:rPr>
          <w:rFonts w:hint="eastAsia" w:asciiTheme="minorEastAsia" w:hAnsiTheme="minorEastAsia" w:eastAsiaTheme="minorEastAsia" w:cstheme="minorEastAsia"/>
          <w:b/>
          <w:bCs/>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bCs/>
          <w:i w:val="0"/>
          <w:iCs w:val="0"/>
          <w:caps w:val="0"/>
          <w:color w:val="000000"/>
          <w:spacing w:val="0"/>
          <w:kern w:val="0"/>
          <w:sz w:val="28"/>
          <w:szCs w:val="28"/>
          <w:shd w:val="clear" w:fill="FFFFFF"/>
          <w:lang w:val="en-US" w:eastAsia="zh-CN" w:bidi="ar"/>
        </w:rPr>
        <w:t>三、主要绩效及评价结论</w:t>
      </w:r>
      <w:bookmarkEnd w:id="3"/>
      <w:bookmarkEnd w:id="4"/>
    </w:p>
    <w:p w14:paraId="702AD2F1">
      <w:pPr>
        <w:keepNext w:val="0"/>
        <w:keepLines w:val="0"/>
        <w:pageBreakBefore w:val="0"/>
        <w:widowControl w:val="0"/>
        <w:shd w:val="clear"/>
        <w:kinsoku/>
        <w:wordWrap/>
        <w:overflowPunct/>
        <w:topLinePunct w:val="0"/>
        <w:autoSpaceDE/>
        <w:autoSpaceDN/>
        <w:bidi w:val="0"/>
        <w:adjustRightInd/>
        <w:snapToGrid w:val="0"/>
        <w:spacing w:line="560" w:lineRule="exact"/>
        <w:ind w:left="0" w:leftChars="0" w:firstLine="560" w:firstLineChars="200"/>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（一）社会效益</w:t>
      </w:r>
    </w:p>
    <w:p w14:paraId="1EB20B4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t>维护政治社会安全稳定。</w:t>
      </w:r>
    </w:p>
    <w:p w14:paraId="6EA637C4">
      <w:pPr>
        <w:keepNext w:val="0"/>
        <w:keepLines w:val="0"/>
        <w:pageBreakBefore w:val="0"/>
        <w:widowControl w:val="0"/>
        <w:shd w:val="clear"/>
        <w:kinsoku/>
        <w:wordWrap/>
        <w:overflowPunct/>
        <w:topLinePunct w:val="0"/>
        <w:autoSpaceDE/>
        <w:autoSpaceDN/>
        <w:bidi w:val="0"/>
        <w:adjustRightInd/>
        <w:snapToGrid w:val="0"/>
        <w:spacing w:line="560" w:lineRule="exact"/>
        <w:ind w:left="0" w:leftChars="0" w:firstLine="560" w:firstLineChars="200"/>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（二）生态效益</w:t>
      </w:r>
    </w:p>
    <w:p w14:paraId="50F9B4D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t>无。</w:t>
      </w:r>
    </w:p>
    <w:p w14:paraId="38AA5D11">
      <w:pPr>
        <w:keepNext w:val="0"/>
        <w:keepLines w:val="0"/>
        <w:pageBreakBefore w:val="0"/>
        <w:widowControl w:val="0"/>
        <w:shd w:val="clear"/>
        <w:kinsoku/>
        <w:wordWrap/>
        <w:overflowPunct/>
        <w:topLinePunct w:val="0"/>
        <w:autoSpaceDE/>
        <w:autoSpaceDN/>
        <w:bidi w:val="0"/>
        <w:adjustRightInd/>
        <w:snapToGrid w:val="0"/>
        <w:spacing w:line="560" w:lineRule="exact"/>
        <w:ind w:left="0" w:leftChars="0" w:firstLine="560" w:firstLineChars="200"/>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（三）可持续影响</w:t>
      </w:r>
    </w:p>
    <w:p w14:paraId="08B2A0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t>社会环境不断向好，社会经济更高质重发展。</w:t>
      </w:r>
    </w:p>
    <w:p w14:paraId="57BB8C63">
      <w:pPr>
        <w:keepNext w:val="0"/>
        <w:keepLines w:val="0"/>
        <w:pageBreakBefore w:val="0"/>
        <w:widowControl w:val="0"/>
        <w:shd w:val="clear"/>
        <w:kinsoku/>
        <w:wordWrap/>
        <w:overflowPunct/>
        <w:topLinePunct w:val="0"/>
        <w:autoSpaceDE/>
        <w:autoSpaceDN/>
        <w:bidi w:val="0"/>
        <w:adjustRightInd/>
        <w:snapToGrid w:val="0"/>
        <w:spacing w:line="560" w:lineRule="exact"/>
        <w:ind w:left="0" w:leftChars="0" w:firstLine="560" w:firstLineChars="200"/>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（四）满意度情况</w:t>
      </w:r>
    </w:p>
    <w:p w14:paraId="60A005C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t>社会群众满意度≥95%。</w:t>
      </w:r>
    </w:p>
    <w:p w14:paraId="4F53785D">
      <w:pPr>
        <w:keepNext w:val="0"/>
        <w:keepLines w:val="0"/>
        <w:pageBreakBefore w:val="0"/>
        <w:widowControl w:val="0"/>
        <w:shd w:val="clear"/>
        <w:kinsoku/>
        <w:wordWrap/>
        <w:overflowPunct/>
        <w:topLinePunct w:val="0"/>
        <w:autoSpaceDE/>
        <w:autoSpaceDN/>
        <w:bidi w:val="0"/>
        <w:adjustRightInd/>
        <w:snapToGrid w:val="0"/>
        <w:spacing w:line="560" w:lineRule="exact"/>
        <w:ind w:left="0" w:leftChars="0" w:firstLine="560" w:firstLineChars="200"/>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（五）评价结论</w:t>
      </w:r>
    </w:p>
    <w:p w14:paraId="7D578F3A">
      <w:pPr>
        <w:keepNext w:val="0"/>
        <w:keepLines w:val="0"/>
        <w:pageBreakBefore w:val="0"/>
        <w:widowControl/>
        <w:shd w:val="clear" w:color="auto"/>
        <w:kinsoku/>
        <w:wordWrap/>
        <w:overflowPunct/>
        <w:topLinePunct w:val="0"/>
        <w:autoSpaceDE/>
        <w:autoSpaceDN/>
        <w:bidi w:val="0"/>
        <w:adjustRightInd/>
        <w:spacing w:line="560" w:lineRule="exact"/>
        <w:ind w:firstLine="640"/>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bookmarkStart w:id="5" w:name="_Toc16332"/>
      <w:bookmarkStart w:id="6" w:name="_Toc27541"/>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项目立项符合国家法律法规；项目管理制度健全，资金和监管措施落实到位；各项工作具体扎实，项目建设任务全面完成，项目实施效果显著。经自评打分，各项目评价优秀。</w:t>
      </w:r>
    </w:p>
    <w:p w14:paraId="5A03C1D4">
      <w:pPr>
        <w:keepNext w:val="0"/>
        <w:keepLines w:val="0"/>
        <w:pageBreakBefore w:val="0"/>
        <w:widowControl w:val="0"/>
        <w:shd w:val="clear"/>
        <w:kinsoku/>
        <w:wordWrap/>
        <w:overflowPunct/>
        <w:topLinePunct w:val="0"/>
        <w:autoSpaceDE/>
        <w:autoSpaceDN/>
        <w:bidi w:val="0"/>
        <w:adjustRightInd/>
        <w:snapToGrid w:val="0"/>
        <w:spacing w:line="560" w:lineRule="exact"/>
        <w:ind w:firstLine="562" w:firstLineChars="200"/>
        <w:textAlignment w:val="auto"/>
        <w:outlineLvl w:val="0"/>
        <w:rPr>
          <w:rFonts w:hint="eastAsia" w:asciiTheme="minorEastAsia" w:hAnsiTheme="minorEastAsia" w:eastAsiaTheme="minorEastAsia" w:cstheme="minorEastAsia"/>
          <w:b/>
          <w:bCs/>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bCs/>
          <w:i w:val="0"/>
          <w:iCs w:val="0"/>
          <w:caps w:val="0"/>
          <w:color w:val="000000"/>
          <w:spacing w:val="0"/>
          <w:kern w:val="0"/>
          <w:sz w:val="28"/>
          <w:szCs w:val="28"/>
          <w:shd w:val="clear" w:fill="FFFFFF"/>
          <w:lang w:val="en-US" w:eastAsia="zh-CN" w:bidi="ar"/>
        </w:rPr>
        <w:t>四、绩效评价指标分析</w:t>
      </w:r>
      <w:bookmarkEnd w:id="5"/>
      <w:bookmarkEnd w:id="6"/>
    </w:p>
    <w:p w14:paraId="1A6654A6">
      <w:pPr>
        <w:keepNext w:val="0"/>
        <w:keepLines w:val="0"/>
        <w:pageBreakBefore w:val="0"/>
        <w:widowControl w:val="0"/>
        <w:shd w:val="clear"/>
        <w:kinsoku/>
        <w:wordWrap/>
        <w:overflowPunct/>
        <w:topLinePunct w:val="0"/>
        <w:autoSpaceDE/>
        <w:autoSpaceDN/>
        <w:bidi w:val="0"/>
        <w:adjustRightInd/>
        <w:snapToGrid w:val="0"/>
        <w:spacing w:line="560" w:lineRule="exact"/>
        <w:ind w:left="0" w:leftChars="0" w:firstLine="560" w:firstLineChars="200"/>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bookmarkStart w:id="7" w:name="_Toc17679"/>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(一)项目决策情况</w:t>
      </w:r>
      <w:bookmarkEnd w:id="7"/>
    </w:p>
    <w:p w14:paraId="10C4FCA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pPr>
      <w:bookmarkStart w:id="8" w:name="_Toc28411"/>
      <w:r>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t>1.项目决策依据充分性。项目决策符合国家相关法律法规、国民经济发展规划和相关政策；符合行业发展规划和政策要求；与部门职责范围相符，属于部门履职所需。</w:t>
      </w:r>
    </w:p>
    <w:p w14:paraId="1DEA90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t>2.项目决策程序规范性。预算支出按照规定的程序申请设立；审批文件、材料是否符合相关要求；事前经过集体决策程序。</w:t>
      </w:r>
    </w:p>
    <w:p w14:paraId="14DB0BA5">
      <w:pPr>
        <w:keepNext w:val="0"/>
        <w:keepLines w:val="0"/>
        <w:pageBreakBefore w:val="0"/>
        <w:widowControl w:val="0"/>
        <w:shd w:val="clear"/>
        <w:kinsoku/>
        <w:wordWrap/>
        <w:overflowPunct/>
        <w:topLinePunct w:val="0"/>
        <w:autoSpaceDE/>
        <w:autoSpaceDN/>
        <w:bidi w:val="0"/>
        <w:adjustRightInd/>
        <w:snapToGrid w:val="0"/>
        <w:spacing w:line="560" w:lineRule="exact"/>
        <w:ind w:left="0" w:leftChars="0" w:firstLine="560" w:firstLineChars="200"/>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(二)项目过程情况</w:t>
      </w:r>
      <w:bookmarkEnd w:id="8"/>
    </w:p>
    <w:p w14:paraId="5F60CB07">
      <w:pPr>
        <w:keepNext w:val="0"/>
        <w:keepLines w:val="0"/>
        <w:pageBreakBefore w:val="0"/>
        <w:widowControl w:val="0"/>
        <w:shd w:val="clear"/>
        <w:kinsoku/>
        <w:wordWrap/>
        <w:overflowPunct/>
        <w:topLinePunct w:val="0"/>
        <w:autoSpaceDE/>
        <w:autoSpaceDN/>
        <w:bidi w:val="0"/>
        <w:adjustRightInd/>
        <w:snapToGrid w:val="0"/>
        <w:spacing w:line="560" w:lineRule="exact"/>
        <w:ind w:left="0" w:leftChars="0" w:firstLine="560" w:firstLineChars="200"/>
        <w:textAlignment w:val="auto"/>
        <w:outlineLvl w:val="2"/>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bookmarkStart w:id="9" w:name="_Toc10140"/>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1.资金管理</w:t>
      </w:r>
      <w:bookmarkEnd w:id="9"/>
    </w:p>
    <w:p w14:paraId="1B3A28E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bookmarkStart w:id="10" w:name="_Toc1210"/>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（1）资金到位率</w:t>
      </w:r>
    </w:p>
    <w:p w14:paraId="506BAF4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t>本年度项目资金实际到位487.86万元，到位率100%。</w:t>
      </w:r>
    </w:p>
    <w:p w14:paraId="4DE0F0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（2）预算执行率</w:t>
      </w:r>
    </w:p>
    <w:p w14:paraId="13CF18C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本年度项目实际到位资金</w:t>
      </w:r>
      <w:r>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t>487.86</w:t>
      </w: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万元，实际支出资金</w:t>
      </w:r>
      <w:r>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t>487.86</w:t>
      </w: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万元，预算执行率100%。</w:t>
      </w:r>
    </w:p>
    <w:p w14:paraId="13D89F0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（3）项目资金使用和管理情况分析</w:t>
      </w:r>
    </w:p>
    <w:p w14:paraId="70FF19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我委专项资金实行专款专用、专项核算，费用支出严格按财务审批程序和项目进度等进行支付。</w:t>
      </w:r>
    </w:p>
    <w:p w14:paraId="2B5640F9">
      <w:pPr>
        <w:keepNext w:val="0"/>
        <w:keepLines w:val="0"/>
        <w:pageBreakBefore w:val="0"/>
        <w:widowControl w:val="0"/>
        <w:shd w:val="clear"/>
        <w:kinsoku/>
        <w:wordWrap/>
        <w:overflowPunct/>
        <w:topLinePunct w:val="0"/>
        <w:autoSpaceDE/>
        <w:autoSpaceDN/>
        <w:bidi w:val="0"/>
        <w:adjustRightInd/>
        <w:snapToGrid w:val="0"/>
        <w:spacing w:line="560" w:lineRule="exact"/>
        <w:ind w:left="0" w:leftChars="0" w:firstLine="560" w:firstLineChars="200"/>
        <w:textAlignment w:val="auto"/>
        <w:outlineLvl w:val="2"/>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2.项目实施</w:t>
      </w:r>
      <w:bookmarkEnd w:id="10"/>
    </w:p>
    <w:p w14:paraId="694FF41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bookmarkStart w:id="11" w:name="_Toc6604"/>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（1）管理制度健全性。制定了内部财务管理制度，保障项目顺利实施。</w:t>
      </w:r>
    </w:p>
    <w:p w14:paraId="46FD748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（2）制度执行有效性。项目实施遵守相关法律法规和相关管理规定，合同书、验收资料齐全并及时归档。</w:t>
      </w:r>
    </w:p>
    <w:p w14:paraId="15F3AD45">
      <w:pPr>
        <w:pStyle w:val="8"/>
        <w:keepNext w:val="0"/>
        <w:keepLines w:val="0"/>
        <w:pageBreakBefore w:val="0"/>
        <w:widowControl w:val="0"/>
        <w:shd w:val="clear"/>
        <w:kinsoku/>
        <w:wordWrap/>
        <w:overflowPunct/>
        <w:topLinePunct w:val="0"/>
        <w:autoSpaceDE/>
        <w:autoSpaceDN/>
        <w:bidi w:val="0"/>
        <w:adjustRightInd/>
        <w:snapToGrid w:val="0"/>
        <w:spacing w:beforeLines="0" w:afterLines="0" w:line="560" w:lineRule="exact"/>
        <w:ind w:left="0"/>
        <w:textAlignment w:val="auto"/>
        <w:outlineLvl w:val="1"/>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(三)项目产出情况</w:t>
      </w:r>
      <w:bookmarkEnd w:id="11"/>
    </w:p>
    <w:p w14:paraId="01E7AA57">
      <w:pPr>
        <w:pStyle w:val="8"/>
        <w:keepNext w:val="0"/>
        <w:keepLines w:val="0"/>
        <w:pageBreakBefore w:val="0"/>
        <w:widowControl w:val="0"/>
        <w:shd w:val="clear"/>
        <w:kinsoku/>
        <w:wordWrap/>
        <w:overflowPunct/>
        <w:topLinePunct w:val="0"/>
        <w:autoSpaceDE/>
        <w:autoSpaceDN/>
        <w:bidi w:val="0"/>
        <w:adjustRightInd/>
        <w:snapToGrid w:val="0"/>
        <w:spacing w:beforeLines="0" w:afterLines="0" w:line="560" w:lineRule="exact"/>
        <w:ind w:left="0"/>
        <w:textAlignment w:val="auto"/>
        <w:outlineLvl w:val="2"/>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bookmarkStart w:id="12" w:name="_Toc20742"/>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1.产出数量</w:t>
      </w:r>
      <w:bookmarkEnd w:id="12"/>
    </w:p>
    <w:p w14:paraId="77913E5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bookmarkStart w:id="13" w:name="_Toc5372"/>
      <w:r>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t>组织交流研讨会150次、“走找想促”调研实践次数617次、支持扫黑除恶3个基层经费、法学研究课题4个、市级综治中心建设点1个</w:t>
      </w:r>
    </w:p>
    <w:p w14:paraId="3A96DE6A">
      <w:pPr>
        <w:pStyle w:val="8"/>
        <w:keepNext w:val="0"/>
        <w:keepLines w:val="0"/>
        <w:pageBreakBefore w:val="0"/>
        <w:widowControl w:val="0"/>
        <w:shd w:val="clear"/>
        <w:kinsoku/>
        <w:wordWrap/>
        <w:overflowPunct/>
        <w:topLinePunct w:val="0"/>
        <w:autoSpaceDE/>
        <w:autoSpaceDN/>
        <w:bidi w:val="0"/>
        <w:adjustRightInd/>
        <w:snapToGrid w:val="0"/>
        <w:spacing w:beforeLines="0" w:afterLines="0" w:line="560" w:lineRule="exact"/>
        <w:ind w:left="0"/>
        <w:textAlignment w:val="auto"/>
        <w:outlineLvl w:val="2"/>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2.产出质量</w:t>
      </w:r>
      <w:bookmarkEnd w:id="13"/>
    </w:p>
    <w:p w14:paraId="2AF7DD8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pPr>
      <w:r>
        <w:rPr>
          <w:rFonts w:hint="eastAsia" w:asciiTheme="minorEastAsia" w:hAnsiTheme="minorEastAsia" w:eastAsiaTheme="minorEastAsia" w:cstheme="minorEastAsia"/>
          <w:b w:val="0"/>
          <w:bCs w:val="0"/>
          <w:i w:val="0"/>
          <w:iCs w:val="0"/>
          <w:caps w:val="0"/>
          <w:color w:val="000000"/>
          <w:spacing w:val="0"/>
          <w:sz w:val="28"/>
          <w:szCs w:val="28"/>
          <w:shd w:val="clear" w:fill="FFFFFF"/>
          <w:lang w:eastAsia="zh-CN"/>
        </w:rPr>
        <w:t>综治民调、法治化营商环境民调、诉源治理、铁路护路等工作居全省第一、平安建设获评全省“先进”、我市企业满意度测评排名全省第1。</w:t>
      </w:r>
    </w:p>
    <w:p w14:paraId="30183302">
      <w:pPr>
        <w:pStyle w:val="8"/>
        <w:keepNext w:val="0"/>
        <w:keepLines w:val="0"/>
        <w:pageBreakBefore w:val="0"/>
        <w:widowControl w:val="0"/>
        <w:shd w:val="clear"/>
        <w:kinsoku/>
        <w:wordWrap/>
        <w:overflowPunct/>
        <w:topLinePunct w:val="0"/>
        <w:autoSpaceDE/>
        <w:autoSpaceDN/>
        <w:bidi w:val="0"/>
        <w:adjustRightInd/>
        <w:snapToGrid w:val="0"/>
        <w:spacing w:beforeLines="0" w:afterLines="0" w:line="560" w:lineRule="exact"/>
        <w:ind w:left="0"/>
        <w:textAlignment w:val="auto"/>
        <w:outlineLvl w:val="2"/>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bookmarkStart w:id="14" w:name="_Toc25948"/>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3.产出成本</w:t>
      </w:r>
      <w:bookmarkEnd w:id="14"/>
    </w:p>
    <w:p w14:paraId="01A3A5C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pPr>
      <w:bookmarkStart w:id="15" w:name="_Toc21477"/>
      <w:r>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t>项目成本控制≤487.86万元。</w:t>
      </w:r>
    </w:p>
    <w:p w14:paraId="0008B394">
      <w:pPr>
        <w:pStyle w:val="8"/>
        <w:keepNext w:val="0"/>
        <w:keepLines w:val="0"/>
        <w:pageBreakBefore w:val="0"/>
        <w:widowControl w:val="0"/>
        <w:shd w:val="clear"/>
        <w:kinsoku/>
        <w:wordWrap/>
        <w:overflowPunct/>
        <w:topLinePunct w:val="0"/>
        <w:autoSpaceDE/>
        <w:autoSpaceDN/>
        <w:bidi w:val="0"/>
        <w:adjustRightInd/>
        <w:snapToGrid w:val="0"/>
        <w:spacing w:beforeLines="0" w:afterLines="0" w:line="560" w:lineRule="exact"/>
        <w:ind w:left="0"/>
        <w:textAlignment w:val="auto"/>
        <w:outlineLvl w:val="2"/>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4.产出时效</w:t>
      </w:r>
      <w:bookmarkEnd w:id="15"/>
    </w:p>
    <w:p w14:paraId="7EA0C7C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jc w:val="both"/>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bookmarkStart w:id="16" w:name="_Toc12690"/>
      <w:bookmarkStart w:id="17" w:name="_Toc3072"/>
      <w:r>
        <w:rPr>
          <w:rFonts w:hint="eastAsia" w:asciiTheme="minorEastAsia" w:hAnsiTheme="minorEastAsia" w:eastAsiaTheme="minorEastAsia" w:cstheme="minorEastAsia"/>
          <w:b w:val="0"/>
          <w:bCs w:val="0"/>
          <w:i w:val="0"/>
          <w:iCs w:val="0"/>
          <w:caps w:val="0"/>
          <w:color w:val="000000"/>
          <w:spacing w:val="0"/>
          <w:sz w:val="28"/>
          <w:szCs w:val="28"/>
          <w:shd w:val="clear" w:fill="FFFFFF"/>
          <w:lang w:val="en-US" w:eastAsia="zh-CN"/>
        </w:rPr>
        <w:t>2023年12月之前完成。</w:t>
      </w:r>
    </w:p>
    <w:p w14:paraId="271704D3">
      <w:pPr>
        <w:pStyle w:val="8"/>
        <w:keepNext w:val="0"/>
        <w:keepLines w:val="0"/>
        <w:pageBreakBefore w:val="0"/>
        <w:widowControl w:val="0"/>
        <w:shd w:val="clear"/>
        <w:kinsoku/>
        <w:wordWrap/>
        <w:overflowPunct/>
        <w:topLinePunct w:val="0"/>
        <w:autoSpaceDE/>
        <w:autoSpaceDN/>
        <w:bidi w:val="0"/>
        <w:adjustRightInd/>
        <w:snapToGrid w:val="0"/>
        <w:spacing w:beforeLines="0" w:afterLines="0" w:line="560" w:lineRule="exact"/>
        <w:ind w:left="0"/>
        <w:textAlignment w:val="auto"/>
        <w:outlineLvl w:val="1"/>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(四)项目效益情况</w:t>
      </w:r>
      <w:bookmarkEnd w:id="16"/>
      <w:bookmarkEnd w:id="17"/>
    </w:p>
    <w:p w14:paraId="06E4EDE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60" w:lineRule="exact"/>
        <w:ind w:right="0" w:firstLine="560" w:firstLineChars="200"/>
        <w:textAlignment w:val="auto"/>
        <w:rPr>
          <w:rFonts w:hint="eastAsia" w:asciiTheme="minorEastAsia" w:hAnsiTheme="minorEastAsia" w:eastAsiaTheme="minorEastAsia" w:cstheme="minorEastAsia"/>
          <w:b w:val="0"/>
          <w:bCs w:val="0"/>
          <w:i w:val="0"/>
          <w:iCs w:val="0"/>
          <w:caps w:val="0"/>
          <w:color w:val="000000"/>
          <w:spacing w:val="0"/>
          <w:sz w:val="28"/>
          <w:szCs w:val="28"/>
          <w:shd w:val="clear" w:fill="FFFFFF"/>
          <w:lang w:eastAsia="zh-CN"/>
        </w:rPr>
      </w:pPr>
      <w:bookmarkStart w:id="18" w:name="_Toc390267055"/>
      <w:bookmarkStart w:id="19" w:name="_Toc390096931"/>
      <w:bookmarkStart w:id="20" w:name="_Toc24241"/>
      <w:bookmarkStart w:id="21" w:name="_Toc12414"/>
      <w:r>
        <w:rPr>
          <w:rFonts w:hint="eastAsia" w:asciiTheme="minorEastAsia" w:hAnsiTheme="minorEastAsia" w:eastAsiaTheme="minorEastAsia" w:cstheme="minorEastAsia"/>
          <w:b w:val="0"/>
          <w:bCs w:val="0"/>
          <w:i w:val="0"/>
          <w:iCs w:val="0"/>
          <w:caps w:val="0"/>
          <w:color w:val="000000"/>
          <w:spacing w:val="0"/>
          <w:sz w:val="28"/>
          <w:szCs w:val="28"/>
          <w:shd w:val="clear" w:fill="FFFFFF"/>
          <w:lang w:eastAsia="zh-CN"/>
        </w:rPr>
        <w:t>2023年，在市委坚强领导下，在省委政法委关心指导下，全市政法机关坚持以习近平新时代中国特色社会主义思想为指导，深入学习贯彻党的二十大精神，认真学习贯彻习近平法治思想，锚定“强基础、增质效、创一流”目标，全力以赴防风险、保平安、护稳定、促发展，全市现行治安受理数和刑事立案数有所下降，诉前调解数大幅上升，综治民调、法治化营商环境民调、诉源治理、铁路护路等工作居全省第一，平安建设获评全省“先进”。</w:t>
      </w:r>
    </w:p>
    <w:p w14:paraId="22FC0173">
      <w:pPr>
        <w:keepNext w:val="0"/>
        <w:keepLines w:val="0"/>
        <w:pageBreakBefore w:val="0"/>
        <w:widowControl w:val="0"/>
        <w:shd w:val="clear"/>
        <w:kinsoku/>
        <w:wordWrap/>
        <w:overflowPunct/>
        <w:topLinePunct w:val="0"/>
        <w:autoSpaceDE/>
        <w:autoSpaceDN/>
        <w:bidi w:val="0"/>
        <w:adjustRightInd/>
        <w:snapToGrid w:val="0"/>
        <w:spacing w:line="560" w:lineRule="exact"/>
        <w:ind w:firstLine="562" w:firstLineChars="200"/>
        <w:textAlignment w:val="auto"/>
        <w:outlineLvl w:val="0"/>
        <w:rPr>
          <w:rFonts w:hint="eastAsia" w:asciiTheme="minorEastAsia" w:hAnsiTheme="minorEastAsia" w:eastAsiaTheme="minorEastAsia" w:cstheme="minorEastAsia"/>
          <w:b/>
          <w:bCs/>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bCs/>
          <w:i w:val="0"/>
          <w:iCs w:val="0"/>
          <w:caps w:val="0"/>
          <w:color w:val="000000"/>
          <w:spacing w:val="0"/>
          <w:kern w:val="0"/>
          <w:sz w:val="28"/>
          <w:szCs w:val="28"/>
          <w:shd w:val="clear" w:fill="FFFFFF"/>
          <w:lang w:val="en-US" w:eastAsia="zh-CN" w:bidi="ar"/>
        </w:rPr>
        <w:t>五、项目主要经验、存在的问题</w:t>
      </w:r>
      <w:bookmarkEnd w:id="18"/>
      <w:bookmarkEnd w:id="19"/>
      <w:r>
        <w:rPr>
          <w:rFonts w:hint="eastAsia" w:asciiTheme="minorEastAsia" w:hAnsiTheme="minorEastAsia" w:eastAsiaTheme="minorEastAsia" w:cstheme="minorEastAsia"/>
          <w:b/>
          <w:bCs/>
          <w:i w:val="0"/>
          <w:iCs w:val="0"/>
          <w:caps w:val="0"/>
          <w:color w:val="000000"/>
          <w:spacing w:val="0"/>
          <w:kern w:val="0"/>
          <w:sz w:val="28"/>
          <w:szCs w:val="28"/>
          <w:shd w:val="clear" w:fill="FFFFFF"/>
          <w:lang w:val="en-US" w:eastAsia="zh-CN" w:bidi="ar"/>
        </w:rPr>
        <w:t>及建议</w:t>
      </w:r>
      <w:bookmarkEnd w:id="20"/>
      <w:bookmarkEnd w:id="21"/>
    </w:p>
    <w:p w14:paraId="726300A5">
      <w:pPr>
        <w:keepNext w:val="0"/>
        <w:keepLines w:val="0"/>
        <w:pageBreakBefore w:val="0"/>
        <w:widowControl w:val="0"/>
        <w:shd w:val="clear"/>
        <w:kinsoku/>
        <w:wordWrap/>
        <w:overflowPunct/>
        <w:topLinePunct w:val="0"/>
        <w:autoSpaceDE/>
        <w:autoSpaceDN/>
        <w:bidi w:val="0"/>
        <w:adjustRightInd/>
        <w:snapToGrid w:val="0"/>
        <w:spacing w:line="560" w:lineRule="exact"/>
        <w:ind w:firstLine="560" w:firstLineChars="200"/>
        <w:textAlignment w:val="auto"/>
        <w:outlineLvl w:val="1"/>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bookmarkStart w:id="22" w:name="_Toc23434"/>
      <w:bookmarkStart w:id="23" w:name="_Toc5316"/>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（一）项目主要经验</w:t>
      </w:r>
      <w:bookmarkEnd w:id="22"/>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及做法</w:t>
      </w:r>
      <w:bookmarkEnd w:id="23"/>
    </w:p>
    <w:p w14:paraId="3E68D2A2">
      <w:pPr>
        <w:pStyle w:val="13"/>
        <w:keepNext w:val="0"/>
        <w:keepLines w:val="0"/>
        <w:pageBreakBefore w:val="0"/>
        <w:shd w:val="clear"/>
        <w:kinsoku/>
        <w:wordWrap/>
        <w:overflowPunct/>
        <w:topLinePunct w:val="0"/>
        <w:autoSpaceDE/>
        <w:autoSpaceDN/>
        <w:bidi w:val="0"/>
        <w:adjustRightInd/>
        <w:spacing w:line="560" w:lineRule="exact"/>
        <w:ind w:firstLine="560" w:firstLineChars="200"/>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bookmarkStart w:id="24" w:name="_Toc2597"/>
      <w:bookmarkStart w:id="25" w:name="_Toc6772"/>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一是领导重视。市委政法委高度重视专项资金的使用，严格资金审批，提供资金的使用效益。二是管理规范，按照项目资金管理办法来严格执行，强化监督检查，有效规范和加强专项资金的管理。三是专款专用，严格按照省、市专项资金管理办法的规定，做到专项核算，专项专用，没有截留、挤占现象。</w:t>
      </w:r>
    </w:p>
    <w:p w14:paraId="567BE95B">
      <w:pPr>
        <w:keepNext w:val="0"/>
        <w:keepLines w:val="0"/>
        <w:pageBreakBefore w:val="0"/>
        <w:widowControl w:val="0"/>
        <w:shd w:val="clear"/>
        <w:kinsoku/>
        <w:wordWrap/>
        <w:overflowPunct/>
        <w:topLinePunct w:val="0"/>
        <w:autoSpaceDE/>
        <w:autoSpaceDN/>
        <w:bidi w:val="0"/>
        <w:adjustRightInd/>
        <w:snapToGrid w:val="0"/>
        <w:spacing w:line="560" w:lineRule="exact"/>
        <w:ind w:left="0" w:leftChars="0" w:firstLine="560" w:firstLineChars="200"/>
        <w:textAlignment w:val="auto"/>
        <w:outlineLvl w:val="1"/>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（二）存在的问题</w:t>
      </w:r>
      <w:bookmarkEnd w:id="24"/>
      <w:bookmarkEnd w:id="25"/>
    </w:p>
    <w:p w14:paraId="58831B8C">
      <w:pPr>
        <w:pStyle w:val="13"/>
        <w:keepNext w:val="0"/>
        <w:keepLines w:val="0"/>
        <w:pageBreakBefore w:val="0"/>
        <w:shd w:val="clear"/>
        <w:kinsoku/>
        <w:wordWrap/>
        <w:overflowPunct/>
        <w:topLinePunct w:val="0"/>
        <w:autoSpaceDE/>
        <w:autoSpaceDN/>
        <w:bidi w:val="0"/>
        <w:adjustRightInd/>
        <w:spacing w:line="560" w:lineRule="exact"/>
        <w:ind w:firstLine="560" w:firstLineChars="200"/>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bookmarkStart w:id="26" w:name="_Toc16271"/>
      <w:bookmarkStart w:id="27" w:name="_Toc29278"/>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预算编制工作有待细化。预算编制不够明确和细化，预算编制的合理性需要提高，预算执行力度还要进一步加强。</w:t>
      </w:r>
    </w:p>
    <w:p w14:paraId="41EFCC25">
      <w:pPr>
        <w:keepNext w:val="0"/>
        <w:keepLines w:val="0"/>
        <w:pageBreakBefore w:val="0"/>
        <w:widowControl w:val="0"/>
        <w:numPr>
          <w:ilvl w:val="0"/>
          <w:numId w:val="1"/>
        </w:numPr>
        <w:shd w:val="clear"/>
        <w:kinsoku/>
        <w:wordWrap/>
        <w:overflowPunct/>
        <w:topLinePunct w:val="0"/>
        <w:autoSpaceDE/>
        <w:autoSpaceDN/>
        <w:bidi w:val="0"/>
        <w:adjustRightInd/>
        <w:snapToGrid w:val="0"/>
        <w:spacing w:line="560" w:lineRule="exact"/>
        <w:ind w:firstLine="560" w:firstLineChars="200"/>
        <w:textAlignment w:val="auto"/>
        <w:outlineLvl w:val="1"/>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有关建议</w:t>
      </w:r>
      <w:bookmarkEnd w:id="26"/>
      <w:bookmarkEnd w:id="27"/>
    </w:p>
    <w:p w14:paraId="6351DA46">
      <w:pPr>
        <w:pStyle w:val="13"/>
        <w:keepNext w:val="0"/>
        <w:keepLines w:val="0"/>
        <w:pageBreakBefore w:val="0"/>
        <w:shd w:val="clear"/>
        <w:kinsoku/>
        <w:wordWrap/>
        <w:overflowPunct/>
        <w:topLinePunct w:val="0"/>
        <w:autoSpaceDE/>
        <w:autoSpaceDN/>
        <w:bidi w:val="0"/>
        <w:adjustRightInd/>
        <w:spacing w:line="560" w:lineRule="exact"/>
        <w:ind w:firstLine="560" w:firstLineChars="200"/>
        <w:textAlignment w:val="auto"/>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细化预算编制工作，认真做好预算的编制。进一步加强单位内部机构各科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14:paraId="47194DB0">
      <w:pPr>
        <w:keepNext w:val="0"/>
        <w:keepLines w:val="0"/>
        <w:pageBreakBefore w:val="0"/>
        <w:widowControl w:val="0"/>
        <w:shd w:val="clear"/>
        <w:kinsoku/>
        <w:wordWrap/>
        <w:overflowPunct/>
        <w:topLinePunct w:val="0"/>
        <w:autoSpaceDE/>
        <w:autoSpaceDN/>
        <w:bidi w:val="0"/>
        <w:adjustRightInd/>
        <w:snapToGrid w:val="0"/>
        <w:spacing w:line="560" w:lineRule="exact"/>
        <w:ind w:firstLine="560" w:firstLineChars="200"/>
        <w:textAlignment w:val="auto"/>
        <w:outlineLvl w:val="1"/>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b w:val="0"/>
          <w:bCs w:val="0"/>
          <w:i w:val="0"/>
          <w:iCs w:val="0"/>
          <w:caps w:val="0"/>
          <w:color w:val="000000"/>
          <w:spacing w:val="0"/>
          <w:kern w:val="0"/>
          <w:sz w:val="28"/>
          <w:szCs w:val="28"/>
          <w:shd w:val="clear" w:fill="FFFFFF"/>
          <w:lang w:val="en-US" w:eastAsia="zh-CN" w:bidi="ar"/>
        </w:rPr>
        <w:t>对相关人员加强培训，特别是针对《预算法》《行政事业单位会计制度》等学习培训，规范部门预算收支核算，切实提高部门预算收支管理水平。</w:t>
      </w:r>
    </w:p>
    <w:p w14:paraId="00E8473E">
      <w:pPr>
        <w:keepNext w:val="0"/>
        <w:keepLines w:val="0"/>
        <w:pageBreakBefore w:val="0"/>
        <w:widowControl w:val="0"/>
        <w:shd w:val="clear"/>
        <w:kinsoku/>
        <w:wordWrap/>
        <w:overflowPunct/>
        <w:topLinePunct w:val="0"/>
        <w:autoSpaceDE/>
        <w:autoSpaceDN/>
        <w:bidi w:val="0"/>
        <w:adjustRightInd/>
        <w:snapToGrid w:val="0"/>
        <w:spacing w:line="560" w:lineRule="exact"/>
        <w:ind w:firstLine="560" w:firstLineChars="200"/>
        <w:textAlignment w:val="auto"/>
        <w:outlineLvl w:val="1"/>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p>
    <w:p w14:paraId="378DC9E8">
      <w:pPr>
        <w:keepNext w:val="0"/>
        <w:keepLines w:val="0"/>
        <w:pageBreakBefore w:val="0"/>
        <w:widowControl w:val="0"/>
        <w:shd w:val="clear"/>
        <w:kinsoku/>
        <w:wordWrap/>
        <w:overflowPunct/>
        <w:topLinePunct w:val="0"/>
        <w:autoSpaceDE/>
        <w:autoSpaceDN/>
        <w:bidi w:val="0"/>
        <w:adjustRightInd/>
        <w:snapToGrid w:val="0"/>
        <w:spacing w:line="520" w:lineRule="exact"/>
        <w:ind w:firstLine="560" w:firstLineChars="200"/>
        <w:textAlignment w:val="auto"/>
        <w:outlineLvl w:val="1"/>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p>
    <w:p w14:paraId="2B3B5303">
      <w:pPr>
        <w:keepNext w:val="0"/>
        <w:keepLines w:val="0"/>
        <w:pageBreakBefore w:val="0"/>
        <w:widowControl w:val="0"/>
        <w:shd w:val="clear"/>
        <w:kinsoku/>
        <w:wordWrap/>
        <w:overflowPunct/>
        <w:topLinePunct w:val="0"/>
        <w:autoSpaceDE/>
        <w:autoSpaceDN/>
        <w:bidi w:val="0"/>
        <w:adjustRightInd/>
        <w:snapToGrid w:val="0"/>
        <w:spacing w:line="520" w:lineRule="exact"/>
        <w:ind w:firstLine="560" w:firstLineChars="200"/>
        <w:textAlignment w:val="auto"/>
        <w:outlineLvl w:val="1"/>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p>
    <w:p w14:paraId="3F889EFE">
      <w:pPr>
        <w:keepNext w:val="0"/>
        <w:keepLines w:val="0"/>
        <w:pageBreakBefore w:val="0"/>
        <w:widowControl w:val="0"/>
        <w:shd w:val="clear"/>
        <w:kinsoku/>
        <w:wordWrap/>
        <w:overflowPunct/>
        <w:topLinePunct w:val="0"/>
        <w:autoSpaceDE/>
        <w:autoSpaceDN/>
        <w:bidi w:val="0"/>
        <w:adjustRightInd/>
        <w:snapToGrid w:val="0"/>
        <w:spacing w:line="520" w:lineRule="exact"/>
        <w:ind w:firstLine="560" w:firstLineChars="200"/>
        <w:textAlignment w:val="auto"/>
        <w:outlineLvl w:val="1"/>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p>
    <w:p w14:paraId="0DF4DAF2">
      <w:pPr>
        <w:keepNext w:val="0"/>
        <w:keepLines w:val="0"/>
        <w:pageBreakBefore w:val="0"/>
        <w:widowControl w:val="0"/>
        <w:shd w:val="clear"/>
        <w:kinsoku/>
        <w:wordWrap/>
        <w:overflowPunct/>
        <w:topLinePunct w:val="0"/>
        <w:autoSpaceDE/>
        <w:autoSpaceDN/>
        <w:bidi w:val="0"/>
        <w:adjustRightInd/>
        <w:snapToGrid w:val="0"/>
        <w:spacing w:line="520" w:lineRule="exact"/>
        <w:ind w:firstLine="560" w:firstLineChars="200"/>
        <w:textAlignment w:val="auto"/>
        <w:outlineLvl w:val="1"/>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p>
    <w:p w14:paraId="4666C1C6">
      <w:pPr>
        <w:keepNext w:val="0"/>
        <w:keepLines w:val="0"/>
        <w:pageBreakBefore w:val="0"/>
        <w:widowControl w:val="0"/>
        <w:numPr>
          <w:ilvl w:val="0"/>
          <w:numId w:val="0"/>
        </w:numPr>
        <w:shd w:val="clear"/>
        <w:kinsoku/>
        <w:wordWrap/>
        <w:overflowPunct/>
        <w:topLinePunct w:val="0"/>
        <w:autoSpaceDE/>
        <w:autoSpaceDN/>
        <w:bidi w:val="0"/>
        <w:adjustRightInd/>
        <w:snapToGrid w:val="0"/>
        <w:spacing w:line="520" w:lineRule="exact"/>
        <w:jc w:val="both"/>
        <w:textAlignment w:val="auto"/>
        <w:outlineLvl w:val="1"/>
        <w:rPr>
          <w:rFonts w:hint="eastAsia" w:asciiTheme="minorEastAsia" w:hAnsiTheme="minorEastAsia" w:eastAsiaTheme="minorEastAsia" w:cstheme="minorEastAsia"/>
          <w:b/>
          <w:bCs/>
          <w:i w:val="0"/>
          <w:iCs w:val="0"/>
          <w:caps w:val="0"/>
          <w:color w:val="000000"/>
          <w:spacing w:val="0"/>
          <w:kern w:val="0"/>
          <w:sz w:val="28"/>
          <w:szCs w:val="28"/>
          <w:shd w:val="clear" w:fill="FFFFFF"/>
          <w:lang w:val="en-US" w:eastAsia="zh-CN" w:bidi="ar"/>
        </w:rPr>
      </w:pPr>
    </w:p>
    <w:p w14:paraId="54DE80F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right="0"/>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报告应包括以下附件：</w:t>
      </w:r>
    </w:p>
    <w:p w14:paraId="5E09E33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right="0"/>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28"/>
          <w:szCs w:val="28"/>
          <w:shd w:val="clear" w:fill="FFFFFF"/>
          <w:lang w:val="en-US" w:eastAsia="zh-CN" w:bidi="ar"/>
        </w:rPr>
        <w:t>项目支出绩效自评表（一个项目支出一张表）</w:t>
      </w:r>
    </w:p>
    <w:p w14:paraId="3E4ED18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7513C32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3788042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545B5B7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6BB6887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right="0"/>
        <w:rPr>
          <w:rFonts w:hint="eastAsia" w:ascii="仿宋_GB2312" w:eastAsia="仿宋_GB2312" w:cs="仿宋_GB2312"/>
          <w:i w:val="0"/>
          <w:iCs w:val="0"/>
          <w:caps w:val="0"/>
          <w:color w:val="000000"/>
          <w:spacing w:val="0"/>
          <w:sz w:val="24"/>
          <w:szCs w:val="24"/>
          <w:shd w:val="clear" w:fill="FFFFFF"/>
          <w:lang w:val="en-US" w:eastAsia="zh-CN"/>
        </w:rPr>
      </w:pPr>
    </w:p>
    <w:p w14:paraId="7161713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附件2-1</w:t>
      </w:r>
    </w:p>
    <w:p w14:paraId="572328B8">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C6F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Align w:val="center"/>
          </w:tcPr>
          <w:p w14:paraId="3AECD93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227678E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vAlign w:val="center"/>
          </w:tcPr>
          <w:p w14:paraId="3759FCA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专项业务工作经费</w:t>
            </w:r>
          </w:p>
        </w:tc>
      </w:tr>
      <w:tr w14:paraId="64BB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14:paraId="1D13737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14:paraId="21AA525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547E380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14:paraId="2EC50C5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中共怀化市委政法委员会</w:t>
            </w:r>
          </w:p>
        </w:tc>
      </w:tr>
      <w:tr w14:paraId="7A86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14:paraId="675A4C9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157F0D2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vAlign w:val="center"/>
          </w:tcPr>
          <w:p w14:paraId="77E1849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14:paraId="1968271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482BCC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14:paraId="56C7A2F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18F039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14:paraId="59A0B9B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EEF227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14:paraId="68D55D8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14:paraId="47F333D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14:paraId="79C8F59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F38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2358D8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6A0429C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14:paraId="5A42613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210.62</w:t>
            </w:r>
          </w:p>
        </w:tc>
        <w:tc>
          <w:tcPr>
            <w:tcW w:w="1209" w:type="dxa"/>
            <w:vAlign w:val="center"/>
          </w:tcPr>
          <w:p w14:paraId="6D522B0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200.47</w:t>
            </w:r>
          </w:p>
        </w:tc>
        <w:tc>
          <w:tcPr>
            <w:tcW w:w="1134" w:type="dxa"/>
            <w:vAlign w:val="center"/>
          </w:tcPr>
          <w:p w14:paraId="1FF2DAF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200.47</w:t>
            </w:r>
          </w:p>
        </w:tc>
        <w:tc>
          <w:tcPr>
            <w:tcW w:w="828" w:type="dxa"/>
            <w:vAlign w:val="center"/>
          </w:tcPr>
          <w:p w14:paraId="0DE53AB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vAlign w:val="center"/>
          </w:tcPr>
          <w:p w14:paraId="3FA4EB4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14:paraId="3FEE546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398F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768328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1C5B808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14:paraId="0CAE96A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210.62</w:t>
            </w:r>
          </w:p>
        </w:tc>
        <w:tc>
          <w:tcPr>
            <w:tcW w:w="1209" w:type="dxa"/>
            <w:vAlign w:val="center"/>
          </w:tcPr>
          <w:p w14:paraId="068BD44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200.47</w:t>
            </w:r>
          </w:p>
        </w:tc>
        <w:tc>
          <w:tcPr>
            <w:tcW w:w="1134" w:type="dxa"/>
            <w:vAlign w:val="center"/>
          </w:tcPr>
          <w:p w14:paraId="2E68F0D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200.47</w:t>
            </w:r>
          </w:p>
        </w:tc>
        <w:tc>
          <w:tcPr>
            <w:tcW w:w="828" w:type="dxa"/>
            <w:vAlign w:val="center"/>
          </w:tcPr>
          <w:p w14:paraId="4F07E7F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674B7BD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627FE8F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A75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312FA1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66D7267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14:paraId="0BF6A86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2BCE0C8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46CB14B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64BF02D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52189E7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1C0DC05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DAD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14:paraId="726DF19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649308F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14:paraId="5863004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55BBAF6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3C7F962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0131F41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292E63E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7E1E27A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0FA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14:paraId="432E518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14:paraId="32262BC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vAlign w:val="center"/>
          </w:tcPr>
          <w:p w14:paraId="331B6B1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E8B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vAlign w:val="center"/>
          </w:tcPr>
          <w:p w14:paraId="16B7976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4518" w:type="dxa"/>
            <w:gridSpan w:val="4"/>
            <w:vAlign w:val="center"/>
          </w:tcPr>
          <w:p w14:paraId="3B87850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促进政法工作开展。</w:t>
            </w:r>
          </w:p>
        </w:tc>
        <w:tc>
          <w:tcPr>
            <w:tcW w:w="4253" w:type="dxa"/>
            <w:gridSpan w:val="4"/>
            <w:vAlign w:val="center"/>
          </w:tcPr>
          <w:p w14:paraId="61058F7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b w:val="0"/>
                <w:bCs w:val="0"/>
                <w:kern w:val="0"/>
                <w:sz w:val="20"/>
                <w:szCs w:val="20"/>
                <w:lang w:val="en-US" w:eastAsia="zh-CN" w:bidi="ar-SA"/>
              </w:rPr>
              <w:t>2023年，在市委坚强领导下，在省委政法委关心指导下，全市政法机关坚持以习近平新时代中国特色社会主义思想为指导，深入学习贯彻党的二十大精神，认真学习贯彻习近平法治思想，锚定“强基础、增质效、创一流”目标，全力以赴防风险、保平安、护稳定、促发展，全市现行治安受理数和刑事立案数有所下降，诉前调解数大幅上升，综治民调、法治化营商环境民调、诉源治理、铁路护路等工作居全省第一，平安建设获评全省“先进”。</w:t>
            </w:r>
          </w:p>
        </w:tc>
      </w:tr>
      <w:tr w14:paraId="3C16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14:paraId="06D2196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94BD9F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7ED80D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7AEBB8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14:paraId="38162A2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14:paraId="0407C1E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14:paraId="56DFA94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14:paraId="2F4ABAE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331768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14:paraId="216DCBF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547E86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14:paraId="2B49570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14:paraId="1BB32F4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14:paraId="4F84DB3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3778E38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BB1BC5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598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2DE2C3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1EBEA79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BF54DB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vMerge w:val="restart"/>
            <w:vAlign w:val="center"/>
          </w:tcPr>
          <w:p w14:paraId="5C103D4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14:paraId="218DB31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组织交流研讨会</w:t>
            </w:r>
          </w:p>
        </w:tc>
        <w:tc>
          <w:tcPr>
            <w:tcW w:w="1209" w:type="dxa"/>
            <w:vAlign w:val="center"/>
          </w:tcPr>
          <w:p w14:paraId="4C0E797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150次</w:t>
            </w:r>
          </w:p>
        </w:tc>
        <w:tc>
          <w:tcPr>
            <w:tcW w:w="1134" w:type="dxa"/>
            <w:vAlign w:val="center"/>
          </w:tcPr>
          <w:p w14:paraId="55BFB31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150次</w:t>
            </w:r>
          </w:p>
        </w:tc>
        <w:tc>
          <w:tcPr>
            <w:tcW w:w="828" w:type="dxa"/>
            <w:vAlign w:val="center"/>
          </w:tcPr>
          <w:p w14:paraId="662B739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19F330D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3B7FE50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74DA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295771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7769BB7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5359AA4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49" w:type="dxa"/>
            <w:vAlign w:val="center"/>
          </w:tcPr>
          <w:p w14:paraId="56757BA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走找想促”调研实践次数</w:t>
            </w:r>
          </w:p>
        </w:tc>
        <w:tc>
          <w:tcPr>
            <w:tcW w:w="1209" w:type="dxa"/>
            <w:vAlign w:val="center"/>
          </w:tcPr>
          <w:p w14:paraId="74DDD51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617次</w:t>
            </w:r>
          </w:p>
        </w:tc>
        <w:tc>
          <w:tcPr>
            <w:tcW w:w="1134" w:type="dxa"/>
            <w:vAlign w:val="center"/>
          </w:tcPr>
          <w:p w14:paraId="5AF18EF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617次</w:t>
            </w:r>
          </w:p>
        </w:tc>
        <w:tc>
          <w:tcPr>
            <w:tcW w:w="828" w:type="dxa"/>
            <w:vAlign w:val="center"/>
          </w:tcPr>
          <w:p w14:paraId="17E01F9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1B7D7A4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656EC5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03C0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2330E9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2BB661D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4BCD358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14:paraId="6933841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平安建设获评等级</w:t>
            </w:r>
          </w:p>
        </w:tc>
        <w:tc>
          <w:tcPr>
            <w:tcW w:w="1209" w:type="dxa"/>
            <w:vAlign w:val="center"/>
          </w:tcPr>
          <w:p w14:paraId="0811CA3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全省先进</w:t>
            </w:r>
          </w:p>
        </w:tc>
        <w:tc>
          <w:tcPr>
            <w:tcW w:w="1134" w:type="dxa"/>
            <w:vAlign w:val="center"/>
          </w:tcPr>
          <w:p w14:paraId="74DC301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全省先进</w:t>
            </w:r>
          </w:p>
        </w:tc>
        <w:tc>
          <w:tcPr>
            <w:tcW w:w="828" w:type="dxa"/>
            <w:vAlign w:val="center"/>
          </w:tcPr>
          <w:p w14:paraId="0C84DAA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vAlign w:val="center"/>
          </w:tcPr>
          <w:p w14:paraId="0117FEF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vAlign w:val="center"/>
          </w:tcPr>
          <w:p w14:paraId="68688D0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4FAF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BC1AAD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0A4DC8E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77F53E5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49" w:type="dxa"/>
            <w:vAlign w:val="center"/>
          </w:tcPr>
          <w:p w14:paraId="563DB09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铁路护路工作获评等级</w:t>
            </w:r>
          </w:p>
        </w:tc>
        <w:tc>
          <w:tcPr>
            <w:tcW w:w="1209" w:type="dxa"/>
            <w:vAlign w:val="center"/>
          </w:tcPr>
          <w:p w14:paraId="7C57A73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全省第一</w:t>
            </w:r>
          </w:p>
        </w:tc>
        <w:tc>
          <w:tcPr>
            <w:tcW w:w="1134" w:type="dxa"/>
            <w:vAlign w:val="center"/>
          </w:tcPr>
          <w:p w14:paraId="2AFD9FA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全省第一</w:t>
            </w:r>
          </w:p>
        </w:tc>
        <w:tc>
          <w:tcPr>
            <w:tcW w:w="828" w:type="dxa"/>
            <w:vAlign w:val="center"/>
          </w:tcPr>
          <w:p w14:paraId="646EEBD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vAlign w:val="center"/>
          </w:tcPr>
          <w:p w14:paraId="488B462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vAlign w:val="center"/>
          </w:tcPr>
          <w:p w14:paraId="300B375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267A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8F21AC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540D908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1CF6290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14:paraId="090CBED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完成及时率</w:t>
            </w:r>
          </w:p>
        </w:tc>
        <w:tc>
          <w:tcPr>
            <w:tcW w:w="1209" w:type="dxa"/>
            <w:vAlign w:val="center"/>
          </w:tcPr>
          <w:p w14:paraId="2581901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1134" w:type="dxa"/>
            <w:vAlign w:val="center"/>
          </w:tcPr>
          <w:p w14:paraId="6B863DC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828" w:type="dxa"/>
            <w:vAlign w:val="center"/>
          </w:tcPr>
          <w:p w14:paraId="5DF009D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35F236F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3806DB1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046C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51156A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3C4278D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23DE61C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vAlign w:val="center"/>
          </w:tcPr>
          <w:p w14:paraId="026A223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成本控制</w:t>
            </w:r>
          </w:p>
        </w:tc>
        <w:tc>
          <w:tcPr>
            <w:tcW w:w="1209" w:type="dxa"/>
            <w:vAlign w:val="center"/>
          </w:tcPr>
          <w:p w14:paraId="27FAAD6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≦200.47万</w:t>
            </w:r>
          </w:p>
        </w:tc>
        <w:tc>
          <w:tcPr>
            <w:tcW w:w="1134" w:type="dxa"/>
            <w:vAlign w:val="center"/>
          </w:tcPr>
          <w:p w14:paraId="07DFC4C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≦200.47万</w:t>
            </w:r>
          </w:p>
        </w:tc>
        <w:tc>
          <w:tcPr>
            <w:tcW w:w="828" w:type="dxa"/>
            <w:vAlign w:val="center"/>
          </w:tcPr>
          <w:p w14:paraId="0269708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75578FE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3656BBC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39B13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260694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01BE781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41F0431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vAlign w:val="center"/>
          </w:tcPr>
          <w:p w14:paraId="66A0CCB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15DDDA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5BAE0ED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加强经济领域政法服务和保障怀化国际陆港建设</w:t>
            </w:r>
          </w:p>
        </w:tc>
        <w:tc>
          <w:tcPr>
            <w:tcW w:w="1209" w:type="dxa"/>
            <w:vAlign w:val="center"/>
          </w:tcPr>
          <w:p w14:paraId="0F000BB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1134" w:type="dxa"/>
            <w:vAlign w:val="center"/>
          </w:tcPr>
          <w:p w14:paraId="66CD574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828" w:type="dxa"/>
            <w:vAlign w:val="center"/>
          </w:tcPr>
          <w:p w14:paraId="631F174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2F71403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6E3FBA5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3471E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9731D5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702114C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4DCE0BD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58400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31EFF40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政治社会安全稳定</w:t>
            </w:r>
          </w:p>
        </w:tc>
        <w:tc>
          <w:tcPr>
            <w:tcW w:w="1209" w:type="dxa"/>
            <w:vAlign w:val="center"/>
          </w:tcPr>
          <w:p w14:paraId="0755A86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vAlign w:val="center"/>
          </w:tcPr>
          <w:p w14:paraId="1C97213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vAlign w:val="center"/>
          </w:tcPr>
          <w:p w14:paraId="7447BBE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3E2851F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3CED4F9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6E15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262B54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40D956E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2DC7376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9541BD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125A329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无</w:t>
            </w:r>
          </w:p>
        </w:tc>
        <w:tc>
          <w:tcPr>
            <w:tcW w:w="1209" w:type="dxa"/>
            <w:vAlign w:val="center"/>
          </w:tcPr>
          <w:p w14:paraId="2736098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p>
        </w:tc>
        <w:tc>
          <w:tcPr>
            <w:tcW w:w="1134" w:type="dxa"/>
            <w:vAlign w:val="center"/>
          </w:tcPr>
          <w:p w14:paraId="44D3CE0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p>
        </w:tc>
        <w:tc>
          <w:tcPr>
            <w:tcW w:w="828" w:type="dxa"/>
            <w:vAlign w:val="center"/>
          </w:tcPr>
          <w:p w14:paraId="45A1224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p>
        </w:tc>
        <w:tc>
          <w:tcPr>
            <w:tcW w:w="873" w:type="dxa"/>
            <w:vAlign w:val="center"/>
          </w:tcPr>
          <w:p w14:paraId="75F6080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p>
        </w:tc>
        <w:tc>
          <w:tcPr>
            <w:tcW w:w="1418" w:type="dxa"/>
            <w:vAlign w:val="center"/>
          </w:tcPr>
          <w:p w14:paraId="03AFF6E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3C32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612709A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vMerge w:val="continue"/>
            <w:vAlign w:val="center"/>
          </w:tcPr>
          <w:p w14:paraId="4E88435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7676F9A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14:paraId="405BD68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社会环境不断向</w:t>
            </w:r>
          </w:p>
          <w:p w14:paraId="2207A71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好，社会经济更高</w:t>
            </w:r>
          </w:p>
          <w:p w14:paraId="3574245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质重发展</w:t>
            </w:r>
          </w:p>
        </w:tc>
        <w:tc>
          <w:tcPr>
            <w:tcW w:w="1209" w:type="dxa"/>
            <w:vAlign w:val="center"/>
          </w:tcPr>
          <w:p w14:paraId="0A9059F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vAlign w:val="center"/>
          </w:tcPr>
          <w:p w14:paraId="391B38A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vAlign w:val="center"/>
          </w:tcPr>
          <w:p w14:paraId="625BA6F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7AD4278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32097F3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42EE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33DA05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7513B4A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01E173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CAF47C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vMerge w:val="restart"/>
            <w:vAlign w:val="center"/>
          </w:tcPr>
          <w:p w14:paraId="51AD518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14:paraId="03BA084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企业满意度测评</w:t>
            </w:r>
          </w:p>
        </w:tc>
        <w:tc>
          <w:tcPr>
            <w:tcW w:w="1209" w:type="dxa"/>
            <w:vAlign w:val="center"/>
          </w:tcPr>
          <w:p w14:paraId="2FC6C7D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全省第一</w:t>
            </w:r>
          </w:p>
        </w:tc>
        <w:tc>
          <w:tcPr>
            <w:tcW w:w="1134" w:type="dxa"/>
            <w:vAlign w:val="center"/>
          </w:tcPr>
          <w:p w14:paraId="6C68118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全省第一</w:t>
            </w:r>
          </w:p>
        </w:tc>
        <w:tc>
          <w:tcPr>
            <w:tcW w:w="828" w:type="dxa"/>
            <w:vAlign w:val="center"/>
          </w:tcPr>
          <w:p w14:paraId="15E65DA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vAlign w:val="center"/>
          </w:tcPr>
          <w:p w14:paraId="7986ACB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vAlign w:val="center"/>
          </w:tcPr>
          <w:p w14:paraId="1791D50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1A19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632463B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4B00FB2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62109E6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149" w:type="dxa"/>
            <w:vAlign w:val="center"/>
          </w:tcPr>
          <w:p w14:paraId="5C29032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群众安全感提升</w:t>
            </w:r>
          </w:p>
        </w:tc>
        <w:tc>
          <w:tcPr>
            <w:tcW w:w="1209" w:type="dxa"/>
            <w:vAlign w:val="center"/>
          </w:tcPr>
          <w:p w14:paraId="02D19A6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vAlign w:val="center"/>
          </w:tcPr>
          <w:p w14:paraId="2860370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vAlign w:val="center"/>
          </w:tcPr>
          <w:p w14:paraId="19853AB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vAlign w:val="center"/>
          </w:tcPr>
          <w:p w14:paraId="32E1B7B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vAlign w:val="center"/>
          </w:tcPr>
          <w:p w14:paraId="4E9C30D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685E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14:paraId="01E1FDA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14:paraId="2A663CE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14:paraId="615A789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vAlign w:val="center"/>
          </w:tcPr>
          <w:p w14:paraId="69863EA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bl>
    <w:p w14:paraId="0199411A">
      <w:pPr>
        <w:widowControl w:val="0"/>
        <w:shd w:val="clear"/>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2844610B">
      <w:pPr>
        <w:widowControl w:val="0"/>
        <w:shd w:val="clear"/>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2C21DF1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附件2-2</w:t>
      </w:r>
    </w:p>
    <w:p w14:paraId="094A2D38">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6AD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Align w:val="center"/>
          </w:tcPr>
          <w:p w14:paraId="6560F87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7ABB3B6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vAlign w:val="center"/>
          </w:tcPr>
          <w:p w14:paraId="777652C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扫黑除恶专项　</w:t>
            </w:r>
          </w:p>
        </w:tc>
      </w:tr>
      <w:tr w14:paraId="0257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14:paraId="2FA580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14:paraId="6FE91E6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4355DF6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14:paraId="099A0FE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中共怀化市委政法委员会</w:t>
            </w:r>
          </w:p>
        </w:tc>
      </w:tr>
      <w:tr w14:paraId="7C2D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14:paraId="44FDCAC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511A7EE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vAlign w:val="center"/>
          </w:tcPr>
          <w:p w14:paraId="1416A6D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14:paraId="6C09A76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9B7B09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14:paraId="297A4D5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706C77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14:paraId="379A23F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2B0076C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14:paraId="207EC59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14:paraId="16CF9AF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14:paraId="2D371BF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E0A1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80" w:type="dxa"/>
            <w:vMerge w:val="continue"/>
            <w:vAlign w:val="center"/>
          </w:tcPr>
          <w:p w14:paraId="4FA1DBD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65B8757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14:paraId="554DDC3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0.00</w:t>
            </w:r>
          </w:p>
        </w:tc>
        <w:tc>
          <w:tcPr>
            <w:tcW w:w="1209" w:type="dxa"/>
            <w:vAlign w:val="center"/>
          </w:tcPr>
          <w:p w14:paraId="2FB8BE1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100.00</w:t>
            </w:r>
          </w:p>
        </w:tc>
        <w:tc>
          <w:tcPr>
            <w:tcW w:w="1134" w:type="dxa"/>
            <w:vAlign w:val="center"/>
          </w:tcPr>
          <w:p w14:paraId="442A2F0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100.00</w:t>
            </w:r>
          </w:p>
        </w:tc>
        <w:tc>
          <w:tcPr>
            <w:tcW w:w="828" w:type="dxa"/>
            <w:vAlign w:val="center"/>
          </w:tcPr>
          <w:p w14:paraId="718EA85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vAlign w:val="center"/>
          </w:tcPr>
          <w:p w14:paraId="16F3B84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14:paraId="5103937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 xml:space="preserve">  10</w:t>
            </w:r>
          </w:p>
        </w:tc>
      </w:tr>
      <w:tr w14:paraId="2E0D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1D7734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0909EA1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14:paraId="61F7FD3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0.00</w:t>
            </w:r>
          </w:p>
        </w:tc>
        <w:tc>
          <w:tcPr>
            <w:tcW w:w="1209" w:type="dxa"/>
            <w:vAlign w:val="center"/>
          </w:tcPr>
          <w:p w14:paraId="74328D4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100.00</w:t>
            </w:r>
          </w:p>
        </w:tc>
        <w:tc>
          <w:tcPr>
            <w:tcW w:w="1134" w:type="dxa"/>
            <w:vAlign w:val="center"/>
          </w:tcPr>
          <w:p w14:paraId="2BCDCE6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100.00</w:t>
            </w:r>
          </w:p>
        </w:tc>
        <w:tc>
          <w:tcPr>
            <w:tcW w:w="828" w:type="dxa"/>
            <w:vAlign w:val="center"/>
          </w:tcPr>
          <w:p w14:paraId="58433B5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500CC29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6F93358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3E8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69F469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736831B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14:paraId="4A2BB20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6750CDF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421388F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008695D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58F9766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74A7FA0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B81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14:paraId="331AAAF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6D23026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14:paraId="34911C7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07F7648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64905F8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6DD10B4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0F288EC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0AB0841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3F6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14:paraId="03CE760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14:paraId="7AD58A5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vAlign w:val="center"/>
          </w:tcPr>
          <w:p w14:paraId="12A2B45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18D6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080" w:type="dxa"/>
            <w:vMerge w:val="continue"/>
            <w:vAlign w:val="center"/>
          </w:tcPr>
          <w:p w14:paraId="7771A0C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4518" w:type="dxa"/>
            <w:gridSpan w:val="4"/>
            <w:vAlign w:val="center"/>
          </w:tcPr>
          <w:p w14:paraId="41DB2AB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足额保障扫黑除恶专项工作经费，确保扫黑除恶专项斗争有序开展</w:t>
            </w:r>
            <w:r>
              <w:rPr>
                <w:rFonts w:hint="eastAsia" w:ascii="仿宋" w:hAnsi="仿宋" w:eastAsia="仿宋" w:cs="仿宋"/>
                <w:color w:val="000000"/>
                <w:kern w:val="0"/>
                <w:sz w:val="20"/>
                <w:szCs w:val="20"/>
                <w:lang w:eastAsia="zh-CN"/>
              </w:rPr>
              <w:t>。</w:t>
            </w:r>
          </w:p>
        </w:tc>
        <w:tc>
          <w:tcPr>
            <w:tcW w:w="4253" w:type="dxa"/>
            <w:gridSpan w:val="4"/>
            <w:vAlign w:val="center"/>
          </w:tcPr>
          <w:p w14:paraId="6B17597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足额保障扫黑除恶专项工作经费，确保扫黑除恶专项斗争有序开展</w:t>
            </w:r>
            <w:r>
              <w:rPr>
                <w:rFonts w:hint="eastAsia" w:ascii="仿宋" w:hAnsi="仿宋" w:eastAsia="仿宋" w:cs="仿宋"/>
                <w:color w:val="000000"/>
                <w:kern w:val="0"/>
                <w:sz w:val="20"/>
                <w:szCs w:val="20"/>
                <w:lang w:eastAsia="zh-CN"/>
              </w:rPr>
              <w:t>。</w:t>
            </w:r>
          </w:p>
        </w:tc>
      </w:tr>
      <w:tr w14:paraId="1B8B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14:paraId="47DC0DF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C11D3C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E9B57D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84EE00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14:paraId="495BF4E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14:paraId="3DAA5CA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14:paraId="419E9D3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14:paraId="17D23CB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5C2415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14:paraId="775A495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9A3769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14:paraId="1BF2DF0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14:paraId="4383B1C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14:paraId="03BB424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8E7A16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FD5113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2F6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E00C6F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621BAD0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C0B03E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vAlign w:val="center"/>
          </w:tcPr>
          <w:p w14:paraId="3F266E5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14:paraId="0B6D1D0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支持基层经费个数</w:t>
            </w:r>
          </w:p>
        </w:tc>
        <w:tc>
          <w:tcPr>
            <w:tcW w:w="1209" w:type="dxa"/>
            <w:vAlign w:val="center"/>
          </w:tcPr>
          <w:p w14:paraId="39E7684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3个</w:t>
            </w:r>
          </w:p>
        </w:tc>
        <w:tc>
          <w:tcPr>
            <w:tcW w:w="1134" w:type="dxa"/>
            <w:vAlign w:val="center"/>
          </w:tcPr>
          <w:p w14:paraId="71D2599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3个</w:t>
            </w:r>
          </w:p>
        </w:tc>
        <w:tc>
          <w:tcPr>
            <w:tcW w:w="828" w:type="dxa"/>
            <w:vAlign w:val="center"/>
          </w:tcPr>
          <w:p w14:paraId="3C281BB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vAlign w:val="center"/>
          </w:tcPr>
          <w:p w14:paraId="76B61A4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14:paraId="0659C41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15EB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6633771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2667F6D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13317B2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14:paraId="2F62C00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项目绩效目标完成率</w:t>
            </w:r>
          </w:p>
        </w:tc>
        <w:tc>
          <w:tcPr>
            <w:tcW w:w="1209" w:type="dxa"/>
            <w:vAlign w:val="center"/>
          </w:tcPr>
          <w:p w14:paraId="5322D44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vAlign w:val="center"/>
          </w:tcPr>
          <w:p w14:paraId="3E4F8D6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vAlign w:val="center"/>
          </w:tcPr>
          <w:p w14:paraId="07006FF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873" w:type="dxa"/>
            <w:vAlign w:val="center"/>
          </w:tcPr>
          <w:p w14:paraId="001E991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vAlign w:val="center"/>
          </w:tcPr>
          <w:p w14:paraId="580777E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326E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1D7839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0144112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431A272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14:paraId="31987FC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完成时间</w:t>
            </w:r>
          </w:p>
        </w:tc>
        <w:tc>
          <w:tcPr>
            <w:tcW w:w="1209" w:type="dxa"/>
            <w:vAlign w:val="center"/>
          </w:tcPr>
          <w:p w14:paraId="0243B15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1134" w:type="dxa"/>
            <w:vAlign w:val="center"/>
          </w:tcPr>
          <w:p w14:paraId="1308358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828" w:type="dxa"/>
            <w:vAlign w:val="center"/>
          </w:tcPr>
          <w:p w14:paraId="77147F4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vAlign w:val="center"/>
          </w:tcPr>
          <w:p w14:paraId="48C8382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vAlign w:val="center"/>
          </w:tcPr>
          <w:p w14:paraId="1E69A27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4A0E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80" w:type="dxa"/>
            <w:vMerge w:val="continue"/>
            <w:vAlign w:val="center"/>
          </w:tcPr>
          <w:p w14:paraId="1A1C87E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0C548AA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2198729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vAlign w:val="center"/>
          </w:tcPr>
          <w:p w14:paraId="5AD433B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成本控制</w:t>
            </w:r>
          </w:p>
        </w:tc>
        <w:tc>
          <w:tcPr>
            <w:tcW w:w="1209" w:type="dxa"/>
            <w:vAlign w:val="center"/>
          </w:tcPr>
          <w:p w14:paraId="113AFFA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≦100万</w:t>
            </w:r>
          </w:p>
        </w:tc>
        <w:tc>
          <w:tcPr>
            <w:tcW w:w="1134" w:type="dxa"/>
            <w:vAlign w:val="center"/>
          </w:tcPr>
          <w:p w14:paraId="635D63B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≦100万</w:t>
            </w:r>
          </w:p>
        </w:tc>
        <w:tc>
          <w:tcPr>
            <w:tcW w:w="828" w:type="dxa"/>
            <w:vAlign w:val="center"/>
          </w:tcPr>
          <w:p w14:paraId="13D6761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7A463B8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7A61154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436F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4E3AEB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06C9122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EF3A10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vAlign w:val="center"/>
          </w:tcPr>
          <w:p w14:paraId="3F78E23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563949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0C3A6A3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6924FE0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26709A8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1F62B72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52E1688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1BB3C3A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1BF94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A0E7B3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76C05E1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7B79D81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27F3AE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3917ED1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群众安全感、社会治安满意率提升。</w:t>
            </w:r>
          </w:p>
        </w:tc>
        <w:tc>
          <w:tcPr>
            <w:tcW w:w="1209" w:type="dxa"/>
            <w:vAlign w:val="center"/>
          </w:tcPr>
          <w:p w14:paraId="1D72F37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效果显著</w:t>
            </w:r>
          </w:p>
        </w:tc>
        <w:tc>
          <w:tcPr>
            <w:tcW w:w="1134" w:type="dxa"/>
            <w:vAlign w:val="center"/>
          </w:tcPr>
          <w:p w14:paraId="56BCC3D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效果显著</w:t>
            </w:r>
          </w:p>
        </w:tc>
        <w:tc>
          <w:tcPr>
            <w:tcW w:w="828" w:type="dxa"/>
            <w:vAlign w:val="center"/>
          </w:tcPr>
          <w:p w14:paraId="6FD4A26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30</w:t>
            </w:r>
          </w:p>
        </w:tc>
        <w:tc>
          <w:tcPr>
            <w:tcW w:w="873" w:type="dxa"/>
            <w:vAlign w:val="center"/>
          </w:tcPr>
          <w:p w14:paraId="7E1BD19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30</w:t>
            </w:r>
          </w:p>
        </w:tc>
        <w:tc>
          <w:tcPr>
            <w:tcW w:w="1418" w:type="dxa"/>
            <w:vAlign w:val="center"/>
          </w:tcPr>
          <w:p w14:paraId="5BE9C5D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51D3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763A27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72AE1A1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401BFB9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D0263A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3846FC8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2172DE9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5D56C9E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1AED7A9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3B10776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137B210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634D9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6AF777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vMerge w:val="continue"/>
            <w:vAlign w:val="center"/>
          </w:tcPr>
          <w:p w14:paraId="3426B33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1FD4AA9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14:paraId="28BD422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4C1AC0E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781996D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32A789E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5ADD49F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7AC5FE5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0EC4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7BBBC4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1926787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07BB3C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8DA16D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vAlign w:val="center"/>
          </w:tcPr>
          <w:p w14:paraId="10EE476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14:paraId="4AEBF45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社会公众满意度</w:t>
            </w:r>
          </w:p>
        </w:tc>
        <w:tc>
          <w:tcPr>
            <w:tcW w:w="1209" w:type="dxa"/>
            <w:vAlign w:val="center"/>
          </w:tcPr>
          <w:p w14:paraId="7B9F3BD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r>
              <w:rPr>
                <w:rFonts w:hint="eastAsia" w:ascii="仿宋" w:hAnsi="仿宋" w:eastAsia="仿宋" w:cs="仿宋"/>
                <w:color w:val="000000"/>
                <w:kern w:val="0"/>
                <w:sz w:val="20"/>
                <w:szCs w:val="20"/>
              </w:rPr>
              <w:t>%</w:t>
            </w:r>
          </w:p>
        </w:tc>
        <w:tc>
          <w:tcPr>
            <w:tcW w:w="1134" w:type="dxa"/>
            <w:vAlign w:val="center"/>
          </w:tcPr>
          <w:p w14:paraId="5C8524F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97.117%</w:t>
            </w:r>
          </w:p>
        </w:tc>
        <w:tc>
          <w:tcPr>
            <w:tcW w:w="828" w:type="dxa"/>
            <w:vAlign w:val="center"/>
          </w:tcPr>
          <w:p w14:paraId="3B9572E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vAlign w:val="center"/>
          </w:tcPr>
          <w:p w14:paraId="49C52EF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vAlign w:val="center"/>
          </w:tcPr>
          <w:p w14:paraId="19C0BD8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7F03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14:paraId="579E14F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14:paraId="6159BAD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14:paraId="4CEC7C0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14:paraId="3F5D3A6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B8335CF">
      <w:pPr>
        <w:widowControl w:val="0"/>
        <w:shd w:val="clear"/>
        <w:kinsoku/>
        <w:autoSpaceDE/>
        <w:autoSpaceDN/>
        <w:adjustRightInd/>
        <w:snapToGrid/>
        <w:spacing w:line="600" w:lineRule="exact"/>
        <w:jc w:val="both"/>
        <w:textAlignment w:val="auto"/>
        <w:rPr>
          <w:rFonts w:hint="default"/>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5D83C8A5">
      <w:pPr>
        <w:widowControl w:val="0"/>
        <w:shd w:val="clear"/>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14:paraId="243555E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附件2-3</w:t>
      </w:r>
    </w:p>
    <w:p w14:paraId="209428DF">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CA7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Align w:val="center"/>
          </w:tcPr>
          <w:p w14:paraId="391A9FD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0B8FEC5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vAlign w:val="center"/>
          </w:tcPr>
          <w:p w14:paraId="56CED78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市法学会课题研究及工作经费　</w:t>
            </w:r>
          </w:p>
        </w:tc>
      </w:tr>
      <w:tr w14:paraId="3419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14:paraId="51D3E76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14:paraId="6641563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377D4DF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14:paraId="2056901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中共怀化市委政法委员会</w:t>
            </w:r>
          </w:p>
        </w:tc>
      </w:tr>
      <w:tr w14:paraId="724E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14:paraId="30D5C87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59AC4F4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vAlign w:val="center"/>
          </w:tcPr>
          <w:p w14:paraId="2C2AD20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14:paraId="6A3C069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3C5D73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14:paraId="4BB17AE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F7C8AD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14:paraId="38F74BB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54AE1C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14:paraId="7B93692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14:paraId="1DF2966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14:paraId="3A71AEC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5FA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3C2D6C2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633C13E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14:paraId="6B42E36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10.00</w:t>
            </w:r>
          </w:p>
        </w:tc>
        <w:tc>
          <w:tcPr>
            <w:tcW w:w="1209" w:type="dxa"/>
            <w:vAlign w:val="center"/>
          </w:tcPr>
          <w:p w14:paraId="595B891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9.00</w:t>
            </w:r>
          </w:p>
        </w:tc>
        <w:tc>
          <w:tcPr>
            <w:tcW w:w="1134" w:type="dxa"/>
            <w:vAlign w:val="center"/>
          </w:tcPr>
          <w:p w14:paraId="1DFAC93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9.00</w:t>
            </w:r>
          </w:p>
        </w:tc>
        <w:tc>
          <w:tcPr>
            <w:tcW w:w="828" w:type="dxa"/>
            <w:vAlign w:val="center"/>
          </w:tcPr>
          <w:p w14:paraId="6E8B44E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vAlign w:val="center"/>
          </w:tcPr>
          <w:p w14:paraId="6DB864A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14:paraId="351E960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10</w:t>
            </w:r>
          </w:p>
        </w:tc>
      </w:tr>
      <w:tr w14:paraId="6175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706E68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58B8796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14:paraId="5722FB8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10.00</w:t>
            </w:r>
          </w:p>
        </w:tc>
        <w:tc>
          <w:tcPr>
            <w:tcW w:w="1209" w:type="dxa"/>
            <w:vAlign w:val="center"/>
          </w:tcPr>
          <w:p w14:paraId="68CD343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9.00</w:t>
            </w:r>
          </w:p>
        </w:tc>
        <w:tc>
          <w:tcPr>
            <w:tcW w:w="1134" w:type="dxa"/>
            <w:vAlign w:val="center"/>
          </w:tcPr>
          <w:p w14:paraId="606B1DC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9.00</w:t>
            </w:r>
          </w:p>
        </w:tc>
        <w:tc>
          <w:tcPr>
            <w:tcW w:w="828" w:type="dxa"/>
            <w:vAlign w:val="center"/>
          </w:tcPr>
          <w:p w14:paraId="5E144C9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204AE07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7AFF755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B7C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B9BEEA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030A816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14:paraId="2AFA482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51E16AD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0243E9F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7F15E30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396CE5C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29EDF68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684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14:paraId="462B5FB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6E551D8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14:paraId="4FBA5A8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34EA47F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0EA448D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57859CB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5BAE3CE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7CA6E4B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16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14:paraId="21F429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14:paraId="78C73B4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vAlign w:val="center"/>
          </w:tcPr>
          <w:p w14:paraId="0B3EA26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B3E7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14:paraId="03A5DCB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4518" w:type="dxa"/>
            <w:gridSpan w:val="4"/>
            <w:vAlign w:val="center"/>
          </w:tcPr>
          <w:p w14:paraId="0413077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按照党中央、国务院对中国法学会的有关规定，推进各级法学会组织的规范化建设，保障依法依规依《章程》开展工作。　　</w:t>
            </w:r>
          </w:p>
        </w:tc>
        <w:tc>
          <w:tcPr>
            <w:tcW w:w="4253" w:type="dxa"/>
            <w:gridSpan w:val="4"/>
            <w:vAlign w:val="center"/>
          </w:tcPr>
          <w:p w14:paraId="257B808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根据《怀化市法学会 2023年法学研究课题申报公告》和《2023年度怀化市法学会法学研究课题工作方案》的要求，怀化市法学会2023年的4个法学研究课题成果通过专家组结项评审，全部予以结项。</w:t>
            </w:r>
          </w:p>
        </w:tc>
      </w:tr>
      <w:tr w14:paraId="10F4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14:paraId="47DC951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4E90D6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54F7F3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EFCA93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14:paraId="5A9107A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14:paraId="2CF20DA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14:paraId="2B49EBB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14:paraId="099CC58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98D184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14:paraId="59C1109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42F8C2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14:paraId="60766B4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14:paraId="2D143C8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14:paraId="48B6317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FB5692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25F5F2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83F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ACDE2D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3AD1644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AAAB94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vAlign w:val="center"/>
          </w:tcPr>
          <w:p w14:paraId="31D522B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14:paraId="627AC5C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法学研究课题个数</w:t>
            </w:r>
          </w:p>
        </w:tc>
        <w:tc>
          <w:tcPr>
            <w:tcW w:w="1209" w:type="dxa"/>
            <w:vAlign w:val="center"/>
          </w:tcPr>
          <w:p w14:paraId="04DDA64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4个</w:t>
            </w:r>
          </w:p>
        </w:tc>
        <w:tc>
          <w:tcPr>
            <w:tcW w:w="1134" w:type="dxa"/>
            <w:vAlign w:val="center"/>
          </w:tcPr>
          <w:p w14:paraId="353CD42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4个</w:t>
            </w:r>
          </w:p>
        </w:tc>
        <w:tc>
          <w:tcPr>
            <w:tcW w:w="828" w:type="dxa"/>
            <w:vAlign w:val="center"/>
          </w:tcPr>
          <w:p w14:paraId="2B9F804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vAlign w:val="center"/>
          </w:tcPr>
          <w:p w14:paraId="52DD9F5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vAlign w:val="center"/>
          </w:tcPr>
          <w:p w14:paraId="62A7603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3945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9C8B52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7C77383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74CE288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14:paraId="4A775B8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课题结业率</w:t>
            </w:r>
          </w:p>
        </w:tc>
        <w:tc>
          <w:tcPr>
            <w:tcW w:w="1209" w:type="dxa"/>
            <w:vAlign w:val="center"/>
          </w:tcPr>
          <w:p w14:paraId="2950479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vAlign w:val="center"/>
          </w:tcPr>
          <w:p w14:paraId="57C8DB7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14:paraId="2BC38C5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vAlign w:val="center"/>
          </w:tcPr>
          <w:p w14:paraId="147B13C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vAlign w:val="center"/>
          </w:tcPr>
          <w:p w14:paraId="1EE201C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1EC9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9E34FD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5BF3CAC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6E82FD4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14:paraId="4D8EF13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完成时间</w:t>
            </w:r>
          </w:p>
        </w:tc>
        <w:tc>
          <w:tcPr>
            <w:tcW w:w="1209" w:type="dxa"/>
            <w:vAlign w:val="center"/>
          </w:tcPr>
          <w:p w14:paraId="6C64507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1134" w:type="dxa"/>
            <w:vAlign w:val="center"/>
          </w:tcPr>
          <w:p w14:paraId="16415CB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828" w:type="dxa"/>
            <w:vAlign w:val="center"/>
          </w:tcPr>
          <w:p w14:paraId="6075281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238450D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084D035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1C98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7C196E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6C43FA7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5C637E4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vAlign w:val="center"/>
          </w:tcPr>
          <w:p w14:paraId="39134A8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成本控制</w:t>
            </w:r>
          </w:p>
        </w:tc>
        <w:tc>
          <w:tcPr>
            <w:tcW w:w="1209" w:type="dxa"/>
            <w:vAlign w:val="center"/>
          </w:tcPr>
          <w:p w14:paraId="1AC3B27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≦10万</w:t>
            </w:r>
          </w:p>
        </w:tc>
        <w:tc>
          <w:tcPr>
            <w:tcW w:w="1134" w:type="dxa"/>
            <w:vAlign w:val="center"/>
          </w:tcPr>
          <w:p w14:paraId="4B61E38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9万</w:t>
            </w:r>
          </w:p>
        </w:tc>
        <w:tc>
          <w:tcPr>
            <w:tcW w:w="828" w:type="dxa"/>
            <w:vAlign w:val="center"/>
          </w:tcPr>
          <w:p w14:paraId="246B88B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6F22BDC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471967F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p>
        </w:tc>
      </w:tr>
      <w:tr w14:paraId="7C85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1E6987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0F8968D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C12DF0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vAlign w:val="center"/>
          </w:tcPr>
          <w:p w14:paraId="405749A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EB8830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2B6CEC2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637D135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p>
        </w:tc>
        <w:tc>
          <w:tcPr>
            <w:tcW w:w="1134" w:type="dxa"/>
            <w:vAlign w:val="center"/>
          </w:tcPr>
          <w:p w14:paraId="5F53D2E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4E40DE9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36B27DD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07839F3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66C6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E499AC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53B3010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4BED6FA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116EC8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764BFD9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为法治怀化、平安怀化建设和全市经济社会高质量发展提供法治智力支撑。</w:t>
            </w:r>
          </w:p>
        </w:tc>
        <w:tc>
          <w:tcPr>
            <w:tcW w:w="1209" w:type="dxa"/>
            <w:vAlign w:val="center"/>
          </w:tcPr>
          <w:p w14:paraId="065B8EE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vAlign w:val="center"/>
          </w:tcPr>
          <w:p w14:paraId="4D9E8BA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14:paraId="60CB605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873" w:type="dxa"/>
            <w:vAlign w:val="center"/>
          </w:tcPr>
          <w:p w14:paraId="0539C4F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1418" w:type="dxa"/>
            <w:vAlign w:val="center"/>
          </w:tcPr>
          <w:p w14:paraId="7F2E4C7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3F9F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E58BCC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655F0AA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16FDA33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50F785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4EB736E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59FAC98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60053BE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340F675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0190D4F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298A904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1016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B14BBA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vMerge w:val="continue"/>
            <w:vAlign w:val="center"/>
          </w:tcPr>
          <w:p w14:paraId="7D7B04B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150B95D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14:paraId="4E54484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4A40B23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2D78969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1ACD91F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504EEAB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7FD5078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37D8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3D7081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72778BB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C2077A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D6E8F5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vAlign w:val="center"/>
          </w:tcPr>
          <w:p w14:paraId="7A286E3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14:paraId="35084B3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vAlign w:val="center"/>
          </w:tcPr>
          <w:p w14:paraId="2A04739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≥95</w:t>
            </w:r>
            <w:r>
              <w:rPr>
                <w:rFonts w:hint="eastAsia" w:ascii="仿宋" w:hAnsi="仿宋" w:eastAsia="仿宋" w:cs="仿宋"/>
                <w:color w:val="000000"/>
                <w:kern w:val="0"/>
                <w:sz w:val="20"/>
                <w:szCs w:val="20"/>
              </w:rPr>
              <w:t>%</w:t>
            </w:r>
          </w:p>
        </w:tc>
        <w:tc>
          <w:tcPr>
            <w:tcW w:w="1134" w:type="dxa"/>
            <w:vAlign w:val="center"/>
          </w:tcPr>
          <w:p w14:paraId="22833ED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97.117%</w:t>
            </w:r>
          </w:p>
        </w:tc>
        <w:tc>
          <w:tcPr>
            <w:tcW w:w="828" w:type="dxa"/>
            <w:vAlign w:val="center"/>
          </w:tcPr>
          <w:p w14:paraId="3B303B0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vAlign w:val="center"/>
          </w:tcPr>
          <w:p w14:paraId="3824AD2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vAlign w:val="center"/>
          </w:tcPr>
          <w:p w14:paraId="49403D5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54DD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14:paraId="3F4D4FC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14:paraId="7442F37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14:paraId="072E5C3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79D6BCA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250B8B8">
      <w:pPr>
        <w:widowControl w:val="0"/>
        <w:shd w:val="clear"/>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4F7CA6E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14:paraId="5A275FB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附件2-4</w:t>
      </w:r>
    </w:p>
    <w:p w14:paraId="1DFE049B">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1E7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Align w:val="center"/>
          </w:tcPr>
          <w:p w14:paraId="5116C01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3763B5F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vAlign w:val="center"/>
          </w:tcPr>
          <w:p w14:paraId="31AB1A2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全市和市直单位综合治理维护稳定表彰经费</w:t>
            </w:r>
          </w:p>
        </w:tc>
      </w:tr>
      <w:tr w14:paraId="6372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14:paraId="327967C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14:paraId="7473675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3138329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14:paraId="3D820C7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中共怀化市委政法委员会</w:t>
            </w:r>
          </w:p>
        </w:tc>
      </w:tr>
      <w:tr w14:paraId="542F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14:paraId="3793215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1E0EF76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vAlign w:val="center"/>
          </w:tcPr>
          <w:p w14:paraId="6AB1364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14:paraId="33CE668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33D7CE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14:paraId="532B4FB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6FCE8C9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14:paraId="4BAFEC9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ACB7A5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14:paraId="0A94FA3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14:paraId="271570F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14:paraId="3693191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5F5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B0C0B0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4C5905D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14:paraId="3FEA6F4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0.00</w:t>
            </w:r>
          </w:p>
        </w:tc>
        <w:tc>
          <w:tcPr>
            <w:tcW w:w="1209" w:type="dxa"/>
            <w:vAlign w:val="center"/>
          </w:tcPr>
          <w:p w14:paraId="38D4544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10.00</w:t>
            </w:r>
          </w:p>
        </w:tc>
        <w:tc>
          <w:tcPr>
            <w:tcW w:w="1134" w:type="dxa"/>
            <w:vAlign w:val="center"/>
          </w:tcPr>
          <w:p w14:paraId="5F4EA89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10.00</w:t>
            </w:r>
          </w:p>
        </w:tc>
        <w:tc>
          <w:tcPr>
            <w:tcW w:w="828" w:type="dxa"/>
            <w:vAlign w:val="center"/>
          </w:tcPr>
          <w:p w14:paraId="2EA2781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vAlign w:val="center"/>
          </w:tcPr>
          <w:p w14:paraId="0EA6193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14:paraId="7230C23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 xml:space="preserve">  10</w:t>
            </w:r>
          </w:p>
        </w:tc>
      </w:tr>
      <w:tr w14:paraId="46DF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D548F2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5816C95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14:paraId="60CE425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0.00</w:t>
            </w:r>
          </w:p>
        </w:tc>
        <w:tc>
          <w:tcPr>
            <w:tcW w:w="1209" w:type="dxa"/>
            <w:vAlign w:val="center"/>
          </w:tcPr>
          <w:p w14:paraId="108C035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10.00</w:t>
            </w:r>
          </w:p>
        </w:tc>
        <w:tc>
          <w:tcPr>
            <w:tcW w:w="1134" w:type="dxa"/>
            <w:vAlign w:val="center"/>
          </w:tcPr>
          <w:p w14:paraId="480A7D0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10.00</w:t>
            </w:r>
          </w:p>
        </w:tc>
        <w:tc>
          <w:tcPr>
            <w:tcW w:w="828" w:type="dxa"/>
            <w:vAlign w:val="center"/>
          </w:tcPr>
          <w:p w14:paraId="15BC2E7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76D2BDA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180314A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20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03DBD4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76999BE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14:paraId="1E649FF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0534E6D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5F2D4F2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6878CE2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2CC7E31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2D135F2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35E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14:paraId="697708D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3FA7D1B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14:paraId="64265DD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19B5E5C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65B9144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2FFFA85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0AF1B02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3E59708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11E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14:paraId="4ACF56E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14:paraId="01C7604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vAlign w:val="center"/>
          </w:tcPr>
          <w:p w14:paraId="4D5CED9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BAF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14:paraId="73D2D17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4518" w:type="dxa"/>
            <w:gridSpan w:val="4"/>
            <w:vAlign w:val="center"/>
          </w:tcPr>
          <w:p w14:paraId="5D8C6A8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p>
          <w:p w14:paraId="1F8E3BE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用于统一协调全市政法各单位开展工作，维护全市社会稳定大局。</w:t>
            </w:r>
          </w:p>
          <w:p w14:paraId="16B6CA3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p>
        </w:tc>
        <w:tc>
          <w:tcPr>
            <w:tcW w:w="4253" w:type="dxa"/>
            <w:gridSpan w:val="4"/>
            <w:vAlign w:val="center"/>
          </w:tcPr>
          <w:p w14:paraId="6525838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b w:val="0"/>
                <w:bCs w:val="0"/>
                <w:kern w:val="0"/>
                <w:sz w:val="20"/>
                <w:szCs w:val="20"/>
                <w:lang w:val="en-US" w:eastAsia="zh-CN" w:bidi="ar-SA"/>
              </w:rPr>
              <w:t>2023年，在市委坚强领导下，在省委政法委关心指导下，全市政法机关坚持以习近平新时代中国特色社会主义思想为指导，深入学习贯彻党的二十大精神，认真学习贯彻习近平法治思想，锚定“强基础、增质效、创一流”目标，全力以赴防风险、保平安、护稳定、促发展，全市现行治安受理数和刑事立案数有所下降，诉前调解数大幅上升，综治民调、法治化营商环境民调、诉源治理、铁路护路等工作居全省第一，平安建设获评全省“先进”。</w:t>
            </w:r>
          </w:p>
        </w:tc>
      </w:tr>
      <w:tr w14:paraId="34CF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14:paraId="16B3714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B9CE99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365ABE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63E977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14:paraId="77B316C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14:paraId="0688F66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14:paraId="3AE60B6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14:paraId="3175248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33E47BB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14:paraId="1CB932C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440204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14:paraId="42CEF5A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14:paraId="21A9571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14:paraId="5982130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FE35C8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7B5C50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A29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E5BB67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164D0E6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16B82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vMerge w:val="restart"/>
            <w:vAlign w:val="center"/>
          </w:tcPr>
          <w:p w14:paraId="1B9AF0F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14:paraId="0D54D66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组织交流研讨会</w:t>
            </w:r>
          </w:p>
        </w:tc>
        <w:tc>
          <w:tcPr>
            <w:tcW w:w="1209" w:type="dxa"/>
            <w:vAlign w:val="center"/>
          </w:tcPr>
          <w:p w14:paraId="1CEA2DD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150次</w:t>
            </w:r>
          </w:p>
        </w:tc>
        <w:tc>
          <w:tcPr>
            <w:tcW w:w="1134" w:type="dxa"/>
            <w:vAlign w:val="center"/>
          </w:tcPr>
          <w:p w14:paraId="01D94B7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150次</w:t>
            </w:r>
          </w:p>
        </w:tc>
        <w:tc>
          <w:tcPr>
            <w:tcW w:w="828" w:type="dxa"/>
            <w:vAlign w:val="center"/>
          </w:tcPr>
          <w:p w14:paraId="436A972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703C112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1D8BCB0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3F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840905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6A207D7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6B273F8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49" w:type="dxa"/>
            <w:vAlign w:val="center"/>
          </w:tcPr>
          <w:p w14:paraId="2B0B6DB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走找想促”调研实践次数</w:t>
            </w:r>
          </w:p>
        </w:tc>
        <w:tc>
          <w:tcPr>
            <w:tcW w:w="1209" w:type="dxa"/>
            <w:vAlign w:val="center"/>
          </w:tcPr>
          <w:p w14:paraId="28CFAC4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617次</w:t>
            </w:r>
          </w:p>
        </w:tc>
        <w:tc>
          <w:tcPr>
            <w:tcW w:w="1134" w:type="dxa"/>
            <w:vAlign w:val="center"/>
          </w:tcPr>
          <w:p w14:paraId="1A2D252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617次</w:t>
            </w:r>
          </w:p>
        </w:tc>
        <w:tc>
          <w:tcPr>
            <w:tcW w:w="828" w:type="dxa"/>
            <w:vAlign w:val="center"/>
          </w:tcPr>
          <w:p w14:paraId="0AE862C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5589F02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28F34D8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A8C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5E85FA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5A6EA43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2F5467A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14:paraId="4EDF3E4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平安建设获评等级</w:t>
            </w:r>
          </w:p>
        </w:tc>
        <w:tc>
          <w:tcPr>
            <w:tcW w:w="1209" w:type="dxa"/>
            <w:vAlign w:val="center"/>
          </w:tcPr>
          <w:p w14:paraId="093A45C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全省先进</w:t>
            </w:r>
          </w:p>
        </w:tc>
        <w:tc>
          <w:tcPr>
            <w:tcW w:w="1134" w:type="dxa"/>
            <w:vAlign w:val="center"/>
          </w:tcPr>
          <w:p w14:paraId="63D523B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全省先进</w:t>
            </w:r>
          </w:p>
        </w:tc>
        <w:tc>
          <w:tcPr>
            <w:tcW w:w="828" w:type="dxa"/>
            <w:vAlign w:val="center"/>
          </w:tcPr>
          <w:p w14:paraId="3CBC1FA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vAlign w:val="center"/>
          </w:tcPr>
          <w:p w14:paraId="6BBC6B3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vAlign w:val="center"/>
          </w:tcPr>
          <w:p w14:paraId="0448CE8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979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6BEC29D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7952808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6EA7954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49" w:type="dxa"/>
            <w:vAlign w:val="center"/>
          </w:tcPr>
          <w:p w14:paraId="18D5C67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铁路护路工作获评等级</w:t>
            </w:r>
          </w:p>
        </w:tc>
        <w:tc>
          <w:tcPr>
            <w:tcW w:w="1209" w:type="dxa"/>
            <w:vAlign w:val="center"/>
          </w:tcPr>
          <w:p w14:paraId="13BC9B7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全省第一</w:t>
            </w:r>
          </w:p>
        </w:tc>
        <w:tc>
          <w:tcPr>
            <w:tcW w:w="1134" w:type="dxa"/>
            <w:vAlign w:val="center"/>
          </w:tcPr>
          <w:p w14:paraId="2D1F727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全省第一</w:t>
            </w:r>
          </w:p>
        </w:tc>
        <w:tc>
          <w:tcPr>
            <w:tcW w:w="828" w:type="dxa"/>
            <w:vAlign w:val="center"/>
          </w:tcPr>
          <w:p w14:paraId="7AEC693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vAlign w:val="center"/>
          </w:tcPr>
          <w:p w14:paraId="5CA10B7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vAlign w:val="center"/>
          </w:tcPr>
          <w:p w14:paraId="7C93D29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E95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DBF57C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301907E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5EC60F7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14:paraId="1042BE4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完成及时率</w:t>
            </w:r>
          </w:p>
        </w:tc>
        <w:tc>
          <w:tcPr>
            <w:tcW w:w="1209" w:type="dxa"/>
            <w:vAlign w:val="center"/>
          </w:tcPr>
          <w:p w14:paraId="71ED09C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2023年12月之前完成</w:t>
            </w:r>
          </w:p>
        </w:tc>
        <w:tc>
          <w:tcPr>
            <w:tcW w:w="1134" w:type="dxa"/>
            <w:vAlign w:val="center"/>
          </w:tcPr>
          <w:p w14:paraId="39829DC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2023年12月之前完成</w:t>
            </w:r>
          </w:p>
        </w:tc>
        <w:tc>
          <w:tcPr>
            <w:tcW w:w="828" w:type="dxa"/>
            <w:vAlign w:val="center"/>
          </w:tcPr>
          <w:p w14:paraId="6C07589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600A026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48F9CB2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6CB3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6120B0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6454245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183D2C6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vAlign w:val="center"/>
          </w:tcPr>
          <w:p w14:paraId="69C2BED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成本控制</w:t>
            </w:r>
          </w:p>
        </w:tc>
        <w:tc>
          <w:tcPr>
            <w:tcW w:w="1209" w:type="dxa"/>
            <w:vAlign w:val="center"/>
          </w:tcPr>
          <w:p w14:paraId="769B7CF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≦10万　</w:t>
            </w:r>
          </w:p>
        </w:tc>
        <w:tc>
          <w:tcPr>
            <w:tcW w:w="1134" w:type="dxa"/>
            <w:vAlign w:val="center"/>
          </w:tcPr>
          <w:p w14:paraId="6C0A64E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　≦10万　</w:t>
            </w:r>
          </w:p>
        </w:tc>
        <w:tc>
          <w:tcPr>
            <w:tcW w:w="828" w:type="dxa"/>
            <w:vAlign w:val="center"/>
          </w:tcPr>
          <w:p w14:paraId="464F05F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4F77C3B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4B2C5BC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55BB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1162DF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2C05615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24ABBB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vAlign w:val="center"/>
          </w:tcPr>
          <w:p w14:paraId="67E464D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6AE868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25360A2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加强经济领域政法服务和保障怀化国际陆港建设</w:t>
            </w:r>
          </w:p>
        </w:tc>
        <w:tc>
          <w:tcPr>
            <w:tcW w:w="1209" w:type="dxa"/>
            <w:vAlign w:val="center"/>
          </w:tcPr>
          <w:p w14:paraId="57A01C8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1134" w:type="dxa"/>
            <w:vAlign w:val="center"/>
          </w:tcPr>
          <w:p w14:paraId="52A05FA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828" w:type="dxa"/>
            <w:vAlign w:val="center"/>
          </w:tcPr>
          <w:p w14:paraId="10ADC59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62785AD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2E2E5F3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3905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6126EFE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794BBE6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39E0577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0982E7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5F87CC7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政治社会安全稳定</w:t>
            </w:r>
          </w:p>
        </w:tc>
        <w:tc>
          <w:tcPr>
            <w:tcW w:w="1209" w:type="dxa"/>
            <w:vAlign w:val="center"/>
          </w:tcPr>
          <w:p w14:paraId="1273A9F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vAlign w:val="center"/>
          </w:tcPr>
          <w:p w14:paraId="3F1D383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vAlign w:val="center"/>
          </w:tcPr>
          <w:p w14:paraId="3174726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3046965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671DB28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p>
        </w:tc>
      </w:tr>
      <w:tr w14:paraId="015D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67A818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2600E6B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1F9790A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3ED964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648EAC3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44BD8FB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29737DD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4A4FEC3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14FA7D9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40A1003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1DAE1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E691AE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vMerge w:val="continue"/>
            <w:vAlign w:val="center"/>
          </w:tcPr>
          <w:p w14:paraId="2D5A97C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1C34142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14:paraId="7884739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社会环境不断向</w:t>
            </w:r>
          </w:p>
          <w:p w14:paraId="0F6ABC5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好，社会经济更高</w:t>
            </w:r>
          </w:p>
          <w:p w14:paraId="2354722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质重发展</w:t>
            </w:r>
          </w:p>
        </w:tc>
        <w:tc>
          <w:tcPr>
            <w:tcW w:w="1209" w:type="dxa"/>
            <w:vAlign w:val="center"/>
          </w:tcPr>
          <w:p w14:paraId="2E9CAEB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vAlign w:val="center"/>
          </w:tcPr>
          <w:p w14:paraId="56E08E9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vAlign w:val="center"/>
          </w:tcPr>
          <w:p w14:paraId="1D74D00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57A2007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0368EB8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2BB6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76518B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2234EC4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03F628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BFE821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vMerge w:val="restart"/>
            <w:vAlign w:val="center"/>
          </w:tcPr>
          <w:p w14:paraId="4AAD548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14:paraId="53ED899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企业满意度测评</w:t>
            </w:r>
          </w:p>
        </w:tc>
        <w:tc>
          <w:tcPr>
            <w:tcW w:w="1209" w:type="dxa"/>
            <w:vAlign w:val="center"/>
          </w:tcPr>
          <w:p w14:paraId="4D3EDE8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全省第一</w:t>
            </w:r>
          </w:p>
        </w:tc>
        <w:tc>
          <w:tcPr>
            <w:tcW w:w="1134" w:type="dxa"/>
            <w:vAlign w:val="center"/>
          </w:tcPr>
          <w:p w14:paraId="04AC562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全省第一</w:t>
            </w:r>
          </w:p>
        </w:tc>
        <w:tc>
          <w:tcPr>
            <w:tcW w:w="828" w:type="dxa"/>
            <w:vAlign w:val="center"/>
          </w:tcPr>
          <w:p w14:paraId="4452C15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vAlign w:val="center"/>
          </w:tcPr>
          <w:p w14:paraId="784FBA1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vAlign w:val="center"/>
          </w:tcPr>
          <w:p w14:paraId="200107D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p>
        </w:tc>
      </w:tr>
      <w:tr w14:paraId="477C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7CA79A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659C913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651ABF8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149" w:type="dxa"/>
            <w:vAlign w:val="center"/>
          </w:tcPr>
          <w:p w14:paraId="01C4CA6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群众安全感提升</w:t>
            </w:r>
          </w:p>
        </w:tc>
        <w:tc>
          <w:tcPr>
            <w:tcW w:w="1209" w:type="dxa"/>
            <w:vAlign w:val="center"/>
          </w:tcPr>
          <w:p w14:paraId="67A43FF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vAlign w:val="center"/>
          </w:tcPr>
          <w:p w14:paraId="645CC93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vAlign w:val="center"/>
          </w:tcPr>
          <w:p w14:paraId="5FF2A1B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vAlign w:val="center"/>
          </w:tcPr>
          <w:p w14:paraId="6DD399C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vAlign w:val="center"/>
          </w:tcPr>
          <w:p w14:paraId="02DE6F1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p>
        </w:tc>
      </w:tr>
      <w:tr w14:paraId="3561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14:paraId="36FE612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14:paraId="20D4B7E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14:paraId="4B05959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vAlign w:val="center"/>
          </w:tcPr>
          <w:p w14:paraId="19AA857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bl>
    <w:p w14:paraId="075BAB52">
      <w:pPr>
        <w:widowControl w:val="0"/>
        <w:shd w:val="clear"/>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1284C3E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附件2-5</w:t>
      </w:r>
    </w:p>
    <w:p w14:paraId="7D5CBD82">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gridCol w:w="1149"/>
        <w:gridCol w:w="1362"/>
        <w:gridCol w:w="981"/>
        <w:gridCol w:w="828"/>
        <w:gridCol w:w="873"/>
        <w:gridCol w:w="1418"/>
      </w:tblGrid>
      <w:tr w14:paraId="4F33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080" w:type="dxa"/>
            <w:vAlign w:val="center"/>
          </w:tcPr>
          <w:p w14:paraId="593EB45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7E18B18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vAlign w:val="center"/>
          </w:tcPr>
          <w:p w14:paraId="451765B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平安怀化建设资金　</w:t>
            </w:r>
          </w:p>
        </w:tc>
      </w:tr>
      <w:tr w14:paraId="3C62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14:paraId="2DC6392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671" w:type="dxa"/>
            <w:gridSpan w:val="4"/>
            <w:vAlign w:val="center"/>
          </w:tcPr>
          <w:p w14:paraId="0AE21D9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81" w:type="dxa"/>
            <w:vAlign w:val="center"/>
          </w:tcPr>
          <w:p w14:paraId="3A99FE8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14:paraId="6221B03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中共怀化市委政法委员会</w:t>
            </w:r>
          </w:p>
        </w:tc>
      </w:tr>
      <w:tr w14:paraId="2A51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14:paraId="6F917BE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494FB6A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vAlign w:val="center"/>
          </w:tcPr>
          <w:p w14:paraId="70AF0A5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14:paraId="46C57D9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0DCBD8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362" w:type="dxa"/>
            <w:vAlign w:val="center"/>
          </w:tcPr>
          <w:p w14:paraId="72FDED4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7A00D6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981" w:type="dxa"/>
            <w:vAlign w:val="center"/>
          </w:tcPr>
          <w:p w14:paraId="0A3B072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5CA55C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14:paraId="37D3AB3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14:paraId="04BCA11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14:paraId="078D1B2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C58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C2939F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463209A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14:paraId="6FBD0E0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0.00</w:t>
            </w:r>
          </w:p>
        </w:tc>
        <w:tc>
          <w:tcPr>
            <w:tcW w:w="1362" w:type="dxa"/>
            <w:vAlign w:val="center"/>
          </w:tcPr>
          <w:p w14:paraId="649A50A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50.00</w:t>
            </w:r>
          </w:p>
        </w:tc>
        <w:tc>
          <w:tcPr>
            <w:tcW w:w="981" w:type="dxa"/>
            <w:vAlign w:val="center"/>
          </w:tcPr>
          <w:p w14:paraId="1E27EDB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50.00</w:t>
            </w:r>
          </w:p>
        </w:tc>
        <w:tc>
          <w:tcPr>
            <w:tcW w:w="828" w:type="dxa"/>
            <w:vAlign w:val="center"/>
          </w:tcPr>
          <w:p w14:paraId="7558FCE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vAlign w:val="center"/>
          </w:tcPr>
          <w:p w14:paraId="2F3A203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14:paraId="0CB56D9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 xml:space="preserve">  10</w:t>
            </w:r>
          </w:p>
        </w:tc>
      </w:tr>
      <w:tr w14:paraId="4482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D5F729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4C15834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14:paraId="3A8F061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0.00</w:t>
            </w:r>
          </w:p>
        </w:tc>
        <w:tc>
          <w:tcPr>
            <w:tcW w:w="1362" w:type="dxa"/>
            <w:vAlign w:val="center"/>
          </w:tcPr>
          <w:p w14:paraId="4DD96AB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50.00</w:t>
            </w:r>
          </w:p>
        </w:tc>
        <w:tc>
          <w:tcPr>
            <w:tcW w:w="981" w:type="dxa"/>
            <w:vAlign w:val="center"/>
          </w:tcPr>
          <w:p w14:paraId="58B6C97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50.00</w:t>
            </w:r>
          </w:p>
        </w:tc>
        <w:tc>
          <w:tcPr>
            <w:tcW w:w="828" w:type="dxa"/>
            <w:vAlign w:val="center"/>
          </w:tcPr>
          <w:p w14:paraId="4049037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29CE4F3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22BC13E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6D6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BF4B61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32DDB06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14:paraId="24A6325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62" w:type="dxa"/>
            <w:vAlign w:val="center"/>
          </w:tcPr>
          <w:p w14:paraId="7923A60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81" w:type="dxa"/>
            <w:vAlign w:val="center"/>
          </w:tcPr>
          <w:p w14:paraId="6403188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406DEF3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74E8CA8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4ABAAB1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75E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14:paraId="7F1D2AA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4A91871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14:paraId="3C1D756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62" w:type="dxa"/>
            <w:vAlign w:val="center"/>
          </w:tcPr>
          <w:p w14:paraId="233925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81" w:type="dxa"/>
            <w:vAlign w:val="center"/>
          </w:tcPr>
          <w:p w14:paraId="67F9024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02717CE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2354799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30848CB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098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14:paraId="634B665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671" w:type="dxa"/>
            <w:gridSpan w:val="4"/>
            <w:vAlign w:val="center"/>
          </w:tcPr>
          <w:p w14:paraId="3F6F9FF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100" w:type="dxa"/>
            <w:gridSpan w:val="4"/>
            <w:vAlign w:val="center"/>
          </w:tcPr>
          <w:p w14:paraId="3826A22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E9DF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80" w:type="dxa"/>
            <w:vMerge w:val="continue"/>
            <w:vAlign w:val="center"/>
          </w:tcPr>
          <w:p w14:paraId="34AFBE9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4671" w:type="dxa"/>
            <w:gridSpan w:val="4"/>
            <w:vAlign w:val="center"/>
          </w:tcPr>
          <w:p w14:paraId="3AA73CF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b w:val="0"/>
                <w:bCs w:val="0"/>
                <w:kern w:val="0"/>
                <w:sz w:val="20"/>
                <w:szCs w:val="20"/>
                <w:lang w:val="en-US" w:eastAsia="zh-CN" w:bidi="ar-SA"/>
              </w:rPr>
              <w:t>突出源头治理，积极化解矛盾纠纷，加强治安防控，加强基层基础，夯实平安建设根基，确保人民群众安居乐业，社会和谐稳定。　</w:t>
            </w:r>
            <w:r>
              <w:rPr>
                <w:rFonts w:hint="eastAsia" w:ascii="仿宋" w:hAnsi="仿宋" w:eastAsia="仿宋" w:cs="仿宋"/>
                <w:color w:val="000000"/>
                <w:kern w:val="0"/>
                <w:sz w:val="20"/>
                <w:szCs w:val="20"/>
              </w:rPr>
              <w:t>　</w:t>
            </w:r>
          </w:p>
        </w:tc>
        <w:tc>
          <w:tcPr>
            <w:tcW w:w="4100" w:type="dxa"/>
            <w:gridSpan w:val="4"/>
            <w:vAlign w:val="center"/>
          </w:tcPr>
          <w:p w14:paraId="63C642A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b w:val="0"/>
                <w:bCs w:val="0"/>
                <w:kern w:val="0"/>
                <w:sz w:val="20"/>
                <w:szCs w:val="20"/>
                <w:lang w:val="en-US" w:eastAsia="zh-CN" w:bidi="ar-SA"/>
              </w:rPr>
              <w:t>2023年，在市委坚强领导下，在省委政法委关心指导下，全市政法机关坚持以习近平新时代中国特色社会主义思想为指导，深入学习贯彻党的二十大精神，认真学习贯彻习近平法治思想，锚定“强基础、增质效、创一流”目标，全力以赴防风险、保平安、护稳定、促发展，全市现行治安受理数和刑事立案数有所下降，诉前调解数大幅上升，综治民调、法治化营商环境民调、诉源治理、铁路护路等工作居全省第一，平安建设获评全省“先进”。</w:t>
            </w:r>
          </w:p>
        </w:tc>
      </w:tr>
      <w:tr w14:paraId="4008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14:paraId="3819A88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7E892D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F6C23E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1062E8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14:paraId="21465E1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14:paraId="627D162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14:paraId="2E32EFF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362" w:type="dxa"/>
            <w:vAlign w:val="center"/>
          </w:tcPr>
          <w:p w14:paraId="09DD838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4EA8F7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981" w:type="dxa"/>
            <w:vAlign w:val="center"/>
          </w:tcPr>
          <w:p w14:paraId="2B1BB04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C3644B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14:paraId="13FEB07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14:paraId="78ED2E5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14:paraId="4AA36F1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3ED5CF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A92075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B6B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Merge w:val="continue"/>
            <w:vAlign w:val="center"/>
          </w:tcPr>
          <w:p w14:paraId="18D7FB8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7EF09E8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D4A556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vMerge w:val="restart"/>
            <w:vAlign w:val="center"/>
          </w:tcPr>
          <w:p w14:paraId="0D52A73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14:paraId="73BE852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组织交流研讨会</w:t>
            </w:r>
          </w:p>
        </w:tc>
        <w:tc>
          <w:tcPr>
            <w:tcW w:w="1362" w:type="dxa"/>
            <w:vAlign w:val="center"/>
          </w:tcPr>
          <w:p w14:paraId="2FD313B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150次</w:t>
            </w:r>
          </w:p>
        </w:tc>
        <w:tc>
          <w:tcPr>
            <w:tcW w:w="981" w:type="dxa"/>
            <w:vAlign w:val="center"/>
          </w:tcPr>
          <w:p w14:paraId="2E647CA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150次</w:t>
            </w:r>
          </w:p>
        </w:tc>
        <w:tc>
          <w:tcPr>
            <w:tcW w:w="828" w:type="dxa"/>
            <w:vAlign w:val="center"/>
          </w:tcPr>
          <w:p w14:paraId="6A7E473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60702ED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454C051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553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E896A1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119685F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7EF02C4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49" w:type="dxa"/>
            <w:vAlign w:val="center"/>
          </w:tcPr>
          <w:p w14:paraId="6F9F6E1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走找想促”调研实践次数</w:t>
            </w:r>
          </w:p>
        </w:tc>
        <w:tc>
          <w:tcPr>
            <w:tcW w:w="1362" w:type="dxa"/>
            <w:vAlign w:val="center"/>
          </w:tcPr>
          <w:p w14:paraId="4605E20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617次</w:t>
            </w:r>
          </w:p>
        </w:tc>
        <w:tc>
          <w:tcPr>
            <w:tcW w:w="981" w:type="dxa"/>
            <w:vAlign w:val="center"/>
          </w:tcPr>
          <w:p w14:paraId="033FCFF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617次</w:t>
            </w:r>
          </w:p>
        </w:tc>
        <w:tc>
          <w:tcPr>
            <w:tcW w:w="828" w:type="dxa"/>
            <w:vAlign w:val="center"/>
          </w:tcPr>
          <w:p w14:paraId="548830C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67E1839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092AB60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5E3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64EB5D2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063A651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481DEAB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14:paraId="7BC6B49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平安建设获评等级</w:t>
            </w:r>
          </w:p>
        </w:tc>
        <w:tc>
          <w:tcPr>
            <w:tcW w:w="1362" w:type="dxa"/>
            <w:vAlign w:val="center"/>
          </w:tcPr>
          <w:p w14:paraId="12CE1A1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全省先进</w:t>
            </w:r>
          </w:p>
        </w:tc>
        <w:tc>
          <w:tcPr>
            <w:tcW w:w="981" w:type="dxa"/>
            <w:vAlign w:val="center"/>
          </w:tcPr>
          <w:p w14:paraId="14C4A08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全省先进</w:t>
            </w:r>
          </w:p>
        </w:tc>
        <w:tc>
          <w:tcPr>
            <w:tcW w:w="828" w:type="dxa"/>
            <w:vAlign w:val="center"/>
          </w:tcPr>
          <w:p w14:paraId="2D519F6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7B09C47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4C91C3C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52C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080" w:type="dxa"/>
            <w:vMerge w:val="continue"/>
            <w:vAlign w:val="center"/>
          </w:tcPr>
          <w:p w14:paraId="6AF080C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362EC80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2122E6B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14:paraId="0C9816B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完成及时率</w:t>
            </w:r>
          </w:p>
        </w:tc>
        <w:tc>
          <w:tcPr>
            <w:tcW w:w="1362" w:type="dxa"/>
            <w:vAlign w:val="center"/>
          </w:tcPr>
          <w:p w14:paraId="71E21BE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981" w:type="dxa"/>
            <w:vAlign w:val="center"/>
          </w:tcPr>
          <w:p w14:paraId="511E1E9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2023年12月之前完成</w:t>
            </w:r>
          </w:p>
        </w:tc>
        <w:tc>
          <w:tcPr>
            <w:tcW w:w="828" w:type="dxa"/>
            <w:vAlign w:val="center"/>
          </w:tcPr>
          <w:p w14:paraId="42639F8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6F842E1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3FB826D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A88F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33B1D8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7F385F7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227AB57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vAlign w:val="center"/>
          </w:tcPr>
          <w:p w14:paraId="122A946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成本控制</w:t>
            </w:r>
          </w:p>
        </w:tc>
        <w:tc>
          <w:tcPr>
            <w:tcW w:w="1362" w:type="dxa"/>
            <w:vAlign w:val="center"/>
          </w:tcPr>
          <w:p w14:paraId="54D9D1C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≦50万　</w:t>
            </w:r>
          </w:p>
        </w:tc>
        <w:tc>
          <w:tcPr>
            <w:tcW w:w="981" w:type="dxa"/>
            <w:vAlign w:val="center"/>
          </w:tcPr>
          <w:p w14:paraId="550A84C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　≦50万　</w:t>
            </w:r>
          </w:p>
        </w:tc>
        <w:tc>
          <w:tcPr>
            <w:tcW w:w="828" w:type="dxa"/>
            <w:vAlign w:val="center"/>
          </w:tcPr>
          <w:p w14:paraId="546B13C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01822A1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2726886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F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80" w:type="dxa"/>
            <w:vMerge w:val="continue"/>
            <w:vAlign w:val="center"/>
          </w:tcPr>
          <w:p w14:paraId="1899060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59ED61B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4D4459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vAlign w:val="center"/>
          </w:tcPr>
          <w:p w14:paraId="7D3263B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213129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3C91374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362" w:type="dxa"/>
            <w:vAlign w:val="center"/>
          </w:tcPr>
          <w:p w14:paraId="56DE8ED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81" w:type="dxa"/>
            <w:vAlign w:val="center"/>
          </w:tcPr>
          <w:p w14:paraId="2F00BAA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66CAA26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780C6FF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59AFC3F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998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505FE3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5974B03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2DFDCBB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9CBA7B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6DFD335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有力构筑齐抓共管，齐头并进的大平安格局</w:t>
            </w:r>
          </w:p>
        </w:tc>
        <w:tc>
          <w:tcPr>
            <w:tcW w:w="1362" w:type="dxa"/>
            <w:vAlign w:val="center"/>
          </w:tcPr>
          <w:p w14:paraId="07BEA1D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981" w:type="dxa"/>
            <w:vAlign w:val="center"/>
          </w:tcPr>
          <w:p w14:paraId="3AE48C0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828" w:type="dxa"/>
            <w:vAlign w:val="center"/>
          </w:tcPr>
          <w:p w14:paraId="7113089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30</w:t>
            </w:r>
          </w:p>
        </w:tc>
        <w:tc>
          <w:tcPr>
            <w:tcW w:w="873" w:type="dxa"/>
            <w:vAlign w:val="center"/>
          </w:tcPr>
          <w:p w14:paraId="6352F72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30</w:t>
            </w:r>
          </w:p>
        </w:tc>
        <w:tc>
          <w:tcPr>
            <w:tcW w:w="1418" w:type="dxa"/>
            <w:vAlign w:val="center"/>
          </w:tcPr>
          <w:p w14:paraId="6CDF13D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222F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9A634E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3A7C198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293AF47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49" w:type="dxa"/>
            <w:vAlign w:val="center"/>
          </w:tcPr>
          <w:p w14:paraId="6E4A204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362" w:type="dxa"/>
            <w:vAlign w:val="center"/>
          </w:tcPr>
          <w:p w14:paraId="70636CC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981" w:type="dxa"/>
            <w:vAlign w:val="center"/>
          </w:tcPr>
          <w:p w14:paraId="08FE64A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5BB50C8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2AA3D3C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199D67F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201C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EBE9E0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3156A94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26D60D2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33E169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2D1B775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362" w:type="dxa"/>
            <w:vAlign w:val="center"/>
          </w:tcPr>
          <w:p w14:paraId="28A6773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981" w:type="dxa"/>
            <w:vAlign w:val="center"/>
          </w:tcPr>
          <w:p w14:paraId="3235147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36E959A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0B5408D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663FB0B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3220C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29C990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vMerge w:val="continue"/>
            <w:vAlign w:val="center"/>
          </w:tcPr>
          <w:p w14:paraId="629F7A0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3478022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14:paraId="54B8CA6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362" w:type="dxa"/>
            <w:vAlign w:val="center"/>
          </w:tcPr>
          <w:p w14:paraId="1E50DEC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981" w:type="dxa"/>
            <w:vAlign w:val="center"/>
          </w:tcPr>
          <w:p w14:paraId="32D4A00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791EE82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0919DF7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78FED6B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6CB97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36DEC4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5A5F735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25986C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7108CC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vAlign w:val="center"/>
          </w:tcPr>
          <w:p w14:paraId="51319B1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14:paraId="01235B4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群众安全感提升</w:t>
            </w:r>
          </w:p>
        </w:tc>
        <w:tc>
          <w:tcPr>
            <w:tcW w:w="1362" w:type="dxa"/>
            <w:vAlign w:val="center"/>
          </w:tcPr>
          <w:p w14:paraId="0B6080A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981" w:type="dxa"/>
            <w:vAlign w:val="center"/>
          </w:tcPr>
          <w:p w14:paraId="53FB18A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vAlign w:val="center"/>
          </w:tcPr>
          <w:p w14:paraId="734CADB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0E15AA4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30FD8F9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41C9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14:paraId="3740FC3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14:paraId="177BB3D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14:paraId="1656B8F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14:paraId="2A49525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FDAD728">
      <w:pPr>
        <w:widowControl w:val="0"/>
        <w:shd w:val="clear"/>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7367D2D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14:paraId="52289BC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附件2-6</w:t>
      </w:r>
    </w:p>
    <w:p w14:paraId="381D4060">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918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Align w:val="center"/>
          </w:tcPr>
          <w:p w14:paraId="161787B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22A6768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vAlign w:val="center"/>
          </w:tcPr>
          <w:p w14:paraId="648D982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涉法涉诉信访案件评查经费　</w:t>
            </w:r>
          </w:p>
        </w:tc>
      </w:tr>
      <w:tr w14:paraId="06C9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14:paraId="00E0E7A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14:paraId="30891F0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2B3A29A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14:paraId="66A2685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中共怀化市委政法委员会</w:t>
            </w:r>
          </w:p>
        </w:tc>
      </w:tr>
      <w:tr w14:paraId="1BCF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14:paraId="6314ED9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216B1E6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vAlign w:val="center"/>
          </w:tcPr>
          <w:p w14:paraId="72B6A9B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14:paraId="1F3E28C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4DBFD0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14:paraId="2C94507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C8ED9B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14:paraId="39332C9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5198F9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14:paraId="40C6DE4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14:paraId="21BA0D0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14:paraId="6599E6F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77D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DD573A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79F0C8C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14:paraId="533A11B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0.00</w:t>
            </w:r>
          </w:p>
        </w:tc>
        <w:tc>
          <w:tcPr>
            <w:tcW w:w="1209" w:type="dxa"/>
            <w:vAlign w:val="center"/>
          </w:tcPr>
          <w:p w14:paraId="0F60946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40.00</w:t>
            </w:r>
          </w:p>
        </w:tc>
        <w:tc>
          <w:tcPr>
            <w:tcW w:w="1134" w:type="dxa"/>
            <w:vAlign w:val="center"/>
          </w:tcPr>
          <w:p w14:paraId="175D0CF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40.00</w:t>
            </w:r>
          </w:p>
        </w:tc>
        <w:tc>
          <w:tcPr>
            <w:tcW w:w="828" w:type="dxa"/>
            <w:vAlign w:val="center"/>
          </w:tcPr>
          <w:p w14:paraId="7EE1A48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vAlign w:val="center"/>
          </w:tcPr>
          <w:p w14:paraId="7B87A3D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14:paraId="33F2932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 xml:space="preserve">  10</w:t>
            </w:r>
          </w:p>
        </w:tc>
      </w:tr>
      <w:tr w14:paraId="5BFA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3D2A9B9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10F4AAB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14:paraId="0E02589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0.00</w:t>
            </w:r>
          </w:p>
        </w:tc>
        <w:tc>
          <w:tcPr>
            <w:tcW w:w="1209" w:type="dxa"/>
            <w:vAlign w:val="center"/>
          </w:tcPr>
          <w:p w14:paraId="396DE52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40.00</w:t>
            </w:r>
          </w:p>
        </w:tc>
        <w:tc>
          <w:tcPr>
            <w:tcW w:w="1134" w:type="dxa"/>
            <w:vAlign w:val="center"/>
          </w:tcPr>
          <w:p w14:paraId="7111DDF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40.00</w:t>
            </w:r>
          </w:p>
        </w:tc>
        <w:tc>
          <w:tcPr>
            <w:tcW w:w="828" w:type="dxa"/>
            <w:vAlign w:val="center"/>
          </w:tcPr>
          <w:p w14:paraId="1F27ED9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5D60212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5ACC0A5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80F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529864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0455C7B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14:paraId="3B9088C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3E18D9C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616258C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44A090C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31DB528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12D8DA7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44B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14:paraId="1F508B7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46BF1E6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14:paraId="208809F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12AA4DA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286AF5C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2738ED6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1AE1805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02EFD61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B0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14:paraId="66A5373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14:paraId="357876A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vAlign w:val="center"/>
          </w:tcPr>
          <w:p w14:paraId="516B679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90D7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14:paraId="7E3D050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4518" w:type="dxa"/>
            <w:gridSpan w:val="4"/>
            <w:vAlign w:val="center"/>
          </w:tcPr>
          <w:p w14:paraId="264B8AF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开展执法监督，组织涉法涉诉信访案件评查，促进司法公正，维护社会公平正义。</w:t>
            </w:r>
          </w:p>
        </w:tc>
        <w:tc>
          <w:tcPr>
            <w:tcW w:w="4253" w:type="dxa"/>
            <w:gridSpan w:val="4"/>
            <w:vAlign w:val="center"/>
          </w:tcPr>
          <w:p w14:paraId="6704CA3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开展执法监督，组织涉法涉诉信访案件评查，促进司法公正，维护社会公平正义。</w:t>
            </w:r>
          </w:p>
        </w:tc>
      </w:tr>
      <w:tr w14:paraId="65E3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14:paraId="01D420C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BDE72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2C4864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9F766C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14:paraId="3037F4E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14:paraId="7B868B4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14:paraId="37F51B1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14:paraId="7AF8FB5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B7BBBB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14:paraId="7157893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2447A9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14:paraId="0B4E173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14:paraId="64D829A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14:paraId="64FB070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3D47459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492698A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F02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38E73AD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30FCE1D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DE0DC7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vMerge w:val="restart"/>
            <w:vAlign w:val="center"/>
          </w:tcPr>
          <w:p w14:paraId="4A3F17F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14:paraId="1610C34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组织交流研讨会</w:t>
            </w:r>
          </w:p>
        </w:tc>
        <w:tc>
          <w:tcPr>
            <w:tcW w:w="1209" w:type="dxa"/>
            <w:vAlign w:val="center"/>
          </w:tcPr>
          <w:p w14:paraId="665A04E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150次</w:t>
            </w:r>
          </w:p>
        </w:tc>
        <w:tc>
          <w:tcPr>
            <w:tcW w:w="1134" w:type="dxa"/>
            <w:vAlign w:val="center"/>
          </w:tcPr>
          <w:p w14:paraId="33B11CA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150次</w:t>
            </w:r>
          </w:p>
        </w:tc>
        <w:tc>
          <w:tcPr>
            <w:tcW w:w="828" w:type="dxa"/>
            <w:vAlign w:val="center"/>
          </w:tcPr>
          <w:p w14:paraId="4F96F02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6BDD0C4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5E9C425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6B6E2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1A4902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3B18124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7DB8CB1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49" w:type="dxa"/>
            <w:vAlign w:val="center"/>
          </w:tcPr>
          <w:p w14:paraId="2E6BA2A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走找想促”调研实践次数</w:t>
            </w:r>
          </w:p>
        </w:tc>
        <w:tc>
          <w:tcPr>
            <w:tcW w:w="1209" w:type="dxa"/>
            <w:vAlign w:val="center"/>
          </w:tcPr>
          <w:p w14:paraId="42FD225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617次</w:t>
            </w:r>
          </w:p>
        </w:tc>
        <w:tc>
          <w:tcPr>
            <w:tcW w:w="1134" w:type="dxa"/>
            <w:vAlign w:val="center"/>
          </w:tcPr>
          <w:p w14:paraId="4D2F328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617次</w:t>
            </w:r>
          </w:p>
        </w:tc>
        <w:tc>
          <w:tcPr>
            <w:tcW w:w="828" w:type="dxa"/>
            <w:vAlign w:val="center"/>
          </w:tcPr>
          <w:p w14:paraId="28C4AE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63850E6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0F8337C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0D8B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2A78F1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013A441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5350471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14:paraId="5E4B76F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平安建设获评等级</w:t>
            </w:r>
          </w:p>
        </w:tc>
        <w:tc>
          <w:tcPr>
            <w:tcW w:w="1209" w:type="dxa"/>
            <w:vAlign w:val="center"/>
          </w:tcPr>
          <w:p w14:paraId="5C13548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全省先进</w:t>
            </w:r>
          </w:p>
        </w:tc>
        <w:tc>
          <w:tcPr>
            <w:tcW w:w="1134" w:type="dxa"/>
            <w:vAlign w:val="center"/>
          </w:tcPr>
          <w:p w14:paraId="0D7A889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全省先进</w:t>
            </w:r>
          </w:p>
        </w:tc>
        <w:tc>
          <w:tcPr>
            <w:tcW w:w="828" w:type="dxa"/>
            <w:vAlign w:val="center"/>
          </w:tcPr>
          <w:p w14:paraId="02EC027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249B31D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2D67CD6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2460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EBC454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3716DB6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3DDE4A3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14:paraId="1D88711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完成及时率</w:t>
            </w:r>
          </w:p>
        </w:tc>
        <w:tc>
          <w:tcPr>
            <w:tcW w:w="1209" w:type="dxa"/>
            <w:vAlign w:val="center"/>
          </w:tcPr>
          <w:p w14:paraId="2F2F37C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1134" w:type="dxa"/>
            <w:vAlign w:val="center"/>
          </w:tcPr>
          <w:p w14:paraId="0A3EA51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828" w:type="dxa"/>
            <w:vAlign w:val="center"/>
          </w:tcPr>
          <w:p w14:paraId="1DF30A0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36BA7B0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4272B97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35EA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BF383C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3ED58A4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3801365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vAlign w:val="center"/>
          </w:tcPr>
          <w:p w14:paraId="04BB16C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成本控制</w:t>
            </w:r>
          </w:p>
        </w:tc>
        <w:tc>
          <w:tcPr>
            <w:tcW w:w="1209" w:type="dxa"/>
            <w:vAlign w:val="center"/>
          </w:tcPr>
          <w:p w14:paraId="1866454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≦40万</w:t>
            </w:r>
          </w:p>
        </w:tc>
        <w:tc>
          <w:tcPr>
            <w:tcW w:w="1134" w:type="dxa"/>
            <w:vAlign w:val="center"/>
          </w:tcPr>
          <w:p w14:paraId="711DE74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≦40万</w:t>
            </w:r>
          </w:p>
        </w:tc>
        <w:tc>
          <w:tcPr>
            <w:tcW w:w="828" w:type="dxa"/>
            <w:vAlign w:val="center"/>
          </w:tcPr>
          <w:p w14:paraId="1447FF1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230004F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6F73CD4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5749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6E5A73A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7E280CB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0F83C0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vAlign w:val="center"/>
          </w:tcPr>
          <w:p w14:paraId="4731C76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FE475C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4ADBD8B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4A38180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773615A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11ECE61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6813382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3DBFFDE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4639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080" w:type="dxa"/>
            <w:vMerge w:val="continue"/>
            <w:vAlign w:val="center"/>
          </w:tcPr>
          <w:p w14:paraId="4A33A0C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6413EF3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5AA9A58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65F2BF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3E4577B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促进司法公正，维护社会公平正义</w:t>
            </w:r>
          </w:p>
        </w:tc>
        <w:tc>
          <w:tcPr>
            <w:tcW w:w="1209" w:type="dxa"/>
            <w:vAlign w:val="center"/>
          </w:tcPr>
          <w:p w14:paraId="320982D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1134" w:type="dxa"/>
            <w:vAlign w:val="center"/>
          </w:tcPr>
          <w:p w14:paraId="7DC78F1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828" w:type="dxa"/>
            <w:vAlign w:val="center"/>
          </w:tcPr>
          <w:p w14:paraId="7BA7B13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30</w:t>
            </w:r>
          </w:p>
        </w:tc>
        <w:tc>
          <w:tcPr>
            <w:tcW w:w="873" w:type="dxa"/>
            <w:vAlign w:val="center"/>
          </w:tcPr>
          <w:p w14:paraId="35629E6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30</w:t>
            </w:r>
          </w:p>
        </w:tc>
        <w:tc>
          <w:tcPr>
            <w:tcW w:w="1418" w:type="dxa"/>
            <w:vAlign w:val="center"/>
          </w:tcPr>
          <w:p w14:paraId="236F4CE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2E96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939056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3E730D9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30FFD58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E7FD69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5CC25E2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无</w:t>
            </w:r>
          </w:p>
        </w:tc>
        <w:tc>
          <w:tcPr>
            <w:tcW w:w="1209" w:type="dxa"/>
            <w:vAlign w:val="center"/>
          </w:tcPr>
          <w:p w14:paraId="5C03664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40B8E22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74AE32E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493676B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16E4EDB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75BB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FC1C51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vMerge w:val="continue"/>
            <w:vAlign w:val="center"/>
          </w:tcPr>
          <w:p w14:paraId="2BDA1A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71B1F2C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14:paraId="3D6FC7F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无</w:t>
            </w:r>
          </w:p>
        </w:tc>
        <w:tc>
          <w:tcPr>
            <w:tcW w:w="1209" w:type="dxa"/>
            <w:vAlign w:val="center"/>
          </w:tcPr>
          <w:p w14:paraId="3FE168A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6B47EC3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0157C9F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5F58212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65B8E30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6A7A4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B98093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12B6412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F2EBB8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F3B4F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vAlign w:val="center"/>
          </w:tcPr>
          <w:p w14:paraId="7E14671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14:paraId="1CCE75A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社会公众满意度</w:t>
            </w:r>
          </w:p>
        </w:tc>
        <w:tc>
          <w:tcPr>
            <w:tcW w:w="1209" w:type="dxa"/>
            <w:vAlign w:val="center"/>
          </w:tcPr>
          <w:p w14:paraId="6733947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r>
              <w:rPr>
                <w:rFonts w:hint="eastAsia" w:ascii="仿宋" w:hAnsi="仿宋" w:eastAsia="仿宋" w:cs="仿宋"/>
                <w:color w:val="000000"/>
                <w:kern w:val="0"/>
                <w:sz w:val="20"/>
                <w:szCs w:val="20"/>
              </w:rPr>
              <w:t>%</w:t>
            </w:r>
          </w:p>
        </w:tc>
        <w:tc>
          <w:tcPr>
            <w:tcW w:w="1134" w:type="dxa"/>
            <w:vAlign w:val="center"/>
          </w:tcPr>
          <w:p w14:paraId="5790E0C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97.117%</w:t>
            </w:r>
          </w:p>
        </w:tc>
        <w:tc>
          <w:tcPr>
            <w:tcW w:w="828" w:type="dxa"/>
            <w:vAlign w:val="center"/>
          </w:tcPr>
          <w:p w14:paraId="75C23F8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3A82EA6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1FC193B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736D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14:paraId="62F9C2C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14:paraId="7675010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14:paraId="23BD5F7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14:paraId="0E67460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F4A2017">
      <w:pPr>
        <w:widowControl w:val="0"/>
        <w:shd w:val="clear"/>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0A9B325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14:paraId="2BC1CE7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附件2-7</w:t>
      </w:r>
    </w:p>
    <w:p w14:paraId="74CB7FBD">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09A7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Align w:val="center"/>
          </w:tcPr>
          <w:p w14:paraId="283A2A3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59F2F7E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vAlign w:val="center"/>
          </w:tcPr>
          <w:p w14:paraId="56C849D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人才资源开发专项资金　</w:t>
            </w:r>
          </w:p>
        </w:tc>
      </w:tr>
      <w:tr w14:paraId="53F0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14:paraId="2ED306A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14:paraId="78A0230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78F2276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14:paraId="3B6C66D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中共怀化市委政法委员会</w:t>
            </w:r>
          </w:p>
        </w:tc>
      </w:tr>
      <w:tr w14:paraId="55771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14:paraId="4E4314D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2F28369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vAlign w:val="center"/>
          </w:tcPr>
          <w:p w14:paraId="4E5AB05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14:paraId="506C5AA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714B87A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14:paraId="2939868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64F2171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14:paraId="62179DA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4E7B6F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14:paraId="643489A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14:paraId="6D11709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14:paraId="487890C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77E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A3DAAC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04C9671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14:paraId="21553EC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0.00</w:t>
            </w:r>
          </w:p>
        </w:tc>
        <w:tc>
          <w:tcPr>
            <w:tcW w:w="1209" w:type="dxa"/>
            <w:vAlign w:val="center"/>
          </w:tcPr>
          <w:p w14:paraId="2C10399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3.20</w:t>
            </w:r>
          </w:p>
        </w:tc>
        <w:tc>
          <w:tcPr>
            <w:tcW w:w="1134" w:type="dxa"/>
            <w:vAlign w:val="center"/>
          </w:tcPr>
          <w:p w14:paraId="745AC1B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3.20</w:t>
            </w:r>
          </w:p>
        </w:tc>
        <w:tc>
          <w:tcPr>
            <w:tcW w:w="828" w:type="dxa"/>
            <w:vAlign w:val="center"/>
          </w:tcPr>
          <w:p w14:paraId="554069C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vAlign w:val="center"/>
          </w:tcPr>
          <w:p w14:paraId="378871B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14:paraId="2B12FF8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 xml:space="preserve">  10</w:t>
            </w:r>
          </w:p>
        </w:tc>
      </w:tr>
      <w:tr w14:paraId="270D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3CDD71C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4DC3D6A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14:paraId="0338D4B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0.00</w:t>
            </w:r>
          </w:p>
        </w:tc>
        <w:tc>
          <w:tcPr>
            <w:tcW w:w="1209" w:type="dxa"/>
            <w:vAlign w:val="center"/>
          </w:tcPr>
          <w:p w14:paraId="3F21F1C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3.20</w:t>
            </w:r>
          </w:p>
        </w:tc>
        <w:tc>
          <w:tcPr>
            <w:tcW w:w="1134" w:type="dxa"/>
            <w:vAlign w:val="center"/>
          </w:tcPr>
          <w:p w14:paraId="4450F31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3.20</w:t>
            </w:r>
          </w:p>
        </w:tc>
        <w:tc>
          <w:tcPr>
            <w:tcW w:w="828" w:type="dxa"/>
            <w:vAlign w:val="center"/>
          </w:tcPr>
          <w:p w14:paraId="5118B38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43472FF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0927A47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9290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A0A62C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3BC4C0A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14:paraId="5ACC1F6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4F1C391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4F4DA4E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7A9935C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4A4694A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1E424BF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319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14:paraId="5801C26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4F4616D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14:paraId="0EF8257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39FFA3F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78FB54E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5983E0F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2A97D68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660F15E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804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080" w:type="dxa"/>
            <w:vMerge w:val="restart"/>
            <w:vAlign w:val="center"/>
          </w:tcPr>
          <w:p w14:paraId="750CD6A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14:paraId="225D2AE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vAlign w:val="center"/>
          </w:tcPr>
          <w:p w14:paraId="0FD48FC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425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080" w:type="dxa"/>
            <w:vMerge w:val="continue"/>
            <w:vAlign w:val="center"/>
          </w:tcPr>
          <w:p w14:paraId="2FFF4B4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4518" w:type="dxa"/>
            <w:gridSpan w:val="4"/>
            <w:vAlign w:val="center"/>
          </w:tcPr>
          <w:p w14:paraId="3B290E9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支</w:t>
            </w:r>
            <w:r>
              <w:rPr>
                <w:rFonts w:hint="eastAsia" w:ascii="仿宋" w:hAnsi="仿宋" w:eastAsia="仿宋" w:cs="仿宋"/>
                <w:color w:val="000000"/>
                <w:kern w:val="0"/>
                <w:sz w:val="20"/>
                <w:szCs w:val="20"/>
                <w:lang w:eastAsia="zh-CN"/>
              </w:rPr>
              <w:t>付</w:t>
            </w:r>
            <w:r>
              <w:rPr>
                <w:rFonts w:hint="eastAsia" w:ascii="仿宋" w:hAnsi="仿宋" w:eastAsia="仿宋" w:cs="仿宋"/>
                <w:color w:val="000000"/>
                <w:kern w:val="0"/>
                <w:sz w:val="20"/>
                <w:szCs w:val="20"/>
                <w:lang w:val="en-US" w:eastAsia="zh-CN"/>
              </w:rPr>
              <w:t>1人</w:t>
            </w:r>
            <w:r>
              <w:rPr>
                <w:rFonts w:hint="eastAsia" w:ascii="仿宋" w:hAnsi="仿宋" w:eastAsia="仿宋" w:cs="仿宋"/>
                <w:color w:val="000000"/>
                <w:kern w:val="0"/>
                <w:sz w:val="20"/>
                <w:szCs w:val="20"/>
                <w:lang w:eastAsia="zh-CN"/>
              </w:rPr>
              <w:t>人才引进住房和生活补贴。</w:t>
            </w:r>
          </w:p>
        </w:tc>
        <w:tc>
          <w:tcPr>
            <w:tcW w:w="4253" w:type="dxa"/>
            <w:gridSpan w:val="4"/>
            <w:vAlign w:val="center"/>
          </w:tcPr>
          <w:p w14:paraId="14FA042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支</w:t>
            </w:r>
            <w:r>
              <w:rPr>
                <w:rFonts w:hint="eastAsia" w:ascii="仿宋" w:hAnsi="仿宋" w:eastAsia="仿宋" w:cs="仿宋"/>
                <w:color w:val="000000"/>
                <w:kern w:val="0"/>
                <w:sz w:val="20"/>
                <w:szCs w:val="20"/>
                <w:lang w:eastAsia="zh-CN"/>
              </w:rPr>
              <w:t>付</w:t>
            </w:r>
            <w:r>
              <w:rPr>
                <w:rFonts w:hint="eastAsia" w:ascii="仿宋" w:hAnsi="仿宋" w:eastAsia="仿宋" w:cs="仿宋"/>
                <w:color w:val="000000"/>
                <w:kern w:val="0"/>
                <w:sz w:val="20"/>
                <w:szCs w:val="20"/>
                <w:lang w:val="en-US" w:eastAsia="zh-CN"/>
              </w:rPr>
              <w:t>1人</w:t>
            </w:r>
            <w:r>
              <w:rPr>
                <w:rFonts w:hint="eastAsia" w:ascii="仿宋" w:hAnsi="仿宋" w:eastAsia="仿宋" w:cs="仿宋"/>
                <w:color w:val="000000"/>
                <w:kern w:val="0"/>
                <w:sz w:val="20"/>
                <w:szCs w:val="20"/>
                <w:lang w:eastAsia="zh-CN"/>
              </w:rPr>
              <w:t>人才引进住房和生活补贴。</w:t>
            </w:r>
          </w:p>
        </w:tc>
      </w:tr>
      <w:tr w14:paraId="259E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14:paraId="30D373F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7330C3F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B512A4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4750C5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14:paraId="738A199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14:paraId="3CAB633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14:paraId="0ECA9AF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14:paraId="5A6630C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0C5F84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14:paraId="61530F5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03C701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14:paraId="02C72AA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14:paraId="6738130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14:paraId="411C9FA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3F1562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F3D0DF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ADE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3015442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79D2E3C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4279DD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vAlign w:val="center"/>
          </w:tcPr>
          <w:p w14:paraId="5F55884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14:paraId="5ED6FF5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人才引进人数</w:t>
            </w:r>
          </w:p>
        </w:tc>
        <w:tc>
          <w:tcPr>
            <w:tcW w:w="1209" w:type="dxa"/>
            <w:vAlign w:val="center"/>
          </w:tcPr>
          <w:p w14:paraId="4408D62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1人</w:t>
            </w:r>
          </w:p>
        </w:tc>
        <w:tc>
          <w:tcPr>
            <w:tcW w:w="1134" w:type="dxa"/>
            <w:vAlign w:val="center"/>
          </w:tcPr>
          <w:p w14:paraId="6BF5D85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1人</w:t>
            </w:r>
          </w:p>
        </w:tc>
        <w:tc>
          <w:tcPr>
            <w:tcW w:w="828" w:type="dxa"/>
            <w:vAlign w:val="center"/>
          </w:tcPr>
          <w:p w14:paraId="0D7F322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vAlign w:val="center"/>
          </w:tcPr>
          <w:p w14:paraId="0778818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vAlign w:val="center"/>
          </w:tcPr>
          <w:p w14:paraId="0C04F7B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4A68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E96FB1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7E47028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06F1B19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14:paraId="6F90697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发放到位率</w:t>
            </w:r>
          </w:p>
        </w:tc>
        <w:tc>
          <w:tcPr>
            <w:tcW w:w="1209" w:type="dxa"/>
            <w:vAlign w:val="center"/>
          </w:tcPr>
          <w:p w14:paraId="02E6576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vAlign w:val="center"/>
          </w:tcPr>
          <w:p w14:paraId="459BAF0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14:paraId="390CA16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vAlign w:val="center"/>
          </w:tcPr>
          <w:p w14:paraId="6552B11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418" w:type="dxa"/>
            <w:vAlign w:val="center"/>
          </w:tcPr>
          <w:p w14:paraId="25FA083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1C57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A2474B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739F665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460724F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14:paraId="5EF05C1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发放及时率</w:t>
            </w:r>
          </w:p>
        </w:tc>
        <w:tc>
          <w:tcPr>
            <w:tcW w:w="1209" w:type="dxa"/>
            <w:vAlign w:val="center"/>
          </w:tcPr>
          <w:p w14:paraId="787A850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1134" w:type="dxa"/>
            <w:vAlign w:val="center"/>
          </w:tcPr>
          <w:p w14:paraId="591A8EF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828" w:type="dxa"/>
            <w:vAlign w:val="center"/>
          </w:tcPr>
          <w:p w14:paraId="28CCD4B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vAlign w:val="center"/>
          </w:tcPr>
          <w:p w14:paraId="284418C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vAlign w:val="center"/>
          </w:tcPr>
          <w:p w14:paraId="326101F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0735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1F11DA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7D44E61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6B5C56C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vAlign w:val="center"/>
          </w:tcPr>
          <w:p w14:paraId="5043EAE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成本控制</w:t>
            </w:r>
          </w:p>
        </w:tc>
        <w:tc>
          <w:tcPr>
            <w:tcW w:w="1209" w:type="dxa"/>
            <w:vAlign w:val="center"/>
          </w:tcPr>
          <w:p w14:paraId="1491D6E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≦3.20万</w:t>
            </w:r>
          </w:p>
        </w:tc>
        <w:tc>
          <w:tcPr>
            <w:tcW w:w="1134" w:type="dxa"/>
            <w:vAlign w:val="center"/>
          </w:tcPr>
          <w:p w14:paraId="4BA35B3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≦3.20万</w:t>
            </w:r>
          </w:p>
        </w:tc>
        <w:tc>
          <w:tcPr>
            <w:tcW w:w="828" w:type="dxa"/>
            <w:vAlign w:val="center"/>
          </w:tcPr>
          <w:p w14:paraId="3D68FB3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742285F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4EDEA4D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16A3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62877A7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713DD5E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F3E9CD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vAlign w:val="center"/>
          </w:tcPr>
          <w:p w14:paraId="7DF8563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F8C9D1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6E6C63C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3B8B3F5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4632815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153ACF5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42CA9E9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5A04FBC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58B4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1F2EBA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1C9601F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7D89954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C501C2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217C295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推进了人才提质升级的新进展</w:t>
            </w:r>
          </w:p>
        </w:tc>
        <w:tc>
          <w:tcPr>
            <w:tcW w:w="1209" w:type="dxa"/>
            <w:vAlign w:val="center"/>
          </w:tcPr>
          <w:p w14:paraId="107D10A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vAlign w:val="center"/>
          </w:tcPr>
          <w:p w14:paraId="013FFCC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vAlign w:val="center"/>
          </w:tcPr>
          <w:p w14:paraId="47C82CA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873" w:type="dxa"/>
            <w:vAlign w:val="center"/>
          </w:tcPr>
          <w:p w14:paraId="7F99680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c>
          <w:tcPr>
            <w:tcW w:w="1418" w:type="dxa"/>
            <w:vAlign w:val="center"/>
          </w:tcPr>
          <w:p w14:paraId="06B4CDA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09F2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011757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2C80993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5CE2A83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6163AE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365EEBE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441404A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49D2393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59BFEAC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55ABB4D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08E35BD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2EF6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B9C8D0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vMerge w:val="continue"/>
            <w:vAlign w:val="center"/>
          </w:tcPr>
          <w:p w14:paraId="14A544D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5CCFFDD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14:paraId="0603016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无</w:t>
            </w:r>
          </w:p>
        </w:tc>
        <w:tc>
          <w:tcPr>
            <w:tcW w:w="1209" w:type="dxa"/>
            <w:vAlign w:val="center"/>
          </w:tcPr>
          <w:p w14:paraId="04615FE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1DDC190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6D82766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6CFB57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7693658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032C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107177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47A7F56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B3919E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BC25DE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vAlign w:val="center"/>
          </w:tcPr>
          <w:p w14:paraId="23881D6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14:paraId="436C0B3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引进人员满意度</w:t>
            </w:r>
          </w:p>
        </w:tc>
        <w:tc>
          <w:tcPr>
            <w:tcW w:w="1209" w:type="dxa"/>
            <w:vAlign w:val="center"/>
          </w:tcPr>
          <w:p w14:paraId="00F38E5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r>
              <w:rPr>
                <w:rFonts w:hint="eastAsia" w:ascii="仿宋" w:hAnsi="仿宋" w:eastAsia="仿宋" w:cs="仿宋"/>
                <w:color w:val="000000"/>
                <w:kern w:val="0"/>
                <w:sz w:val="20"/>
                <w:szCs w:val="20"/>
              </w:rPr>
              <w:t>%</w:t>
            </w:r>
          </w:p>
        </w:tc>
        <w:tc>
          <w:tcPr>
            <w:tcW w:w="1134" w:type="dxa"/>
            <w:vAlign w:val="center"/>
          </w:tcPr>
          <w:p w14:paraId="4D038EA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828" w:type="dxa"/>
            <w:vAlign w:val="center"/>
          </w:tcPr>
          <w:p w14:paraId="58899D0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3D12C41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3789BF3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6D72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14:paraId="475D4EA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14:paraId="34E34C0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14:paraId="5D1FE6F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655AF14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E423E2F">
      <w:pPr>
        <w:widowControl w:val="0"/>
        <w:shd w:val="clear"/>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5206160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14:paraId="68F6BD1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附件2-8</w:t>
      </w:r>
    </w:p>
    <w:p w14:paraId="04879939">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43BE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Align w:val="center"/>
          </w:tcPr>
          <w:p w14:paraId="5B8FEE5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7FE6138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vAlign w:val="center"/>
          </w:tcPr>
          <w:p w14:paraId="489DEB7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市级综治中心场地建设</w:t>
            </w:r>
          </w:p>
        </w:tc>
      </w:tr>
      <w:tr w14:paraId="3EA4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14:paraId="3268FA2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14:paraId="5B528B8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460B888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14:paraId="69CBC0E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中共怀化市委政法委员会</w:t>
            </w:r>
          </w:p>
        </w:tc>
      </w:tr>
      <w:tr w14:paraId="5F73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14:paraId="1A9E682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267D186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vAlign w:val="center"/>
          </w:tcPr>
          <w:p w14:paraId="724011C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14:paraId="2CCC881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28F6D4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14:paraId="12FD0E7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82D64C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14:paraId="63664AD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D81A7D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14:paraId="6CA493F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14:paraId="51FC9C2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14:paraId="58DFE96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67A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CB956D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646B178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14:paraId="6ACF513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0.00</w:t>
            </w:r>
          </w:p>
        </w:tc>
        <w:tc>
          <w:tcPr>
            <w:tcW w:w="1209" w:type="dxa"/>
            <w:vAlign w:val="center"/>
          </w:tcPr>
          <w:p w14:paraId="2409345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37.00</w:t>
            </w:r>
          </w:p>
        </w:tc>
        <w:tc>
          <w:tcPr>
            <w:tcW w:w="1134" w:type="dxa"/>
            <w:vAlign w:val="center"/>
          </w:tcPr>
          <w:p w14:paraId="1DEB342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37.00</w:t>
            </w:r>
          </w:p>
        </w:tc>
        <w:tc>
          <w:tcPr>
            <w:tcW w:w="828" w:type="dxa"/>
            <w:vAlign w:val="center"/>
          </w:tcPr>
          <w:p w14:paraId="7F439DB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vAlign w:val="center"/>
          </w:tcPr>
          <w:p w14:paraId="18743DB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14:paraId="699C036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 xml:space="preserve">  10</w:t>
            </w:r>
          </w:p>
        </w:tc>
      </w:tr>
      <w:tr w14:paraId="2D0C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37FC8EC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1A75F45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14:paraId="5A7A11F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0.00</w:t>
            </w:r>
          </w:p>
        </w:tc>
        <w:tc>
          <w:tcPr>
            <w:tcW w:w="1209" w:type="dxa"/>
            <w:vAlign w:val="center"/>
          </w:tcPr>
          <w:p w14:paraId="49042B8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37.00</w:t>
            </w:r>
          </w:p>
        </w:tc>
        <w:tc>
          <w:tcPr>
            <w:tcW w:w="1134" w:type="dxa"/>
            <w:vAlign w:val="center"/>
          </w:tcPr>
          <w:p w14:paraId="73F9987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37.00</w:t>
            </w:r>
          </w:p>
        </w:tc>
        <w:tc>
          <w:tcPr>
            <w:tcW w:w="828" w:type="dxa"/>
            <w:vAlign w:val="center"/>
          </w:tcPr>
          <w:p w14:paraId="50E81F4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7CC51BF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4404170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C09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A4A51E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574AA3D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14:paraId="06D793D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1056EB7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35E1B03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66DC9AE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5FCEA30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40EB140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D2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14:paraId="50E78CF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0224DF8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14:paraId="6CB9ED3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67275D2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1647B05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313B3A8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301F801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452F674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13B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14:paraId="7B19923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14:paraId="553C096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vAlign w:val="center"/>
          </w:tcPr>
          <w:p w14:paraId="08B54F6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9E3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80" w:type="dxa"/>
            <w:vMerge w:val="continue"/>
            <w:vAlign w:val="center"/>
          </w:tcPr>
          <w:p w14:paraId="5BF4FE3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4518" w:type="dxa"/>
            <w:gridSpan w:val="4"/>
            <w:vAlign w:val="center"/>
          </w:tcPr>
          <w:p w14:paraId="74596C8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p>
          <w:p w14:paraId="662BBEC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用于市级综治中心场地建设。</w:t>
            </w:r>
          </w:p>
          <w:p w14:paraId="0D8074C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4253" w:type="dxa"/>
            <w:gridSpan w:val="4"/>
            <w:vAlign w:val="center"/>
          </w:tcPr>
          <w:p w14:paraId="65346AC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p>
          <w:p w14:paraId="1B3CC7E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用于市级综治中心场地建设。</w:t>
            </w:r>
          </w:p>
          <w:p w14:paraId="51F864B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65DA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14:paraId="31B45EA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C67D0B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E7D4A4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35DB13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14:paraId="7C3A3C4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14:paraId="60F821D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14:paraId="5C9CCFF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14:paraId="4666331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08590C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14:paraId="32866DF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B3E8F3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14:paraId="28F6C67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14:paraId="6F9392E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14:paraId="6D7B448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63C718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388D70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051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0F0C20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40D1867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E46CAB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vAlign w:val="center"/>
          </w:tcPr>
          <w:p w14:paraId="192B53E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14:paraId="047A892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市级综治中心建设点</w:t>
            </w:r>
          </w:p>
        </w:tc>
        <w:tc>
          <w:tcPr>
            <w:tcW w:w="1209" w:type="dxa"/>
            <w:vAlign w:val="center"/>
          </w:tcPr>
          <w:p w14:paraId="6227F59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1个</w:t>
            </w:r>
          </w:p>
        </w:tc>
        <w:tc>
          <w:tcPr>
            <w:tcW w:w="1134" w:type="dxa"/>
            <w:vAlign w:val="center"/>
          </w:tcPr>
          <w:p w14:paraId="0171873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1个</w:t>
            </w:r>
          </w:p>
        </w:tc>
        <w:tc>
          <w:tcPr>
            <w:tcW w:w="828" w:type="dxa"/>
            <w:vAlign w:val="center"/>
          </w:tcPr>
          <w:p w14:paraId="412E0AB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vAlign w:val="center"/>
          </w:tcPr>
          <w:p w14:paraId="481A814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14:paraId="3AF7B72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7CC9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26B38A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163AF63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6D55A39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14:paraId="5C0F458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项目验收合格率</w:t>
            </w:r>
          </w:p>
        </w:tc>
        <w:tc>
          <w:tcPr>
            <w:tcW w:w="1209" w:type="dxa"/>
            <w:vAlign w:val="center"/>
          </w:tcPr>
          <w:p w14:paraId="33F3318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vAlign w:val="center"/>
          </w:tcPr>
          <w:p w14:paraId="31DD3EE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14:paraId="53CCAC5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14:paraId="22E447A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vAlign w:val="center"/>
          </w:tcPr>
          <w:p w14:paraId="5DB991D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7F10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680AEA6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4CCC600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18B0A48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14:paraId="3B6F401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完成及时率</w:t>
            </w:r>
          </w:p>
        </w:tc>
        <w:tc>
          <w:tcPr>
            <w:tcW w:w="1209" w:type="dxa"/>
            <w:vAlign w:val="center"/>
          </w:tcPr>
          <w:p w14:paraId="2D5CD86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1134" w:type="dxa"/>
            <w:vAlign w:val="center"/>
          </w:tcPr>
          <w:p w14:paraId="280014A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828" w:type="dxa"/>
            <w:vAlign w:val="center"/>
          </w:tcPr>
          <w:p w14:paraId="75E8CEF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0583F88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2E1AE13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66301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277A1B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2AD954B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663AB18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vAlign w:val="center"/>
          </w:tcPr>
          <w:p w14:paraId="4483DAB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成本控制</w:t>
            </w:r>
          </w:p>
        </w:tc>
        <w:tc>
          <w:tcPr>
            <w:tcW w:w="1209" w:type="dxa"/>
            <w:vAlign w:val="center"/>
          </w:tcPr>
          <w:p w14:paraId="5B64F1F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≦37万</w:t>
            </w:r>
          </w:p>
        </w:tc>
        <w:tc>
          <w:tcPr>
            <w:tcW w:w="1134" w:type="dxa"/>
            <w:vAlign w:val="center"/>
          </w:tcPr>
          <w:p w14:paraId="388C426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≦37万</w:t>
            </w:r>
          </w:p>
        </w:tc>
        <w:tc>
          <w:tcPr>
            <w:tcW w:w="828" w:type="dxa"/>
            <w:vAlign w:val="center"/>
          </w:tcPr>
          <w:p w14:paraId="2ECF7BC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0A97490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2D2BCBC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3521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D71D15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7561258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007AC9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vAlign w:val="center"/>
          </w:tcPr>
          <w:p w14:paraId="62AF48E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24AACA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3CF9B48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4112EC9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5E5ACF4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1CAC934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39C2DD3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0396AB2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5678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1DF7AE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636947E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7448634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3BEC3D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35F2DA7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实施综合治理网格化管理提供了较好的硬件基础，社会效益较好</w:t>
            </w:r>
          </w:p>
        </w:tc>
        <w:tc>
          <w:tcPr>
            <w:tcW w:w="1209" w:type="dxa"/>
            <w:vAlign w:val="center"/>
          </w:tcPr>
          <w:p w14:paraId="0748E2C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1134" w:type="dxa"/>
            <w:vAlign w:val="center"/>
          </w:tcPr>
          <w:p w14:paraId="7051BF5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828" w:type="dxa"/>
            <w:vAlign w:val="center"/>
          </w:tcPr>
          <w:p w14:paraId="78CA819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30</w:t>
            </w:r>
          </w:p>
        </w:tc>
        <w:tc>
          <w:tcPr>
            <w:tcW w:w="873" w:type="dxa"/>
            <w:vAlign w:val="center"/>
          </w:tcPr>
          <w:p w14:paraId="0EA79D9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30</w:t>
            </w:r>
          </w:p>
        </w:tc>
        <w:tc>
          <w:tcPr>
            <w:tcW w:w="1418" w:type="dxa"/>
            <w:vAlign w:val="center"/>
          </w:tcPr>
          <w:p w14:paraId="58054AE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280A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3035509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5B1B24F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60EDD4F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C3B86D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6EAD782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5DEE8BC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304D229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3E2386E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2D1680F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5E61C3C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0D3C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38375DD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vMerge w:val="continue"/>
            <w:vAlign w:val="center"/>
          </w:tcPr>
          <w:p w14:paraId="206BA62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370FC0C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14:paraId="64594C0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3D71999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3BC31AD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186F5A1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6070716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5D01EB7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5D3E9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6F2571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6C1F4BD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98EE9D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4D2977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vAlign w:val="center"/>
          </w:tcPr>
          <w:p w14:paraId="5CD9887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14:paraId="1DB014D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使用人员满意度</w:t>
            </w:r>
          </w:p>
        </w:tc>
        <w:tc>
          <w:tcPr>
            <w:tcW w:w="1209" w:type="dxa"/>
            <w:vAlign w:val="center"/>
          </w:tcPr>
          <w:p w14:paraId="3056325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r>
              <w:rPr>
                <w:rFonts w:hint="eastAsia" w:ascii="仿宋" w:hAnsi="仿宋" w:eastAsia="仿宋" w:cs="仿宋"/>
                <w:color w:val="000000"/>
                <w:kern w:val="0"/>
                <w:sz w:val="20"/>
                <w:szCs w:val="20"/>
              </w:rPr>
              <w:t>%</w:t>
            </w:r>
          </w:p>
        </w:tc>
        <w:tc>
          <w:tcPr>
            <w:tcW w:w="1134" w:type="dxa"/>
            <w:vAlign w:val="center"/>
          </w:tcPr>
          <w:p w14:paraId="5106CAB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828" w:type="dxa"/>
            <w:vAlign w:val="center"/>
          </w:tcPr>
          <w:p w14:paraId="0C5F4CA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09F7A3B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48A59CF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1ADA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14:paraId="2CADE3C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14:paraId="2220B87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14:paraId="3EB3BA5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14:paraId="42414FC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FEDDB5C">
      <w:pPr>
        <w:widowControl w:val="0"/>
        <w:shd w:val="clear"/>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1594607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14:paraId="2041B9D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14:paraId="7934B15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附件2-9</w:t>
      </w:r>
    </w:p>
    <w:p w14:paraId="382BE575">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10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
        <w:gridCol w:w="522"/>
        <w:gridCol w:w="558"/>
        <w:gridCol w:w="1080"/>
        <w:gridCol w:w="522"/>
        <w:gridCol w:w="558"/>
        <w:gridCol w:w="591"/>
        <w:gridCol w:w="558"/>
        <w:gridCol w:w="651"/>
        <w:gridCol w:w="558"/>
        <w:gridCol w:w="576"/>
        <w:gridCol w:w="558"/>
        <w:gridCol w:w="270"/>
        <w:gridCol w:w="558"/>
        <w:gridCol w:w="315"/>
        <w:gridCol w:w="558"/>
        <w:gridCol w:w="860"/>
        <w:gridCol w:w="558"/>
      </w:tblGrid>
      <w:tr w14:paraId="7D62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58" w:type="dxa"/>
          <w:trHeight w:val="475" w:hRule="atLeast"/>
          <w:jc w:val="center"/>
        </w:trPr>
        <w:tc>
          <w:tcPr>
            <w:tcW w:w="1080" w:type="dxa"/>
            <w:gridSpan w:val="2"/>
            <w:vAlign w:val="center"/>
          </w:tcPr>
          <w:p w14:paraId="2683F2E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5AFA2F2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15"/>
            <w:vAlign w:val="center"/>
          </w:tcPr>
          <w:p w14:paraId="5FE0803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政法委教育转化工作经费</w:t>
            </w:r>
            <w:r>
              <w:rPr>
                <w:rFonts w:hint="eastAsia" w:ascii="仿宋" w:hAnsi="仿宋" w:eastAsia="仿宋" w:cs="仿宋"/>
                <w:color w:val="000000"/>
                <w:kern w:val="0"/>
                <w:sz w:val="20"/>
                <w:szCs w:val="20"/>
              </w:rPr>
              <w:t>　</w:t>
            </w:r>
          </w:p>
        </w:tc>
      </w:tr>
      <w:tr w14:paraId="52A34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58" w:type="dxa"/>
          <w:trHeight w:val="255" w:hRule="atLeast"/>
          <w:jc w:val="center"/>
        </w:trPr>
        <w:tc>
          <w:tcPr>
            <w:tcW w:w="1080" w:type="dxa"/>
            <w:gridSpan w:val="2"/>
            <w:vAlign w:val="center"/>
          </w:tcPr>
          <w:p w14:paraId="31EDA78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7"/>
            <w:vAlign w:val="center"/>
          </w:tcPr>
          <w:p w14:paraId="5BBDE1E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gridSpan w:val="2"/>
            <w:vAlign w:val="center"/>
          </w:tcPr>
          <w:p w14:paraId="29F78AA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6"/>
            <w:vAlign w:val="center"/>
          </w:tcPr>
          <w:p w14:paraId="79438DE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中共怀化市委政法委员会</w:t>
            </w:r>
          </w:p>
        </w:tc>
      </w:tr>
      <w:tr w14:paraId="1959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58" w:type="dxa"/>
          <w:trHeight w:val="340" w:hRule="atLeast"/>
          <w:jc w:val="center"/>
        </w:trPr>
        <w:tc>
          <w:tcPr>
            <w:tcW w:w="1080" w:type="dxa"/>
            <w:gridSpan w:val="2"/>
            <w:vMerge w:val="restart"/>
            <w:vAlign w:val="center"/>
          </w:tcPr>
          <w:p w14:paraId="42F5EC0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268A473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3"/>
            <w:vAlign w:val="center"/>
          </w:tcPr>
          <w:p w14:paraId="03AB718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gridSpan w:val="2"/>
            <w:vAlign w:val="center"/>
          </w:tcPr>
          <w:p w14:paraId="1B8B2B7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6AC2D2A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gridSpan w:val="2"/>
            <w:vAlign w:val="center"/>
          </w:tcPr>
          <w:p w14:paraId="36FF387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161003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gridSpan w:val="2"/>
            <w:vAlign w:val="center"/>
          </w:tcPr>
          <w:p w14:paraId="0363437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2488A4C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gridSpan w:val="2"/>
            <w:vAlign w:val="center"/>
          </w:tcPr>
          <w:p w14:paraId="7818B3D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gridSpan w:val="2"/>
            <w:vAlign w:val="center"/>
          </w:tcPr>
          <w:p w14:paraId="4748B7B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gridSpan w:val="2"/>
            <w:vAlign w:val="center"/>
          </w:tcPr>
          <w:p w14:paraId="5D7C441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BF6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58" w:type="dxa"/>
          <w:trHeight w:val="340" w:hRule="atLeast"/>
          <w:jc w:val="center"/>
        </w:trPr>
        <w:tc>
          <w:tcPr>
            <w:tcW w:w="1080" w:type="dxa"/>
            <w:gridSpan w:val="2"/>
            <w:vMerge w:val="continue"/>
            <w:vAlign w:val="center"/>
          </w:tcPr>
          <w:p w14:paraId="1AF2444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3"/>
            <w:vAlign w:val="center"/>
          </w:tcPr>
          <w:p w14:paraId="09AE25B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gridSpan w:val="2"/>
            <w:vAlign w:val="center"/>
          </w:tcPr>
          <w:p w14:paraId="3F57FC4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0.00</w:t>
            </w:r>
          </w:p>
        </w:tc>
        <w:tc>
          <w:tcPr>
            <w:tcW w:w="1209" w:type="dxa"/>
            <w:gridSpan w:val="2"/>
            <w:vAlign w:val="center"/>
          </w:tcPr>
          <w:p w14:paraId="78A73FA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13.00</w:t>
            </w:r>
          </w:p>
        </w:tc>
        <w:tc>
          <w:tcPr>
            <w:tcW w:w="1134" w:type="dxa"/>
            <w:gridSpan w:val="2"/>
            <w:vAlign w:val="center"/>
          </w:tcPr>
          <w:p w14:paraId="155028E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13.00</w:t>
            </w:r>
          </w:p>
        </w:tc>
        <w:tc>
          <w:tcPr>
            <w:tcW w:w="828" w:type="dxa"/>
            <w:gridSpan w:val="2"/>
            <w:vAlign w:val="center"/>
          </w:tcPr>
          <w:p w14:paraId="58DF7AB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gridSpan w:val="2"/>
            <w:vAlign w:val="center"/>
          </w:tcPr>
          <w:p w14:paraId="6B22C7A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gridSpan w:val="2"/>
            <w:vAlign w:val="center"/>
          </w:tcPr>
          <w:p w14:paraId="3EEC65C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 xml:space="preserve">  10</w:t>
            </w:r>
          </w:p>
        </w:tc>
      </w:tr>
      <w:tr w14:paraId="7665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58" w:type="dxa"/>
          <w:trHeight w:val="340" w:hRule="atLeast"/>
          <w:jc w:val="center"/>
        </w:trPr>
        <w:tc>
          <w:tcPr>
            <w:tcW w:w="1080" w:type="dxa"/>
            <w:gridSpan w:val="2"/>
            <w:vMerge w:val="continue"/>
            <w:vAlign w:val="center"/>
          </w:tcPr>
          <w:p w14:paraId="5225359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3"/>
            <w:vAlign w:val="center"/>
          </w:tcPr>
          <w:p w14:paraId="17BF8A5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gridSpan w:val="2"/>
            <w:vAlign w:val="center"/>
          </w:tcPr>
          <w:p w14:paraId="1751EE7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0.00</w:t>
            </w:r>
          </w:p>
        </w:tc>
        <w:tc>
          <w:tcPr>
            <w:tcW w:w="1209" w:type="dxa"/>
            <w:gridSpan w:val="2"/>
            <w:vAlign w:val="center"/>
          </w:tcPr>
          <w:p w14:paraId="556095C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13.00</w:t>
            </w:r>
          </w:p>
        </w:tc>
        <w:tc>
          <w:tcPr>
            <w:tcW w:w="1134" w:type="dxa"/>
            <w:gridSpan w:val="2"/>
            <w:vAlign w:val="center"/>
          </w:tcPr>
          <w:p w14:paraId="538366C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13.00</w:t>
            </w:r>
          </w:p>
        </w:tc>
        <w:tc>
          <w:tcPr>
            <w:tcW w:w="828" w:type="dxa"/>
            <w:gridSpan w:val="2"/>
            <w:vAlign w:val="center"/>
          </w:tcPr>
          <w:p w14:paraId="5F5A3BF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gridSpan w:val="2"/>
            <w:vAlign w:val="center"/>
          </w:tcPr>
          <w:p w14:paraId="6F9D43B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c>
          <w:tcPr>
            <w:tcW w:w="1418" w:type="dxa"/>
            <w:gridSpan w:val="2"/>
            <w:vAlign w:val="center"/>
          </w:tcPr>
          <w:p w14:paraId="754CAEC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p>
        </w:tc>
      </w:tr>
      <w:tr w14:paraId="5910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58" w:type="dxa"/>
          <w:trHeight w:val="340" w:hRule="atLeast"/>
          <w:jc w:val="center"/>
        </w:trPr>
        <w:tc>
          <w:tcPr>
            <w:tcW w:w="1080" w:type="dxa"/>
            <w:gridSpan w:val="2"/>
            <w:vMerge w:val="continue"/>
            <w:vAlign w:val="center"/>
          </w:tcPr>
          <w:p w14:paraId="6C2A6B1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3"/>
            <w:vAlign w:val="center"/>
          </w:tcPr>
          <w:p w14:paraId="7121F4C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gridSpan w:val="2"/>
            <w:vAlign w:val="center"/>
          </w:tcPr>
          <w:p w14:paraId="2FCB5D6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gridSpan w:val="2"/>
            <w:vAlign w:val="center"/>
          </w:tcPr>
          <w:p w14:paraId="1884C81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gridSpan w:val="2"/>
            <w:vAlign w:val="center"/>
          </w:tcPr>
          <w:p w14:paraId="4E59CF7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gridSpan w:val="2"/>
            <w:vAlign w:val="center"/>
          </w:tcPr>
          <w:p w14:paraId="36F6CC9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gridSpan w:val="2"/>
            <w:vAlign w:val="center"/>
          </w:tcPr>
          <w:p w14:paraId="4E3F8EB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gridSpan w:val="2"/>
            <w:vAlign w:val="center"/>
          </w:tcPr>
          <w:p w14:paraId="03DE1D7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E9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58" w:type="dxa"/>
          <w:trHeight w:val="135" w:hRule="atLeast"/>
          <w:jc w:val="center"/>
        </w:trPr>
        <w:tc>
          <w:tcPr>
            <w:tcW w:w="1080" w:type="dxa"/>
            <w:gridSpan w:val="2"/>
            <w:vMerge w:val="continue"/>
            <w:vAlign w:val="center"/>
          </w:tcPr>
          <w:p w14:paraId="0E345B4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3"/>
            <w:vAlign w:val="center"/>
          </w:tcPr>
          <w:p w14:paraId="38AE01F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gridSpan w:val="2"/>
            <w:vAlign w:val="center"/>
          </w:tcPr>
          <w:p w14:paraId="5D422AB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gridSpan w:val="2"/>
            <w:vAlign w:val="center"/>
          </w:tcPr>
          <w:p w14:paraId="7399226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gridSpan w:val="2"/>
            <w:vAlign w:val="center"/>
          </w:tcPr>
          <w:p w14:paraId="6F27572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gridSpan w:val="2"/>
            <w:vAlign w:val="center"/>
          </w:tcPr>
          <w:p w14:paraId="5E3FC8C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gridSpan w:val="2"/>
            <w:vAlign w:val="center"/>
          </w:tcPr>
          <w:p w14:paraId="73B844D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gridSpan w:val="2"/>
            <w:vAlign w:val="center"/>
          </w:tcPr>
          <w:p w14:paraId="4454EDE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B9A7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58" w:type="dxa"/>
          <w:trHeight w:val="210" w:hRule="atLeast"/>
          <w:jc w:val="center"/>
        </w:trPr>
        <w:tc>
          <w:tcPr>
            <w:tcW w:w="1080" w:type="dxa"/>
            <w:gridSpan w:val="2"/>
            <w:vMerge w:val="restart"/>
            <w:vAlign w:val="center"/>
          </w:tcPr>
          <w:p w14:paraId="64E3EDA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7"/>
            <w:vAlign w:val="center"/>
          </w:tcPr>
          <w:p w14:paraId="3DFFCD5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8"/>
            <w:vAlign w:val="center"/>
          </w:tcPr>
          <w:p w14:paraId="5C1224C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B0A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58" w:type="dxa"/>
          <w:trHeight w:val="927" w:hRule="atLeast"/>
          <w:jc w:val="center"/>
        </w:trPr>
        <w:tc>
          <w:tcPr>
            <w:tcW w:w="1080" w:type="dxa"/>
            <w:gridSpan w:val="2"/>
            <w:vMerge w:val="continue"/>
            <w:vAlign w:val="center"/>
          </w:tcPr>
          <w:p w14:paraId="0DBB774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4518" w:type="dxa"/>
            <w:gridSpan w:val="7"/>
            <w:vAlign w:val="center"/>
          </w:tcPr>
          <w:p w14:paraId="5D2F882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用于统一协调全市政法各单位开展工作，维护全市社会稳定大局。</w:t>
            </w:r>
          </w:p>
        </w:tc>
        <w:tc>
          <w:tcPr>
            <w:tcW w:w="4253" w:type="dxa"/>
            <w:gridSpan w:val="8"/>
            <w:vAlign w:val="center"/>
          </w:tcPr>
          <w:p w14:paraId="2EA412D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用于统一协调全市政法各单位开展工作，维护全市社会稳定大局。</w:t>
            </w:r>
          </w:p>
        </w:tc>
      </w:tr>
      <w:tr w14:paraId="64EC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58" w:type="dxa"/>
          <w:trHeight w:val="550" w:hRule="atLeast"/>
          <w:jc w:val="center"/>
        </w:trPr>
        <w:tc>
          <w:tcPr>
            <w:tcW w:w="1080" w:type="dxa"/>
            <w:gridSpan w:val="2"/>
            <w:vMerge w:val="restart"/>
            <w:vAlign w:val="center"/>
          </w:tcPr>
          <w:p w14:paraId="65AAA09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9C1E8D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CEE860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F67907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14:paraId="534F7E6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gridSpan w:val="2"/>
            <w:vAlign w:val="center"/>
          </w:tcPr>
          <w:p w14:paraId="5B9ED12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gridSpan w:val="2"/>
            <w:vAlign w:val="center"/>
          </w:tcPr>
          <w:p w14:paraId="3223C03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gridSpan w:val="2"/>
            <w:vAlign w:val="center"/>
          </w:tcPr>
          <w:p w14:paraId="1FB946C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33DDA9E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gridSpan w:val="2"/>
            <w:vAlign w:val="center"/>
          </w:tcPr>
          <w:p w14:paraId="4D82A0D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8A09E9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gridSpan w:val="2"/>
            <w:vAlign w:val="center"/>
          </w:tcPr>
          <w:p w14:paraId="63AEDD2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gridSpan w:val="2"/>
            <w:vAlign w:val="center"/>
          </w:tcPr>
          <w:p w14:paraId="7A386DA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gridSpan w:val="2"/>
            <w:vAlign w:val="center"/>
          </w:tcPr>
          <w:p w14:paraId="235756D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0147C8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89D262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E33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58" w:type="dxa"/>
          <w:trHeight w:val="340" w:hRule="atLeast"/>
          <w:jc w:val="center"/>
        </w:trPr>
        <w:tc>
          <w:tcPr>
            <w:tcW w:w="1080" w:type="dxa"/>
            <w:gridSpan w:val="2"/>
            <w:vMerge w:val="continue"/>
            <w:vAlign w:val="center"/>
          </w:tcPr>
          <w:p w14:paraId="5C1C24F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6E1CD00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F7FB09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gridSpan w:val="2"/>
            <w:vMerge w:val="restart"/>
            <w:vAlign w:val="center"/>
          </w:tcPr>
          <w:p w14:paraId="46CF585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gridSpan w:val="2"/>
            <w:vAlign w:val="center"/>
          </w:tcPr>
          <w:p w14:paraId="38CEDA7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组织交流研讨会</w:t>
            </w:r>
          </w:p>
        </w:tc>
        <w:tc>
          <w:tcPr>
            <w:tcW w:w="1209" w:type="dxa"/>
            <w:gridSpan w:val="2"/>
            <w:vAlign w:val="center"/>
          </w:tcPr>
          <w:p w14:paraId="6AB4C17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150次</w:t>
            </w:r>
          </w:p>
        </w:tc>
        <w:tc>
          <w:tcPr>
            <w:tcW w:w="1134" w:type="dxa"/>
            <w:gridSpan w:val="2"/>
            <w:vAlign w:val="center"/>
          </w:tcPr>
          <w:p w14:paraId="799B0D2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150次</w:t>
            </w:r>
          </w:p>
        </w:tc>
        <w:tc>
          <w:tcPr>
            <w:tcW w:w="828" w:type="dxa"/>
            <w:gridSpan w:val="2"/>
            <w:vAlign w:val="center"/>
          </w:tcPr>
          <w:p w14:paraId="1170189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gridSpan w:val="2"/>
            <w:vAlign w:val="center"/>
          </w:tcPr>
          <w:p w14:paraId="5F4D7A3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gridSpan w:val="2"/>
            <w:vAlign w:val="center"/>
          </w:tcPr>
          <w:p w14:paraId="208D56A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2BE0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58" w:type="dxa"/>
          <w:trHeight w:val="340" w:hRule="atLeast"/>
          <w:jc w:val="center"/>
        </w:trPr>
        <w:tc>
          <w:tcPr>
            <w:tcW w:w="1080" w:type="dxa"/>
            <w:gridSpan w:val="2"/>
            <w:vMerge w:val="continue"/>
            <w:vAlign w:val="center"/>
          </w:tcPr>
          <w:p w14:paraId="2C4EE00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49540E1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gridSpan w:val="2"/>
            <w:vMerge w:val="continue"/>
            <w:vAlign w:val="center"/>
          </w:tcPr>
          <w:p w14:paraId="27773AA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49" w:type="dxa"/>
            <w:gridSpan w:val="2"/>
            <w:vAlign w:val="center"/>
          </w:tcPr>
          <w:p w14:paraId="06C080B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走找想促”调研实践次数</w:t>
            </w:r>
          </w:p>
        </w:tc>
        <w:tc>
          <w:tcPr>
            <w:tcW w:w="1209" w:type="dxa"/>
            <w:gridSpan w:val="2"/>
            <w:vAlign w:val="center"/>
          </w:tcPr>
          <w:p w14:paraId="03A8B4C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617次</w:t>
            </w:r>
          </w:p>
        </w:tc>
        <w:tc>
          <w:tcPr>
            <w:tcW w:w="1134" w:type="dxa"/>
            <w:gridSpan w:val="2"/>
            <w:vAlign w:val="center"/>
          </w:tcPr>
          <w:p w14:paraId="1809599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617次</w:t>
            </w:r>
          </w:p>
        </w:tc>
        <w:tc>
          <w:tcPr>
            <w:tcW w:w="828" w:type="dxa"/>
            <w:gridSpan w:val="2"/>
            <w:vAlign w:val="center"/>
          </w:tcPr>
          <w:p w14:paraId="2FA16D5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gridSpan w:val="2"/>
            <w:vAlign w:val="center"/>
          </w:tcPr>
          <w:p w14:paraId="2041709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gridSpan w:val="2"/>
            <w:vAlign w:val="center"/>
          </w:tcPr>
          <w:p w14:paraId="0A79CE4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454C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58" w:type="dxa"/>
          <w:trHeight w:val="340" w:hRule="atLeast"/>
          <w:jc w:val="center"/>
        </w:trPr>
        <w:tc>
          <w:tcPr>
            <w:tcW w:w="1080" w:type="dxa"/>
            <w:gridSpan w:val="2"/>
            <w:vMerge w:val="continue"/>
            <w:vAlign w:val="center"/>
          </w:tcPr>
          <w:p w14:paraId="4B641F1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014E31F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gridSpan w:val="2"/>
            <w:vAlign w:val="center"/>
          </w:tcPr>
          <w:p w14:paraId="04EA212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gridSpan w:val="2"/>
            <w:vAlign w:val="center"/>
          </w:tcPr>
          <w:p w14:paraId="4FF0F8B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平安建设获评等级</w:t>
            </w:r>
          </w:p>
        </w:tc>
        <w:tc>
          <w:tcPr>
            <w:tcW w:w="1209" w:type="dxa"/>
            <w:gridSpan w:val="2"/>
            <w:vAlign w:val="center"/>
          </w:tcPr>
          <w:p w14:paraId="4E3CEC8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全省先进</w:t>
            </w:r>
          </w:p>
        </w:tc>
        <w:tc>
          <w:tcPr>
            <w:tcW w:w="1134" w:type="dxa"/>
            <w:gridSpan w:val="2"/>
            <w:vAlign w:val="center"/>
          </w:tcPr>
          <w:p w14:paraId="008AB65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全省先进</w:t>
            </w:r>
          </w:p>
        </w:tc>
        <w:tc>
          <w:tcPr>
            <w:tcW w:w="828" w:type="dxa"/>
            <w:gridSpan w:val="2"/>
            <w:vAlign w:val="center"/>
          </w:tcPr>
          <w:p w14:paraId="772C567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gridSpan w:val="2"/>
            <w:vAlign w:val="center"/>
          </w:tcPr>
          <w:p w14:paraId="42A5385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gridSpan w:val="2"/>
            <w:vAlign w:val="center"/>
          </w:tcPr>
          <w:p w14:paraId="674759B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5C0B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58" w:type="dxa"/>
          <w:trHeight w:val="340" w:hRule="atLeast"/>
          <w:jc w:val="center"/>
        </w:trPr>
        <w:tc>
          <w:tcPr>
            <w:tcW w:w="1080" w:type="dxa"/>
            <w:gridSpan w:val="2"/>
            <w:vMerge w:val="continue"/>
            <w:vAlign w:val="center"/>
          </w:tcPr>
          <w:p w14:paraId="7166C89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4AB5F27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gridSpan w:val="2"/>
            <w:vAlign w:val="center"/>
          </w:tcPr>
          <w:p w14:paraId="441990E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gridSpan w:val="2"/>
            <w:vAlign w:val="center"/>
          </w:tcPr>
          <w:p w14:paraId="06AA7DC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完成及时率</w:t>
            </w:r>
          </w:p>
        </w:tc>
        <w:tc>
          <w:tcPr>
            <w:tcW w:w="1209" w:type="dxa"/>
            <w:gridSpan w:val="2"/>
            <w:vAlign w:val="center"/>
          </w:tcPr>
          <w:p w14:paraId="7BF63E3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1134" w:type="dxa"/>
            <w:gridSpan w:val="2"/>
            <w:vAlign w:val="center"/>
          </w:tcPr>
          <w:p w14:paraId="00F2D58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828" w:type="dxa"/>
            <w:gridSpan w:val="2"/>
            <w:vAlign w:val="center"/>
          </w:tcPr>
          <w:p w14:paraId="12D532D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gridSpan w:val="2"/>
            <w:vAlign w:val="center"/>
          </w:tcPr>
          <w:p w14:paraId="04F3EB8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gridSpan w:val="2"/>
            <w:vAlign w:val="center"/>
          </w:tcPr>
          <w:p w14:paraId="1A3EC8D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70EB8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58" w:type="dxa"/>
          <w:trHeight w:val="340" w:hRule="atLeast"/>
          <w:jc w:val="center"/>
        </w:trPr>
        <w:tc>
          <w:tcPr>
            <w:tcW w:w="1080" w:type="dxa"/>
            <w:gridSpan w:val="2"/>
            <w:vMerge w:val="continue"/>
            <w:vAlign w:val="center"/>
          </w:tcPr>
          <w:p w14:paraId="74852D1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4F7DE42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gridSpan w:val="2"/>
            <w:vAlign w:val="center"/>
          </w:tcPr>
          <w:p w14:paraId="47C7BBF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gridSpan w:val="2"/>
            <w:vAlign w:val="center"/>
          </w:tcPr>
          <w:p w14:paraId="7F6F374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成本控制</w:t>
            </w:r>
          </w:p>
        </w:tc>
        <w:tc>
          <w:tcPr>
            <w:tcW w:w="1209" w:type="dxa"/>
            <w:gridSpan w:val="2"/>
            <w:vAlign w:val="center"/>
          </w:tcPr>
          <w:p w14:paraId="38A4A1E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≦13万</w:t>
            </w:r>
          </w:p>
        </w:tc>
        <w:tc>
          <w:tcPr>
            <w:tcW w:w="1134" w:type="dxa"/>
            <w:gridSpan w:val="2"/>
            <w:vAlign w:val="center"/>
          </w:tcPr>
          <w:p w14:paraId="2D89A55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≦13万</w:t>
            </w:r>
          </w:p>
        </w:tc>
        <w:tc>
          <w:tcPr>
            <w:tcW w:w="828" w:type="dxa"/>
            <w:gridSpan w:val="2"/>
            <w:vAlign w:val="center"/>
          </w:tcPr>
          <w:p w14:paraId="735E35F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gridSpan w:val="2"/>
            <w:vAlign w:val="center"/>
          </w:tcPr>
          <w:p w14:paraId="18C7E2F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gridSpan w:val="2"/>
            <w:vAlign w:val="center"/>
          </w:tcPr>
          <w:p w14:paraId="4D99F33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03F0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58" w:type="dxa"/>
          <w:trHeight w:val="340" w:hRule="atLeast"/>
          <w:jc w:val="center"/>
        </w:trPr>
        <w:tc>
          <w:tcPr>
            <w:tcW w:w="1080" w:type="dxa"/>
            <w:gridSpan w:val="2"/>
            <w:vMerge w:val="continue"/>
            <w:vAlign w:val="center"/>
          </w:tcPr>
          <w:p w14:paraId="61E4296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3A7B04E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C500D1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gridSpan w:val="2"/>
            <w:vAlign w:val="center"/>
          </w:tcPr>
          <w:p w14:paraId="35A60F2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4FC37F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gridSpan w:val="2"/>
            <w:vAlign w:val="center"/>
          </w:tcPr>
          <w:p w14:paraId="7D8A417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gridSpan w:val="2"/>
            <w:vAlign w:val="center"/>
          </w:tcPr>
          <w:p w14:paraId="529D9CE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gridSpan w:val="2"/>
            <w:vAlign w:val="center"/>
          </w:tcPr>
          <w:p w14:paraId="6F99AE5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gridSpan w:val="2"/>
            <w:vAlign w:val="center"/>
          </w:tcPr>
          <w:p w14:paraId="46A968C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gridSpan w:val="2"/>
            <w:vAlign w:val="center"/>
          </w:tcPr>
          <w:p w14:paraId="45E4703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gridSpan w:val="2"/>
            <w:vAlign w:val="center"/>
          </w:tcPr>
          <w:p w14:paraId="5EA46EE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38EC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58" w:type="dxa"/>
          <w:trHeight w:val="1077" w:hRule="atLeast"/>
          <w:jc w:val="center"/>
        </w:trPr>
        <w:tc>
          <w:tcPr>
            <w:tcW w:w="1080" w:type="dxa"/>
            <w:gridSpan w:val="2"/>
            <w:vMerge w:val="continue"/>
            <w:vAlign w:val="center"/>
          </w:tcPr>
          <w:p w14:paraId="4DFE887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49B674B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gridSpan w:val="2"/>
            <w:vAlign w:val="center"/>
          </w:tcPr>
          <w:p w14:paraId="716C738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C3F60C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gridSpan w:val="2"/>
            <w:vAlign w:val="center"/>
          </w:tcPr>
          <w:p w14:paraId="0BEED80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维护全市社会稳定大局。</w:t>
            </w:r>
          </w:p>
        </w:tc>
        <w:tc>
          <w:tcPr>
            <w:tcW w:w="1209" w:type="dxa"/>
            <w:gridSpan w:val="2"/>
            <w:vAlign w:val="center"/>
          </w:tcPr>
          <w:p w14:paraId="47923E0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1134" w:type="dxa"/>
            <w:gridSpan w:val="2"/>
            <w:vAlign w:val="center"/>
          </w:tcPr>
          <w:p w14:paraId="5527631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828" w:type="dxa"/>
            <w:gridSpan w:val="2"/>
            <w:vAlign w:val="center"/>
          </w:tcPr>
          <w:p w14:paraId="7CB4F21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30</w:t>
            </w:r>
          </w:p>
        </w:tc>
        <w:tc>
          <w:tcPr>
            <w:tcW w:w="873" w:type="dxa"/>
            <w:gridSpan w:val="2"/>
            <w:vAlign w:val="center"/>
          </w:tcPr>
          <w:p w14:paraId="2A7DF0B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30</w:t>
            </w:r>
          </w:p>
        </w:tc>
        <w:tc>
          <w:tcPr>
            <w:tcW w:w="1418" w:type="dxa"/>
            <w:gridSpan w:val="2"/>
            <w:vAlign w:val="center"/>
          </w:tcPr>
          <w:p w14:paraId="26A96C5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0AAD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58" w:type="dxa"/>
          <w:trHeight w:val="340" w:hRule="atLeast"/>
          <w:jc w:val="center"/>
        </w:trPr>
        <w:tc>
          <w:tcPr>
            <w:tcW w:w="1080" w:type="dxa"/>
            <w:gridSpan w:val="2"/>
            <w:vMerge w:val="continue"/>
            <w:vAlign w:val="center"/>
          </w:tcPr>
          <w:p w14:paraId="1BC3D7B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1DA589C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gridSpan w:val="2"/>
            <w:vAlign w:val="center"/>
          </w:tcPr>
          <w:p w14:paraId="1EF93F2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4AE82B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gridSpan w:val="2"/>
            <w:vAlign w:val="center"/>
          </w:tcPr>
          <w:p w14:paraId="69A112B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无</w:t>
            </w:r>
          </w:p>
        </w:tc>
        <w:tc>
          <w:tcPr>
            <w:tcW w:w="1209" w:type="dxa"/>
            <w:gridSpan w:val="2"/>
            <w:vAlign w:val="center"/>
          </w:tcPr>
          <w:p w14:paraId="51DC807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gridSpan w:val="2"/>
            <w:vAlign w:val="center"/>
          </w:tcPr>
          <w:p w14:paraId="59449E1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gridSpan w:val="2"/>
            <w:vAlign w:val="center"/>
          </w:tcPr>
          <w:p w14:paraId="731B8BD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gridSpan w:val="2"/>
            <w:vAlign w:val="center"/>
          </w:tcPr>
          <w:p w14:paraId="34091CA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gridSpan w:val="2"/>
            <w:vAlign w:val="center"/>
          </w:tcPr>
          <w:p w14:paraId="1F12949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7908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58" w:type="dxa"/>
          <w:trHeight w:val="340" w:hRule="atLeast"/>
          <w:jc w:val="center"/>
        </w:trPr>
        <w:tc>
          <w:tcPr>
            <w:tcW w:w="1080" w:type="dxa"/>
            <w:gridSpan w:val="2"/>
            <w:vMerge w:val="continue"/>
            <w:vAlign w:val="center"/>
          </w:tcPr>
          <w:p w14:paraId="2A90E54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vMerge w:val="continue"/>
            <w:vAlign w:val="center"/>
          </w:tcPr>
          <w:p w14:paraId="1A61D98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gridSpan w:val="2"/>
            <w:vAlign w:val="center"/>
          </w:tcPr>
          <w:p w14:paraId="59D094E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gridSpan w:val="2"/>
            <w:vAlign w:val="center"/>
          </w:tcPr>
          <w:p w14:paraId="554FFE2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无</w:t>
            </w:r>
          </w:p>
        </w:tc>
        <w:tc>
          <w:tcPr>
            <w:tcW w:w="1209" w:type="dxa"/>
            <w:gridSpan w:val="2"/>
            <w:vAlign w:val="center"/>
          </w:tcPr>
          <w:p w14:paraId="142659B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gridSpan w:val="2"/>
            <w:vAlign w:val="center"/>
          </w:tcPr>
          <w:p w14:paraId="45B7F4D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gridSpan w:val="2"/>
            <w:vAlign w:val="center"/>
          </w:tcPr>
          <w:p w14:paraId="5388DCE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gridSpan w:val="2"/>
            <w:vAlign w:val="center"/>
          </w:tcPr>
          <w:p w14:paraId="5ACE9FA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gridSpan w:val="2"/>
            <w:vAlign w:val="center"/>
          </w:tcPr>
          <w:p w14:paraId="4235B64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37DB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58" w:type="dxa"/>
          <w:trHeight w:val="340" w:hRule="atLeast"/>
          <w:jc w:val="center"/>
        </w:trPr>
        <w:tc>
          <w:tcPr>
            <w:tcW w:w="1080" w:type="dxa"/>
            <w:gridSpan w:val="2"/>
            <w:vMerge w:val="continue"/>
            <w:vAlign w:val="center"/>
          </w:tcPr>
          <w:p w14:paraId="4367A5E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0E470A5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BC1A64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C88F79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gridSpan w:val="2"/>
            <w:vAlign w:val="center"/>
          </w:tcPr>
          <w:p w14:paraId="7CF5DF2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gridSpan w:val="2"/>
            <w:vAlign w:val="center"/>
          </w:tcPr>
          <w:p w14:paraId="5365E71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社会公众满意度</w:t>
            </w:r>
          </w:p>
        </w:tc>
        <w:tc>
          <w:tcPr>
            <w:tcW w:w="1209" w:type="dxa"/>
            <w:gridSpan w:val="2"/>
            <w:vAlign w:val="center"/>
          </w:tcPr>
          <w:p w14:paraId="073D6BD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r>
              <w:rPr>
                <w:rFonts w:hint="eastAsia" w:ascii="仿宋" w:hAnsi="仿宋" w:eastAsia="仿宋" w:cs="仿宋"/>
                <w:color w:val="000000"/>
                <w:kern w:val="0"/>
                <w:sz w:val="20"/>
                <w:szCs w:val="20"/>
              </w:rPr>
              <w:t>%</w:t>
            </w:r>
          </w:p>
        </w:tc>
        <w:tc>
          <w:tcPr>
            <w:tcW w:w="1134" w:type="dxa"/>
            <w:gridSpan w:val="2"/>
            <w:vAlign w:val="center"/>
          </w:tcPr>
          <w:p w14:paraId="127325D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97.117%</w:t>
            </w:r>
          </w:p>
        </w:tc>
        <w:tc>
          <w:tcPr>
            <w:tcW w:w="828" w:type="dxa"/>
            <w:gridSpan w:val="2"/>
            <w:vAlign w:val="center"/>
          </w:tcPr>
          <w:p w14:paraId="034D2DC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gridSpan w:val="2"/>
            <w:vAlign w:val="center"/>
          </w:tcPr>
          <w:p w14:paraId="6A8781B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gridSpan w:val="2"/>
            <w:vAlign w:val="center"/>
          </w:tcPr>
          <w:p w14:paraId="3EEBFA4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6C7FE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58" w:type="dxa"/>
          <w:trHeight w:val="340" w:hRule="atLeast"/>
          <w:jc w:val="center"/>
        </w:trPr>
        <w:tc>
          <w:tcPr>
            <w:tcW w:w="6732" w:type="dxa"/>
            <w:gridSpan w:val="11"/>
            <w:vAlign w:val="center"/>
          </w:tcPr>
          <w:p w14:paraId="4E3246D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gridSpan w:val="2"/>
            <w:vAlign w:val="center"/>
          </w:tcPr>
          <w:p w14:paraId="7A48AFD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gridSpan w:val="2"/>
            <w:vAlign w:val="center"/>
          </w:tcPr>
          <w:p w14:paraId="06F5A51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gridSpan w:val="2"/>
            <w:vAlign w:val="center"/>
          </w:tcPr>
          <w:p w14:paraId="5416AEC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2247AFC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14:paraId="3B2ACA4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pPr>
    </w:p>
    <w:p w14:paraId="5BCA8BD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附件2-10</w:t>
      </w:r>
    </w:p>
    <w:p w14:paraId="1FAB661D">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0DB07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Align w:val="center"/>
          </w:tcPr>
          <w:p w14:paraId="442FF5D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4A33859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vAlign w:val="center"/>
          </w:tcPr>
          <w:p w14:paraId="46A7145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市委政法委工作经费</w:t>
            </w:r>
          </w:p>
        </w:tc>
      </w:tr>
      <w:tr w14:paraId="55AB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14:paraId="2E674AB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14:paraId="6478F8C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155CE79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14:paraId="59916C0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中共怀化市委政法委员会</w:t>
            </w:r>
          </w:p>
        </w:tc>
      </w:tr>
      <w:tr w14:paraId="7B0C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14:paraId="46EC457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4EBE63F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vAlign w:val="center"/>
          </w:tcPr>
          <w:p w14:paraId="5092D3D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14:paraId="22EDD33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10145E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14:paraId="3C384B4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CE57C8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14:paraId="79FE1C1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7DD87D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14:paraId="31891A9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14:paraId="2364B6C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14:paraId="031F8E2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3FF9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201C93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17D512F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14:paraId="5158EED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0.00</w:t>
            </w:r>
          </w:p>
        </w:tc>
        <w:tc>
          <w:tcPr>
            <w:tcW w:w="1209" w:type="dxa"/>
            <w:vAlign w:val="center"/>
          </w:tcPr>
          <w:p w14:paraId="4B20C1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15.00</w:t>
            </w:r>
          </w:p>
        </w:tc>
        <w:tc>
          <w:tcPr>
            <w:tcW w:w="1134" w:type="dxa"/>
            <w:vAlign w:val="center"/>
          </w:tcPr>
          <w:p w14:paraId="4498DED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15.00</w:t>
            </w:r>
          </w:p>
        </w:tc>
        <w:tc>
          <w:tcPr>
            <w:tcW w:w="828" w:type="dxa"/>
            <w:vAlign w:val="center"/>
          </w:tcPr>
          <w:p w14:paraId="71C8A01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vAlign w:val="center"/>
          </w:tcPr>
          <w:p w14:paraId="4810C51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14:paraId="1E7C5A1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 xml:space="preserve">  10</w:t>
            </w:r>
          </w:p>
        </w:tc>
      </w:tr>
      <w:tr w14:paraId="3013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13E6B4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1796C49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14:paraId="4D12265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0.00</w:t>
            </w:r>
          </w:p>
        </w:tc>
        <w:tc>
          <w:tcPr>
            <w:tcW w:w="1209" w:type="dxa"/>
            <w:vAlign w:val="center"/>
          </w:tcPr>
          <w:p w14:paraId="3B1DF3E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15.00</w:t>
            </w:r>
          </w:p>
        </w:tc>
        <w:tc>
          <w:tcPr>
            <w:tcW w:w="1134" w:type="dxa"/>
            <w:vAlign w:val="center"/>
          </w:tcPr>
          <w:p w14:paraId="7D9D734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15.00</w:t>
            </w:r>
          </w:p>
        </w:tc>
        <w:tc>
          <w:tcPr>
            <w:tcW w:w="828" w:type="dxa"/>
            <w:vAlign w:val="center"/>
          </w:tcPr>
          <w:p w14:paraId="75D83CF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50742EE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64FC4EB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094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043D06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090DE4E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14:paraId="128B2EB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264D0F2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6DD8C55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5D3CEA5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50F35B9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249E53B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F7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14:paraId="2760539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58B7811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14:paraId="0944422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3D7AE31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11CA386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428CBE6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7B46FE6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25A77A7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AC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14:paraId="705B1BC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14:paraId="061B866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vAlign w:val="center"/>
          </w:tcPr>
          <w:p w14:paraId="1E185DE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B62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vAlign w:val="center"/>
          </w:tcPr>
          <w:p w14:paraId="69BF3A4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4518" w:type="dxa"/>
            <w:gridSpan w:val="4"/>
            <w:vAlign w:val="center"/>
          </w:tcPr>
          <w:p w14:paraId="30F4DB7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主要用于2023年全市政法系统学习贯彻党的二十大精神轮训班培训费及开展日常政法工作。</w:t>
            </w:r>
          </w:p>
          <w:p w14:paraId="3042CB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4253" w:type="dxa"/>
            <w:gridSpan w:val="4"/>
            <w:vAlign w:val="center"/>
          </w:tcPr>
          <w:p w14:paraId="57590AB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主要用于2023年全市政法系统学习贯彻党的二十大精神轮训班培训费及开展日常政法工作。</w:t>
            </w:r>
          </w:p>
          <w:p w14:paraId="288423A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2C5E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14:paraId="5A766CB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FF6961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6FADEF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23F1B7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14:paraId="399ECC7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14:paraId="2D86645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14:paraId="79BF4EE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14:paraId="1ADDE62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47BCBB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14:paraId="7523566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807B9E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14:paraId="4B1E8B3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14:paraId="43018AF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14:paraId="3D6CD96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05815C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30CA27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60F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38A4BFF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0CF11BF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77EA45D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vAlign w:val="center"/>
          </w:tcPr>
          <w:p w14:paraId="00F678A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14:paraId="5975595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培训人数</w:t>
            </w:r>
          </w:p>
        </w:tc>
        <w:tc>
          <w:tcPr>
            <w:tcW w:w="1209" w:type="dxa"/>
            <w:vAlign w:val="center"/>
          </w:tcPr>
          <w:p w14:paraId="335ECD5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263人</w:t>
            </w:r>
          </w:p>
        </w:tc>
        <w:tc>
          <w:tcPr>
            <w:tcW w:w="1134" w:type="dxa"/>
            <w:vAlign w:val="center"/>
          </w:tcPr>
          <w:p w14:paraId="5E7B3A6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263人</w:t>
            </w:r>
          </w:p>
        </w:tc>
        <w:tc>
          <w:tcPr>
            <w:tcW w:w="828" w:type="dxa"/>
            <w:vAlign w:val="center"/>
          </w:tcPr>
          <w:p w14:paraId="63F7A74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vAlign w:val="center"/>
          </w:tcPr>
          <w:p w14:paraId="737BFEB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14:paraId="0EB9ECE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33E73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5C21B4B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24B1BC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32E09B2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14:paraId="1CA4C8C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培训结业率</w:t>
            </w:r>
          </w:p>
        </w:tc>
        <w:tc>
          <w:tcPr>
            <w:tcW w:w="1209" w:type="dxa"/>
            <w:vAlign w:val="center"/>
          </w:tcPr>
          <w:p w14:paraId="0DA6C03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vAlign w:val="center"/>
          </w:tcPr>
          <w:p w14:paraId="0C3CD12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14:paraId="5C2387A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14:paraId="6398F16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14:paraId="65DAB56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65B6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6DD26A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755040A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3BCF411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14:paraId="70F10C5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完成及时率</w:t>
            </w:r>
          </w:p>
        </w:tc>
        <w:tc>
          <w:tcPr>
            <w:tcW w:w="1209" w:type="dxa"/>
            <w:vAlign w:val="center"/>
          </w:tcPr>
          <w:p w14:paraId="4F45231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1134" w:type="dxa"/>
            <w:vAlign w:val="center"/>
          </w:tcPr>
          <w:p w14:paraId="705DC26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828" w:type="dxa"/>
            <w:vAlign w:val="center"/>
          </w:tcPr>
          <w:p w14:paraId="5F486FB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6BB156C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5E82AF3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0BD3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5F5C98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46E7643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289B044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vAlign w:val="center"/>
          </w:tcPr>
          <w:p w14:paraId="4D0DF9D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成本控制</w:t>
            </w:r>
          </w:p>
        </w:tc>
        <w:tc>
          <w:tcPr>
            <w:tcW w:w="1209" w:type="dxa"/>
            <w:vAlign w:val="center"/>
          </w:tcPr>
          <w:p w14:paraId="21D23BA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≦15万</w:t>
            </w:r>
          </w:p>
        </w:tc>
        <w:tc>
          <w:tcPr>
            <w:tcW w:w="1134" w:type="dxa"/>
            <w:vAlign w:val="center"/>
          </w:tcPr>
          <w:p w14:paraId="2EFE4D0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≦15万</w:t>
            </w:r>
          </w:p>
        </w:tc>
        <w:tc>
          <w:tcPr>
            <w:tcW w:w="828" w:type="dxa"/>
            <w:vAlign w:val="center"/>
          </w:tcPr>
          <w:p w14:paraId="4124BB2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236522F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37018E0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p>
        </w:tc>
      </w:tr>
      <w:tr w14:paraId="0B38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C6B966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755E6A1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4BC5AB6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vAlign w:val="center"/>
          </w:tcPr>
          <w:p w14:paraId="0746678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111E28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5B8432A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23F29BE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55386AD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5291CAE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18D1369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4809543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566B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67F3478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286AE8C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4AFA392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ED85A6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2AA7511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提升履职能力</w:t>
            </w:r>
          </w:p>
        </w:tc>
        <w:tc>
          <w:tcPr>
            <w:tcW w:w="1209" w:type="dxa"/>
            <w:vAlign w:val="center"/>
          </w:tcPr>
          <w:p w14:paraId="2758EB5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1134" w:type="dxa"/>
            <w:vAlign w:val="center"/>
          </w:tcPr>
          <w:p w14:paraId="0C45AB6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828" w:type="dxa"/>
            <w:vAlign w:val="center"/>
          </w:tcPr>
          <w:p w14:paraId="519A4F5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30</w:t>
            </w:r>
          </w:p>
        </w:tc>
        <w:tc>
          <w:tcPr>
            <w:tcW w:w="873" w:type="dxa"/>
            <w:vAlign w:val="center"/>
          </w:tcPr>
          <w:p w14:paraId="56F9AED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30</w:t>
            </w:r>
          </w:p>
        </w:tc>
        <w:tc>
          <w:tcPr>
            <w:tcW w:w="1418" w:type="dxa"/>
            <w:vAlign w:val="center"/>
          </w:tcPr>
          <w:p w14:paraId="2E19D8B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11E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3395D5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0DF5D7A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5D8CF2F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BCB768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34D1064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3DA59E9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2D23EB9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763283A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124243A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3E38DC0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316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606E6F1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vMerge w:val="continue"/>
            <w:vAlign w:val="center"/>
          </w:tcPr>
          <w:p w14:paraId="44DD106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32CD71A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14:paraId="0D16DA9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70C5C36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031F7B9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4744DD2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1596195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72607DD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9CA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10D66E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70C8C67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E2C1AE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D9CE97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vAlign w:val="center"/>
          </w:tcPr>
          <w:p w14:paraId="13DFD6E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14:paraId="69F1F6D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培训人员满意度</w:t>
            </w:r>
          </w:p>
        </w:tc>
        <w:tc>
          <w:tcPr>
            <w:tcW w:w="1209" w:type="dxa"/>
            <w:vAlign w:val="center"/>
          </w:tcPr>
          <w:p w14:paraId="383EA44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r>
              <w:rPr>
                <w:rFonts w:hint="eastAsia" w:ascii="仿宋" w:hAnsi="仿宋" w:eastAsia="仿宋" w:cs="仿宋"/>
                <w:color w:val="000000"/>
                <w:kern w:val="0"/>
                <w:sz w:val="20"/>
                <w:szCs w:val="20"/>
              </w:rPr>
              <w:t>%</w:t>
            </w:r>
          </w:p>
        </w:tc>
        <w:tc>
          <w:tcPr>
            <w:tcW w:w="1134" w:type="dxa"/>
            <w:vAlign w:val="center"/>
          </w:tcPr>
          <w:p w14:paraId="1BB8C97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828" w:type="dxa"/>
            <w:vAlign w:val="center"/>
          </w:tcPr>
          <w:p w14:paraId="0F1B3BF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4F6D184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114670C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DBE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14:paraId="1023349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14:paraId="3F80872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14:paraId="261F0DA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14:paraId="488AE8E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981FCD7">
      <w:pPr>
        <w:widowControl w:val="0"/>
        <w:shd w:val="clear"/>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p>
    <w:p w14:paraId="5669700F">
      <w:pPr>
        <w:widowControl w:val="0"/>
        <w:shd w:val="clear"/>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14:paraId="18C0919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000000"/>
          <w:spacing w:val="0"/>
          <w:sz w:val="20"/>
          <w:szCs w:val="20"/>
          <w:shd w:val="clear" w:fill="FFFFFF"/>
          <w:lang w:val="en-US" w:eastAsia="zh-CN"/>
        </w:rPr>
      </w:pPr>
      <w:r>
        <w:rPr>
          <w:rFonts w:hint="eastAsia" w:ascii="方正小标宋_GBK" w:hAnsi="方正小标宋_GBK" w:eastAsia="方正小标宋_GBK" w:cs="方正小标宋_GBK"/>
          <w:i w:val="0"/>
          <w:iCs w:val="0"/>
          <w:caps w:val="0"/>
          <w:color w:val="000000"/>
          <w:spacing w:val="0"/>
          <w:sz w:val="20"/>
          <w:szCs w:val="20"/>
          <w:shd w:val="clear" w:fill="FFFFFF"/>
          <w:lang w:val="en-US" w:eastAsia="zh-CN"/>
        </w:rPr>
        <w:t>附件2-11</w:t>
      </w:r>
    </w:p>
    <w:p w14:paraId="0B099F4D">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52D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Align w:val="center"/>
          </w:tcPr>
          <w:p w14:paraId="3A712F6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w:t>
            </w:r>
          </w:p>
          <w:p w14:paraId="593FAA9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出名称</w:t>
            </w:r>
          </w:p>
        </w:tc>
        <w:tc>
          <w:tcPr>
            <w:tcW w:w="8771" w:type="dxa"/>
            <w:gridSpan w:val="8"/>
            <w:vAlign w:val="center"/>
          </w:tcPr>
          <w:p w14:paraId="7019477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市域社会治理智能化综合平台建设运维费</w:t>
            </w:r>
          </w:p>
        </w:tc>
      </w:tr>
      <w:tr w14:paraId="002D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Align w:val="center"/>
          </w:tcPr>
          <w:p w14:paraId="3764BA6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vAlign w:val="center"/>
          </w:tcPr>
          <w:p w14:paraId="61BABAF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2FFC12D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vAlign w:val="center"/>
          </w:tcPr>
          <w:p w14:paraId="56145AF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中共怀化市委政法委员会</w:t>
            </w:r>
          </w:p>
        </w:tc>
      </w:tr>
      <w:tr w14:paraId="57B1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vAlign w:val="center"/>
          </w:tcPr>
          <w:p w14:paraId="715FAF4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项目资金</w:t>
            </w:r>
          </w:p>
          <w:p w14:paraId="03BFD51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60" w:type="dxa"/>
            <w:gridSpan w:val="2"/>
            <w:vAlign w:val="center"/>
          </w:tcPr>
          <w:p w14:paraId="630BF5A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vAlign w:val="center"/>
          </w:tcPr>
          <w:p w14:paraId="4160C3E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02E095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vAlign w:val="center"/>
          </w:tcPr>
          <w:p w14:paraId="638812E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2BCFB6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vAlign w:val="center"/>
          </w:tcPr>
          <w:p w14:paraId="3DEE740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0AF4EE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vAlign w:val="center"/>
          </w:tcPr>
          <w:p w14:paraId="2C1EE7A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vAlign w:val="center"/>
          </w:tcPr>
          <w:p w14:paraId="025010E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vAlign w:val="center"/>
          </w:tcPr>
          <w:p w14:paraId="395E71D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875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236EAFA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2EAA3EC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vAlign w:val="center"/>
          </w:tcPr>
          <w:p w14:paraId="6C74189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0.00</w:t>
            </w:r>
          </w:p>
        </w:tc>
        <w:tc>
          <w:tcPr>
            <w:tcW w:w="1209" w:type="dxa"/>
            <w:vAlign w:val="center"/>
          </w:tcPr>
          <w:p w14:paraId="0518DEF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10.20</w:t>
            </w:r>
          </w:p>
        </w:tc>
        <w:tc>
          <w:tcPr>
            <w:tcW w:w="1134" w:type="dxa"/>
            <w:vAlign w:val="center"/>
          </w:tcPr>
          <w:p w14:paraId="3DEEE58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10.20</w:t>
            </w:r>
          </w:p>
        </w:tc>
        <w:tc>
          <w:tcPr>
            <w:tcW w:w="828" w:type="dxa"/>
            <w:vAlign w:val="center"/>
          </w:tcPr>
          <w:p w14:paraId="1F742DB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vAlign w:val="center"/>
          </w:tcPr>
          <w:p w14:paraId="2030A60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14:paraId="29AA439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 xml:space="preserve">  10</w:t>
            </w:r>
          </w:p>
        </w:tc>
      </w:tr>
      <w:tr w14:paraId="1BE6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B2218A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7D3F694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vAlign w:val="center"/>
          </w:tcPr>
          <w:p w14:paraId="2FFD00D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0.00</w:t>
            </w:r>
          </w:p>
        </w:tc>
        <w:tc>
          <w:tcPr>
            <w:tcW w:w="1209" w:type="dxa"/>
            <w:vAlign w:val="center"/>
          </w:tcPr>
          <w:p w14:paraId="00D2E8B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10.20</w:t>
            </w:r>
          </w:p>
        </w:tc>
        <w:tc>
          <w:tcPr>
            <w:tcW w:w="1134" w:type="dxa"/>
            <w:vAlign w:val="center"/>
          </w:tcPr>
          <w:p w14:paraId="3D43982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10.20</w:t>
            </w:r>
          </w:p>
        </w:tc>
        <w:tc>
          <w:tcPr>
            <w:tcW w:w="828" w:type="dxa"/>
            <w:vAlign w:val="center"/>
          </w:tcPr>
          <w:p w14:paraId="39A016D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65055E5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46AA21C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5DA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18B39E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4DFAD86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vAlign w:val="center"/>
          </w:tcPr>
          <w:p w14:paraId="0519999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209" w:type="dxa"/>
            <w:vAlign w:val="center"/>
          </w:tcPr>
          <w:p w14:paraId="54A35C3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50174ED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2D9FEB6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1D981DC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24D7AF0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F8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vAlign w:val="center"/>
          </w:tcPr>
          <w:p w14:paraId="74D3516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2160" w:type="dxa"/>
            <w:gridSpan w:val="2"/>
            <w:vAlign w:val="center"/>
          </w:tcPr>
          <w:p w14:paraId="6A6B273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vAlign w:val="center"/>
          </w:tcPr>
          <w:p w14:paraId="209F2B3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vAlign w:val="center"/>
          </w:tcPr>
          <w:p w14:paraId="7931B7E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vAlign w:val="center"/>
          </w:tcPr>
          <w:p w14:paraId="544EB59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vAlign w:val="center"/>
          </w:tcPr>
          <w:p w14:paraId="45C8C31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vAlign w:val="center"/>
          </w:tcPr>
          <w:p w14:paraId="2E6D7F7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vAlign w:val="center"/>
          </w:tcPr>
          <w:p w14:paraId="752E86C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10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vAlign w:val="center"/>
          </w:tcPr>
          <w:p w14:paraId="04E2F50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vAlign w:val="center"/>
          </w:tcPr>
          <w:p w14:paraId="4D594F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vAlign w:val="center"/>
          </w:tcPr>
          <w:p w14:paraId="39DE2EA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543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080" w:type="dxa"/>
            <w:vMerge w:val="continue"/>
            <w:vAlign w:val="center"/>
          </w:tcPr>
          <w:p w14:paraId="467FE32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4518" w:type="dxa"/>
            <w:gridSpan w:val="4"/>
            <w:vAlign w:val="center"/>
          </w:tcPr>
          <w:p w14:paraId="2EBB09C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p>
          <w:p w14:paraId="2907002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用于市域社会治理信息化智能平台及指挥大厅信息化建设项目及相关运维费。</w:t>
            </w:r>
          </w:p>
          <w:p w14:paraId="3C8CB79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 w:hAnsi="仿宋" w:eastAsia="仿宋" w:cs="仿宋"/>
                <w:color w:val="000000"/>
                <w:kern w:val="0"/>
                <w:sz w:val="20"/>
                <w:szCs w:val="20"/>
              </w:rPr>
            </w:pPr>
          </w:p>
        </w:tc>
        <w:tc>
          <w:tcPr>
            <w:tcW w:w="4253" w:type="dxa"/>
            <w:gridSpan w:val="4"/>
            <w:vAlign w:val="center"/>
          </w:tcPr>
          <w:p w14:paraId="6FF3C00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 xml:space="preserve">用于市域社会治理信息化智能平台及指挥大厅信息化建设项目及相关运维费。 </w:t>
            </w:r>
          </w:p>
        </w:tc>
      </w:tr>
      <w:tr w14:paraId="2614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vAlign w:val="center"/>
          </w:tcPr>
          <w:p w14:paraId="256B6C2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7E3BD38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3405BE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B14FA8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vAlign w:val="center"/>
          </w:tcPr>
          <w:p w14:paraId="1DE0A68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vAlign w:val="center"/>
          </w:tcPr>
          <w:p w14:paraId="5926496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vAlign w:val="center"/>
          </w:tcPr>
          <w:p w14:paraId="54178FC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vAlign w:val="center"/>
          </w:tcPr>
          <w:p w14:paraId="1F6F030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2DCC28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vAlign w:val="center"/>
          </w:tcPr>
          <w:p w14:paraId="200B9F4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11EF93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vAlign w:val="center"/>
          </w:tcPr>
          <w:p w14:paraId="1FDD8E3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vAlign w:val="center"/>
          </w:tcPr>
          <w:p w14:paraId="09EA7B4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vAlign w:val="center"/>
          </w:tcPr>
          <w:p w14:paraId="37EE648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AFB41B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824528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FB8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40583E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46A2C79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CCB260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r>
              <w:rPr>
                <w:rFonts w:hint="eastAsia" w:ascii="仿宋" w:hAnsi="仿宋" w:eastAsia="仿宋" w:cs="仿宋"/>
                <w:color w:val="000000"/>
                <w:kern w:val="0"/>
                <w:sz w:val="20"/>
                <w:szCs w:val="20"/>
                <w:lang w:eastAsia="zh-CN"/>
              </w:rPr>
              <w:t>）</w:t>
            </w:r>
          </w:p>
        </w:tc>
        <w:tc>
          <w:tcPr>
            <w:tcW w:w="1080" w:type="dxa"/>
            <w:vAlign w:val="center"/>
          </w:tcPr>
          <w:p w14:paraId="193668F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vAlign w:val="center"/>
          </w:tcPr>
          <w:p w14:paraId="5828A6B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怀化市域社会治理智能化综合平台及指挥大厅信息化建设服务项目</w:t>
            </w:r>
          </w:p>
        </w:tc>
        <w:tc>
          <w:tcPr>
            <w:tcW w:w="1209" w:type="dxa"/>
            <w:vAlign w:val="center"/>
          </w:tcPr>
          <w:p w14:paraId="3C5210A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1个</w:t>
            </w:r>
          </w:p>
        </w:tc>
        <w:tc>
          <w:tcPr>
            <w:tcW w:w="1134" w:type="dxa"/>
            <w:vAlign w:val="center"/>
          </w:tcPr>
          <w:p w14:paraId="7EF8DF3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1个</w:t>
            </w:r>
          </w:p>
        </w:tc>
        <w:tc>
          <w:tcPr>
            <w:tcW w:w="828" w:type="dxa"/>
            <w:vAlign w:val="center"/>
          </w:tcPr>
          <w:p w14:paraId="3D27A61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vAlign w:val="center"/>
          </w:tcPr>
          <w:p w14:paraId="7811A66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vAlign w:val="center"/>
          </w:tcPr>
          <w:p w14:paraId="42A0A6F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7FC0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36C264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024D40F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38BEF4A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vAlign w:val="center"/>
          </w:tcPr>
          <w:p w14:paraId="6DFCF4E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项目验收合格率</w:t>
            </w:r>
          </w:p>
        </w:tc>
        <w:tc>
          <w:tcPr>
            <w:tcW w:w="1209" w:type="dxa"/>
            <w:vAlign w:val="center"/>
          </w:tcPr>
          <w:p w14:paraId="0FB6AD2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vAlign w:val="center"/>
          </w:tcPr>
          <w:p w14:paraId="78D3878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vAlign w:val="center"/>
          </w:tcPr>
          <w:p w14:paraId="7B768E5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vAlign w:val="center"/>
          </w:tcPr>
          <w:p w14:paraId="363CF71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15</w:t>
            </w:r>
          </w:p>
        </w:tc>
        <w:tc>
          <w:tcPr>
            <w:tcW w:w="1418" w:type="dxa"/>
            <w:vAlign w:val="center"/>
          </w:tcPr>
          <w:p w14:paraId="751B295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46DF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6B21CD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2D6A803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7B92800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vAlign w:val="center"/>
          </w:tcPr>
          <w:p w14:paraId="3ADC966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完成及时率</w:t>
            </w:r>
          </w:p>
        </w:tc>
        <w:tc>
          <w:tcPr>
            <w:tcW w:w="1209" w:type="dxa"/>
            <w:vAlign w:val="center"/>
          </w:tcPr>
          <w:p w14:paraId="786A9DC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1134" w:type="dxa"/>
            <w:vAlign w:val="center"/>
          </w:tcPr>
          <w:p w14:paraId="6A48DA3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2023年12月之前完成</w:t>
            </w:r>
          </w:p>
        </w:tc>
        <w:tc>
          <w:tcPr>
            <w:tcW w:w="828" w:type="dxa"/>
            <w:vAlign w:val="center"/>
          </w:tcPr>
          <w:p w14:paraId="02076AC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2DB4505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398C966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0A51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7E68F01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00FAA24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2ED6361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成本指标</w:t>
            </w:r>
          </w:p>
        </w:tc>
        <w:tc>
          <w:tcPr>
            <w:tcW w:w="1149" w:type="dxa"/>
            <w:vAlign w:val="center"/>
          </w:tcPr>
          <w:p w14:paraId="22F71B1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成本控制</w:t>
            </w:r>
          </w:p>
        </w:tc>
        <w:tc>
          <w:tcPr>
            <w:tcW w:w="1209" w:type="dxa"/>
            <w:vAlign w:val="center"/>
          </w:tcPr>
          <w:p w14:paraId="3F7E1CE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≦10.20万</w:t>
            </w:r>
          </w:p>
        </w:tc>
        <w:tc>
          <w:tcPr>
            <w:tcW w:w="1134" w:type="dxa"/>
            <w:vAlign w:val="center"/>
          </w:tcPr>
          <w:p w14:paraId="6129D1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≦10.20万</w:t>
            </w:r>
          </w:p>
        </w:tc>
        <w:tc>
          <w:tcPr>
            <w:tcW w:w="828" w:type="dxa"/>
            <w:vAlign w:val="center"/>
          </w:tcPr>
          <w:p w14:paraId="28C971E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5419DDA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5BEE0FA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69CF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8C8E4C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restart"/>
            <w:vAlign w:val="center"/>
          </w:tcPr>
          <w:p w14:paraId="15AFCE5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4751A9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80" w:type="dxa"/>
            <w:vAlign w:val="center"/>
          </w:tcPr>
          <w:p w14:paraId="4E173C8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82A580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6DAD0C8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3B0680F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293D90F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75F422D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137BC4B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33ACFCF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57DB5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489F91A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326C833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6AB308F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3702C8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23217F1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推进我市综治中心信息化建设，提升基层社会治理水平</w:t>
            </w:r>
          </w:p>
        </w:tc>
        <w:tc>
          <w:tcPr>
            <w:tcW w:w="1209" w:type="dxa"/>
            <w:vAlign w:val="center"/>
          </w:tcPr>
          <w:p w14:paraId="7E77B79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1134" w:type="dxa"/>
            <w:vAlign w:val="center"/>
          </w:tcPr>
          <w:p w14:paraId="3A3ED79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828" w:type="dxa"/>
            <w:vAlign w:val="center"/>
          </w:tcPr>
          <w:p w14:paraId="02A0854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30</w:t>
            </w:r>
          </w:p>
        </w:tc>
        <w:tc>
          <w:tcPr>
            <w:tcW w:w="873" w:type="dxa"/>
            <w:vAlign w:val="center"/>
          </w:tcPr>
          <w:p w14:paraId="1E4B2EA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30</w:t>
            </w:r>
          </w:p>
        </w:tc>
        <w:tc>
          <w:tcPr>
            <w:tcW w:w="1418" w:type="dxa"/>
            <w:vAlign w:val="center"/>
          </w:tcPr>
          <w:p w14:paraId="6F04F37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6DE2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0E9809B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Merge w:val="continue"/>
            <w:vAlign w:val="center"/>
          </w:tcPr>
          <w:p w14:paraId="4DFE421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271CC26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00DC50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vAlign w:val="center"/>
          </w:tcPr>
          <w:p w14:paraId="6E85281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7090836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7585668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04FF3D1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1E77ED7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2A4ABD2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29DE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1C19150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080" w:type="dxa"/>
            <w:vMerge w:val="continue"/>
            <w:vAlign w:val="center"/>
          </w:tcPr>
          <w:p w14:paraId="0357224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1B59452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vAlign w:val="center"/>
          </w:tcPr>
          <w:p w14:paraId="1A8A0EF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vAlign w:val="center"/>
          </w:tcPr>
          <w:p w14:paraId="727F56A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134" w:type="dxa"/>
            <w:vAlign w:val="center"/>
          </w:tcPr>
          <w:p w14:paraId="42521D5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28" w:type="dxa"/>
            <w:vAlign w:val="center"/>
          </w:tcPr>
          <w:p w14:paraId="6734CD0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873" w:type="dxa"/>
            <w:vAlign w:val="center"/>
          </w:tcPr>
          <w:p w14:paraId="57987D7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c>
          <w:tcPr>
            <w:tcW w:w="1418" w:type="dxa"/>
            <w:vAlign w:val="center"/>
          </w:tcPr>
          <w:p w14:paraId="6687502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5CD6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vAlign w:val="center"/>
          </w:tcPr>
          <w:p w14:paraId="3B922FC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p>
        </w:tc>
        <w:tc>
          <w:tcPr>
            <w:tcW w:w="1080" w:type="dxa"/>
            <w:vAlign w:val="center"/>
          </w:tcPr>
          <w:p w14:paraId="2EF6466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7100B2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45A5F6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80" w:type="dxa"/>
            <w:vAlign w:val="center"/>
          </w:tcPr>
          <w:p w14:paraId="7D9D3E3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vAlign w:val="center"/>
          </w:tcPr>
          <w:p w14:paraId="4C38F9D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使用人员满意度</w:t>
            </w:r>
          </w:p>
        </w:tc>
        <w:tc>
          <w:tcPr>
            <w:tcW w:w="1209" w:type="dxa"/>
            <w:vAlign w:val="center"/>
          </w:tcPr>
          <w:p w14:paraId="73F8C3B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r>
              <w:rPr>
                <w:rFonts w:hint="eastAsia" w:ascii="仿宋" w:hAnsi="仿宋" w:eastAsia="仿宋" w:cs="仿宋"/>
                <w:color w:val="000000"/>
                <w:kern w:val="0"/>
                <w:sz w:val="20"/>
                <w:szCs w:val="20"/>
              </w:rPr>
              <w:t>%</w:t>
            </w:r>
          </w:p>
        </w:tc>
        <w:tc>
          <w:tcPr>
            <w:tcW w:w="1134" w:type="dxa"/>
            <w:vAlign w:val="center"/>
          </w:tcPr>
          <w:p w14:paraId="0848D03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828" w:type="dxa"/>
            <w:vAlign w:val="center"/>
          </w:tcPr>
          <w:p w14:paraId="3F31B82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vAlign w:val="center"/>
          </w:tcPr>
          <w:p w14:paraId="167E53D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vAlign w:val="center"/>
          </w:tcPr>
          <w:p w14:paraId="50460F4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p>
        </w:tc>
      </w:tr>
      <w:tr w14:paraId="2FAFE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vAlign w:val="center"/>
          </w:tcPr>
          <w:p w14:paraId="38E29B7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vAlign w:val="center"/>
          </w:tcPr>
          <w:p w14:paraId="752E1C7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vAlign w:val="center"/>
          </w:tcPr>
          <w:p w14:paraId="424EC5E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vAlign w:val="center"/>
          </w:tcPr>
          <w:p w14:paraId="4B213BC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80" w:lineRule="exact"/>
              <w:ind w:left="0" w:right="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59E87902">
      <w:pPr>
        <w:widowControl w:val="0"/>
        <w:shd w:val="clear"/>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1983C8F8">
      <w:pPr>
        <w:widowControl w:val="0"/>
        <w:shd w:val="clear"/>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bookmarkEnd w:id="28"/>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CAFBB11-4707-4338-8D9F-E6DF09546F6B}"/>
  </w:font>
  <w:font w:name="Calibri Light">
    <w:panose1 w:val="020F0302020204030204"/>
    <w:charset w:val="00"/>
    <w:family w:val="auto"/>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D369915F-5CCE-4FFB-9163-B7991EFF5F85}"/>
  </w:font>
  <w:font w:name="仿宋_GB2312">
    <w:panose1 w:val="02010609030101010101"/>
    <w:charset w:val="86"/>
    <w:family w:val="auto"/>
    <w:pitch w:val="default"/>
    <w:sig w:usb0="00000001" w:usb1="080E0000" w:usb2="00000000" w:usb3="00000000" w:csb0="00040000" w:csb1="00000000"/>
    <w:embedRegular r:id="rId3" w:fontKey="{57F8DD70-83D0-4AD0-9656-29F103B2B576}"/>
  </w:font>
  <w:font w:name="仿宋">
    <w:panose1 w:val="02010609060101010101"/>
    <w:charset w:val="86"/>
    <w:family w:val="auto"/>
    <w:pitch w:val="default"/>
    <w:sig w:usb0="800002BF" w:usb1="38CF7CFA" w:usb2="00000016" w:usb3="00000000" w:csb0="00040001" w:csb1="00000000"/>
    <w:embedRegular r:id="rId4" w:fontKey="{A37C0997-E1E2-4BB8-8C32-3683080751F7}"/>
  </w:font>
  <w:font w:name="方正小标宋简体">
    <w:panose1 w:val="02000000000000000000"/>
    <w:charset w:val="86"/>
    <w:family w:val="auto"/>
    <w:pitch w:val="default"/>
    <w:sig w:usb0="00000001" w:usb1="08000000" w:usb2="00000000" w:usb3="00000000" w:csb0="00040000" w:csb1="00000000"/>
    <w:embedRegular r:id="rId5" w:fontKey="{649FFC63-0910-4F50-9958-D007240EE4FE}"/>
  </w:font>
  <w:font w:name="方正仿宋_GB2312">
    <w:panose1 w:val="02000000000000000000"/>
    <w:charset w:val="86"/>
    <w:family w:val="auto"/>
    <w:pitch w:val="default"/>
    <w:sig w:usb0="A00002BF" w:usb1="184F6CFA" w:usb2="00000012" w:usb3="00000000" w:csb0="00040001" w:csb1="00000000"/>
    <w:embedRegular r:id="rId6" w:fontKey="{92EBE8FC-368C-4DA4-96FF-36E602865A66}"/>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2EF5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0C6F31">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70C6F31">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171127"/>
    <w:multiLevelType w:val="singleLevel"/>
    <w:tmpl w:val="EE17112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zNDQ1Yjc4NjMyZDJjNTFjZDUwZmM2MDc5M2QzNGQifQ=="/>
    <w:docVar w:name="KSO_WPS_MARK_KEY" w:val="9920a277-c0c3-43b4-93d3-1636fe398e0b"/>
  </w:docVars>
  <w:rsids>
    <w:rsidRoot w:val="753C4E9B"/>
    <w:rsid w:val="000A3DFB"/>
    <w:rsid w:val="00425F2F"/>
    <w:rsid w:val="005E2EE5"/>
    <w:rsid w:val="00C621A8"/>
    <w:rsid w:val="00D40618"/>
    <w:rsid w:val="00EA5B16"/>
    <w:rsid w:val="01417220"/>
    <w:rsid w:val="01443272"/>
    <w:rsid w:val="01E649D0"/>
    <w:rsid w:val="0211131F"/>
    <w:rsid w:val="04266270"/>
    <w:rsid w:val="043C7D65"/>
    <w:rsid w:val="04415D9F"/>
    <w:rsid w:val="04932CE9"/>
    <w:rsid w:val="051D10A1"/>
    <w:rsid w:val="05295CAB"/>
    <w:rsid w:val="05544226"/>
    <w:rsid w:val="05E95AA6"/>
    <w:rsid w:val="063127B9"/>
    <w:rsid w:val="06C4362D"/>
    <w:rsid w:val="072179AE"/>
    <w:rsid w:val="07717112"/>
    <w:rsid w:val="07E01DA1"/>
    <w:rsid w:val="08412ED0"/>
    <w:rsid w:val="084E1B03"/>
    <w:rsid w:val="08777DF5"/>
    <w:rsid w:val="08DF64FD"/>
    <w:rsid w:val="09005B6B"/>
    <w:rsid w:val="09534DB4"/>
    <w:rsid w:val="0A2618DC"/>
    <w:rsid w:val="0AAB4E77"/>
    <w:rsid w:val="0B2202CC"/>
    <w:rsid w:val="0B807A1E"/>
    <w:rsid w:val="0BD654AC"/>
    <w:rsid w:val="0C180A78"/>
    <w:rsid w:val="0C33676B"/>
    <w:rsid w:val="0C64718F"/>
    <w:rsid w:val="0CF307C8"/>
    <w:rsid w:val="0D1A6144"/>
    <w:rsid w:val="0D276746"/>
    <w:rsid w:val="0D464D9C"/>
    <w:rsid w:val="0D556C06"/>
    <w:rsid w:val="0DC47A64"/>
    <w:rsid w:val="0DCF5988"/>
    <w:rsid w:val="0DD52794"/>
    <w:rsid w:val="0E236477"/>
    <w:rsid w:val="0E956870"/>
    <w:rsid w:val="0E961AD2"/>
    <w:rsid w:val="0EBA5F4D"/>
    <w:rsid w:val="0EC96259"/>
    <w:rsid w:val="0EE92B42"/>
    <w:rsid w:val="0EF27DB5"/>
    <w:rsid w:val="101E3DAE"/>
    <w:rsid w:val="10B94EE6"/>
    <w:rsid w:val="10C666A5"/>
    <w:rsid w:val="11174748"/>
    <w:rsid w:val="1223366A"/>
    <w:rsid w:val="1226151D"/>
    <w:rsid w:val="124F158A"/>
    <w:rsid w:val="125A383C"/>
    <w:rsid w:val="126E4E13"/>
    <w:rsid w:val="130A5A58"/>
    <w:rsid w:val="13622B29"/>
    <w:rsid w:val="13EE1299"/>
    <w:rsid w:val="13F547F1"/>
    <w:rsid w:val="14034F9D"/>
    <w:rsid w:val="140A5F87"/>
    <w:rsid w:val="143877FD"/>
    <w:rsid w:val="152E2E52"/>
    <w:rsid w:val="15A0411F"/>
    <w:rsid w:val="15B3251A"/>
    <w:rsid w:val="16261E9D"/>
    <w:rsid w:val="1694148D"/>
    <w:rsid w:val="16F5412F"/>
    <w:rsid w:val="16F70EB5"/>
    <w:rsid w:val="17A27073"/>
    <w:rsid w:val="181E1E0A"/>
    <w:rsid w:val="189F4ED8"/>
    <w:rsid w:val="196A1E12"/>
    <w:rsid w:val="19A8293B"/>
    <w:rsid w:val="19E805B2"/>
    <w:rsid w:val="19F96131"/>
    <w:rsid w:val="1A4733CC"/>
    <w:rsid w:val="1ADF110A"/>
    <w:rsid w:val="1B1863C8"/>
    <w:rsid w:val="1BC4281F"/>
    <w:rsid w:val="1CC96E50"/>
    <w:rsid w:val="1D1936D3"/>
    <w:rsid w:val="1D2624ED"/>
    <w:rsid w:val="1D65623B"/>
    <w:rsid w:val="1DAC67F4"/>
    <w:rsid w:val="1DE33BF5"/>
    <w:rsid w:val="1F330EF8"/>
    <w:rsid w:val="1F475ADA"/>
    <w:rsid w:val="1F5050A3"/>
    <w:rsid w:val="21AE65AC"/>
    <w:rsid w:val="21CE54A8"/>
    <w:rsid w:val="21F158DA"/>
    <w:rsid w:val="221B6B56"/>
    <w:rsid w:val="22277108"/>
    <w:rsid w:val="2248406E"/>
    <w:rsid w:val="2253637F"/>
    <w:rsid w:val="226F2F40"/>
    <w:rsid w:val="22941CAE"/>
    <w:rsid w:val="22FE234B"/>
    <w:rsid w:val="235174E0"/>
    <w:rsid w:val="23C742D1"/>
    <w:rsid w:val="23D50E86"/>
    <w:rsid w:val="24303C58"/>
    <w:rsid w:val="246A0F18"/>
    <w:rsid w:val="246F7B47"/>
    <w:rsid w:val="24C74348"/>
    <w:rsid w:val="25140591"/>
    <w:rsid w:val="25DD03A3"/>
    <w:rsid w:val="25E2589B"/>
    <w:rsid w:val="26447E8B"/>
    <w:rsid w:val="27312F70"/>
    <w:rsid w:val="276331E9"/>
    <w:rsid w:val="277E6F02"/>
    <w:rsid w:val="27914A67"/>
    <w:rsid w:val="27F82B28"/>
    <w:rsid w:val="28103181"/>
    <w:rsid w:val="28A63458"/>
    <w:rsid w:val="29142AD6"/>
    <w:rsid w:val="29990575"/>
    <w:rsid w:val="29DE3A70"/>
    <w:rsid w:val="2A360FB4"/>
    <w:rsid w:val="2A9C2048"/>
    <w:rsid w:val="2ABE5B1A"/>
    <w:rsid w:val="2AF6742D"/>
    <w:rsid w:val="2B116592"/>
    <w:rsid w:val="2BB07236"/>
    <w:rsid w:val="2C956D4E"/>
    <w:rsid w:val="2CC96189"/>
    <w:rsid w:val="2CD755B9"/>
    <w:rsid w:val="2D0042B6"/>
    <w:rsid w:val="2D087BA9"/>
    <w:rsid w:val="2D107980"/>
    <w:rsid w:val="2D347366"/>
    <w:rsid w:val="2DCD5441"/>
    <w:rsid w:val="2E1D524D"/>
    <w:rsid w:val="2E833798"/>
    <w:rsid w:val="2EB25826"/>
    <w:rsid w:val="2F2A7C22"/>
    <w:rsid w:val="2F831F8D"/>
    <w:rsid w:val="304A60A2"/>
    <w:rsid w:val="3095731D"/>
    <w:rsid w:val="30D75B88"/>
    <w:rsid w:val="312A2265"/>
    <w:rsid w:val="31CA25E6"/>
    <w:rsid w:val="31FE605D"/>
    <w:rsid w:val="3346689B"/>
    <w:rsid w:val="33A531C1"/>
    <w:rsid w:val="347167DA"/>
    <w:rsid w:val="349800F1"/>
    <w:rsid w:val="35B95A95"/>
    <w:rsid w:val="35C753B2"/>
    <w:rsid w:val="35CD00FC"/>
    <w:rsid w:val="36292550"/>
    <w:rsid w:val="367479D5"/>
    <w:rsid w:val="36C531A3"/>
    <w:rsid w:val="36FC0F5D"/>
    <w:rsid w:val="375773F8"/>
    <w:rsid w:val="37801D73"/>
    <w:rsid w:val="380031FC"/>
    <w:rsid w:val="387F6226"/>
    <w:rsid w:val="39306474"/>
    <w:rsid w:val="393E32BB"/>
    <w:rsid w:val="3A241712"/>
    <w:rsid w:val="3B407AED"/>
    <w:rsid w:val="3B7D4761"/>
    <w:rsid w:val="3BA11481"/>
    <w:rsid w:val="3C1909E1"/>
    <w:rsid w:val="3C467920"/>
    <w:rsid w:val="3CD02CC9"/>
    <w:rsid w:val="3CD13DD3"/>
    <w:rsid w:val="3D113ED7"/>
    <w:rsid w:val="3D605266"/>
    <w:rsid w:val="3E1D3D47"/>
    <w:rsid w:val="3EBE4C76"/>
    <w:rsid w:val="40F000F5"/>
    <w:rsid w:val="41084B93"/>
    <w:rsid w:val="414E058B"/>
    <w:rsid w:val="419B2857"/>
    <w:rsid w:val="41C93703"/>
    <w:rsid w:val="41D71DA8"/>
    <w:rsid w:val="4226002E"/>
    <w:rsid w:val="423730B9"/>
    <w:rsid w:val="4243519E"/>
    <w:rsid w:val="43023496"/>
    <w:rsid w:val="431729F4"/>
    <w:rsid w:val="4423428D"/>
    <w:rsid w:val="44C25EFE"/>
    <w:rsid w:val="4537567F"/>
    <w:rsid w:val="45BC4C38"/>
    <w:rsid w:val="45CB0151"/>
    <w:rsid w:val="45E10565"/>
    <w:rsid w:val="46631D60"/>
    <w:rsid w:val="47E64A97"/>
    <w:rsid w:val="4921613E"/>
    <w:rsid w:val="494E51AB"/>
    <w:rsid w:val="495E337B"/>
    <w:rsid w:val="49A12E86"/>
    <w:rsid w:val="4A414007"/>
    <w:rsid w:val="4A925863"/>
    <w:rsid w:val="4B1F4291"/>
    <w:rsid w:val="4B744588"/>
    <w:rsid w:val="4C6611ED"/>
    <w:rsid w:val="4CBD7F93"/>
    <w:rsid w:val="4D225F85"/>
    <w:rsid w:val="4D293ACC"/>
    <w:rsid w:val="4E185D82"/>
    <w:rsid w:val="4E206AF8"/>
    <w:rsid w:val="4E881E17"/>
    <w:rsid w:val="4F102A1D"/>
    <w:rsid w:val="4F4F1C96"/>
    <w:rsid w:val="507D04AC"/>
    <w:rsid w:val="50FC7607"/>
    <w:rsid w:val="51F87992"/>
    <w:rsid w:val="5234212E"/>
    <w:rsid w:val="52650AF7"/>
    <w:rsid w:val="531836DA"/>
    <w:rsid w:val="549F1C75"/>
    <w:rsid w:val="552A0475"/>
    <w:rsid w:val="556028E8"/>
    <w:rsid w:val="55D968F4"/>
    <w:rsid w:val="569F755B"/>
    <w:rsid w:val="57272B15"/>
    <w:rsid w:val="576D5CFF"/>
    <w:rsid w:val="578D10CB"/>
    <w:rsid w:val="57931F59"/>
    <w:rsid w:val="58571C12"/>
    <w:rsid w:val="592E0FDE"/>
    <w:rsid w:val="594352B9"/>
    <w:rsid w:val="59F66C94"/>
    <w:rsid w:val="5A5915AC"/>
    <w:rsid w:val="5A647BDD"/>
    <w:rsid w:val="5AB277DD"/>
    <w:rsid w:val="5AD17534"/>
    <w:rsid w:val="5AF0501D"/>
    <w:rsid w:val="5B2A3E90"/>
    <w:rsid w:val="5B8B5D77"/>
    <w:rsid w:val="5B9B4352"/>
    <w:rsid w:val="5C1F025F"/>
    <w:rsid w:val="5C4D3DB5"/>
    <w:rsid w:val="5C74067D"/>
    <w:rsid w:val="5CAC34FC"/>
    <w:rsid w:val="5CFA5B7F"/>
    <w:rsid w:val="5D023CC0"/>
    <w:rsid w:val="5DF410D0"/>
    <w:rsid w:val="5E42636D"/>
    <w:rsid w:val="5ED33090"/>
    <w:rsid w:val="5F0B5B69"/>
    <w:rsid w:val="5FF76DFD"/>
    <w:rsid w:val="602C54E4"/>
    <w:rsid w:val="60C84F68"/>
    <w:rsid w:val="61347031"/>
    <w:rsid w:val="61E107FF"/>
    <w:rsid w:val="620F0550"/>
    <w:rsid w:val="62487DE4"/>
    <w:rsid w:val="632F08A7"/>
    <w:rsid w:val="634436DA"/>
    <w:rsid w:val="63B76FCF"/>
    <w:rsid w:val="64CE7DFC"/>
    <w:rsid w:val="66564E72"/>
    <w:rsid w:val="66916B74"/>
    <w:rsid w:val="672C5ED6"/>
    <w:rsid w:val="67F51187"/>
    <w:rsid w:val="688D2AED"/>
    <w:rsid w:val="68FC652F"/>
    <w:rsid w:val="697C2979"/>
    <w:rsid w:val="6A12486A"/>
    <w:rsid w:val="6AD52C73"/>
    <w:rsid w:val="6AFD3849"/>
    <w:rsid w:val="6BC340DD"/>
    <w:rsid w:val="6C020901"/>
    <w:rsid w:val="6C040C0A"/>
    <w:rsid w:val="6C6C46CF"/>
    <w:rsid w:val="6D521C11"/>
    <w:rsid w:val="6DDB7D59"/>
    <w:rsid w:val="6DF826BE"/>
    <w:rsid w:val="6E0F4847"/>
    <w:rsid w:val="6E91761B"/>
    <w:rsid w:val="6E986018"/>
    <w:rsid w:val="6EFD2F46"/>
    <w:rsid w:val="6F033E9E"/>
    <w:rsid w:val="6F3239AE"/>
    <w:rsid w:val="6FAB550E"/>
    <w:rsid w:val="701E263C"/>
    <w:rsid w:val="71257C6E"/>
    <w:rsid w:val="717B0419"/>
    <w:rsid w:val="72345810"/>
    <w:rsid w:val="7387526C"/>
    <w:rsid w:val="73C936DD"/>
    <w:rsid w:val="7491561A"/>
    <w:rsid w:val="749173C8"/>
    <w:rsid w:val="74AE77EC"/>
    <w:rsid w:val="753C4E9B"/>
    <w:rsid w:val="75B710B1"/>
    <w:rsid w:val="76C97F25"/>
    <w:rsid w:val="7734414A"/>
    <w:rsid w:val="77871A75"/>
    <w:rsid w:val="77B46E54"/>
    <w:rsid w:val="781113A7"/>
    <w:rsid w:val="78985E3B"/>
    <w:rsid w:val="79175EEF"/>
    <w:rsid w:val="791E6510"/>
    <w:rsid w:val="7935596D"/>
    <w:rsid w:val="79D07A75"/>
    <w:rsid w:val="7B2B0F78"/>
    <w:rsid w:val="7B4D1D04"/>
    <w:rsid w:val="7B83730E"/>
    <w:rsid w:val="7B9858D0"/>
    <w:rsid w:val="7BCF6D0B"/>
    <w:rsid w:val="7C0D37D8"/>
    <w:rsid w:val="7C663BFC"/>
    <w:rsid w:val="7C771405"/>
    <w:rsid w:val="7C8D4A41"/>
    <w:rsid w:val="7CAE1A9E"/>
    <w:rsid w:val="7CAF3314"/>
    <w:rsid w:val="7CEE2FDF"/>
    <w:rsid w:val="7CF76E1D"/>
    <w:rsid w:val="7DA64827"/>
    <w:rsid w:val="7E521976"/>
    <w:rsid w:val="7ECA2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paragraph" w:styleId="3">
    <w:name w:val="heading 4"/>
    <w:basedOn w:val="1"/>
    <w:next w:val="1"/>
    <w:qFormat/>
    <w:uiPriority w:val="0"/>
    <w:pPr>
      <w:keepNext/>
      <w:keepLines/>
      <w:spacing w:before="280" w:after="290" w:line="376" w:lineRule="auto"/>
      <w:ind w:firstLine="250" w:firstLineChars="250"/>
      <w:outlineLvl w:val="3"/>
    </w:pPr>
    <w:rPr>
      <w:rFonts w:hint="default" w:ascii="Cambria" w:hAnsi="Cambria" w:eastAsia="宋体" w:cs="Cambria"/>
      <w:b/>
      <w:sz w:val="28"/>
      <w:szCs w:val="28"/>
    </w:rPr>
  </w:style>
  <w:style w:type="character" w:default="1" w:styleId="10">
    <w:name w:val="Default Paragraph Font"/>
    <w:semiHidden/>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4">
    <w:name w:val="Body Text Indent"/>
    <w:basedOn w:val="1"/>
    <w:unhideWhenUsed/>
    <w:qFormat/>
    <w:uiPriority w:val="0"/>
    <w:pPr>
      <w:spacing w:beforeLines="0" w:afterLines="0"/>
      <w:ind w:firstLine="640" w:firstLineChars="200"/>
    </w:pPr>
    <w:rPr>
      <w:rFonts w:hint="default"/>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unhideWhenUsed/>
    <w:qFormat/>
    <w:uiPriority w:val="99"/>
    <w:pPr>
      <w:spacing w:beforeLines="0" w:afterLines="0"/>
      <w:ind w:firstLine="420"/>
    </w:pPr>
    <w:rPr>
      <w:rFonts w:hint="default"/>
      <w:sz w:val="32"/>
    </w:rPr>
  </w:style>
  <w:style w:type="paragraph" w:customStyle="1" w:styleId="11">
    <w:name w:val="标题1"/>
    <w:basedOn w:val="2"/>
    <w:qFormat/>
    <w:uiPriority w:val="0"/>
    <w:rPr>
      <w:rFonts w:eastAsia="黑体"/>
    </w:rPr>
  </w:style>
  <w:style w:type="paragraph" w:customStyle="1" w:styleId="12">
    <w:name w:val="首行缩进"/>
    <w:basedOn w:val="1"/>
    <w:qFormat/>
    <w:uiPriority w:val="0"/>
    <w:pPr>
      <w:ind w:firstLine="480" w:firstLineChars="200"/>
    </w:pPr>
    <w:rPr>
      <w:lang w:val="zh-CN"/>
    </w:rPr>
  </w:style>
  <w:style w:type="paragraph" w:customStyle="1" w:styleId="13">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14232</Words>
  <Characters>16028</Characters>
  <Lines>0</Lines>
  <Paragraphs>0</Paragraphs>
  <TotalTime>2</TotalTime>
  <ScaleCrop>false</ScaleCrop>
  <LinksUpToDate>false</LinksUpToDate>
  <CharactersWithSpaces>17154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cp:lastModifiedBy>
  <cp:lastPrinted>2024-02-26T03:24:00Z</cp:lastPrinted>
  <dcterms:modified xsi:type="dcterms:W3CDTF">2024-09-23T01:53:01Z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C4FE99F1BFBB4C7C8CA815C8B8F23631_13</vt:lpwstr>
  </property>
</Properties>
</file>