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7CCFC">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65DDC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2365DDC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8C1D778">
      <w:pPr>
        <w:pStyle w:val="13"/>
        <w:jc w:val="center"/>
        <w:rPr>
          <w:sz w:val="56"/>
          <w:szCs w:val="56"/>
        </w:rPr>
      </w:pPr>
    </w:p>
    <w:p w14:paraId="4EB4AAD3">
      <w:pPr>
        <w:pStyle w:val="13"/>
        <w:jc w:val="center"/>
        <w:rPr>
          <w:sz w:val="84"/>
          <w:szCs w:val="84"/>
        </w:rPr>
      </w:pPr>
    </w:p>
    <w:p w14:paraId="2AB81132">
      <w:pPr>
        <w:pStyle w:val="13"/>
        <w:jc w:val="center"/>
        <w:rPr>
          <w:sz w:val="84"/>
          <w:szCs w:val="84"/>
        </w:rPr>
      </w:pPr>
    </w:p>
    <w:p w14:paraId="190440F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1BE32EEC">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怀化市工商业联合会</w:t>
      </w:r>
    </w:p>
    <w:p w14:paraId="2CF2397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56D06FFD">
      <w:pPr>
        <w:pStyle w:val="13"/>
        <w:jc w:val="center"/>
        <w:rPr>
          <w:rFonts w:hint="eastAsia" w:ascii="方正小标宋_GBK" w:hAnsi="方正小标宋_GBK" w:eastAsia="方正小标宋_GBK" w:cs="方正小标宋_GBK"/>
          <w:sz w:val="56"/>
          <w:szCs w:val="56"/>
        </w:rPr>
      </w:pPr>
    </w:p>
    <w:p w14:paraId="44C3B9A5">
      <w:pPr>
        <w:pStyle w:val="13"/>
        <w:jc w:val="center"/>
        <w:rPr>
          <w:sz w:val="56"/>
          <w:szCs w:val="56"/>
        </w:rPr>
      </w:pPr>
    </w:p>
    <w:p w14:paraId="4D2B05E9">
      <w:pPr>
        <w:pStyle w:val="13"/>
        <w:jc w:val="center"/>
        <w:rPr>
          <w:sz w:val="56"/>
          <w:szCs w:val="56"/>
        </w:rPr>
      </w:pPr>
    </w:p>
    <w:p w14:paraId="2DA61DF7">
      <w:pPr>
        <w:pStyle w:val="13"/>
        <w:jc w:val="center"/>
        <w:rPr>
          <w:sz w:val="56"/>
          <w:szCs w:val="56"/>
        </w:rPr>
      </w:pPr>
    </w:p>
    <w:p w14:paraId="1A338DDB">
      <w:pPr>
        <w:pStyle w:val="13"/>
        <w:jc w:val="center"/>
        <w:rPr>
          <w:sz w:val="32"/>
          <w:szCs w:val="32"/>
        </w:rPr>
      </w:pPr>
    </w:p>
    <w:p w14:paraId="590AB317">
      <w:pPr>
        <w:pStyle w:val="13"/>
        <w:jc w:val="center"/>
        <w:rPr>
          <w:sz w:val="32"/>
          <w:szCs w:val="32"/>
        </w:rPr>
      </w:pPr>
    </w:p>
    <w:p w14:paraId="6A4A65C5">
      <w:pPr>
        <w:pStyle w:val="13"/>
        <w:jc w:val="center"/>
        <w:rPr>
          <w:sz w:val="32"/>
          <w:szCs w:val="32"/>
        </w:rPr>
      </w:pPr>
    </w:p>
    <w:p w14:paraId="309034C9">
      <w:pPr>
        <w:pStyle w:val="13"/>
        <w:spacing w:line="540" w:lineRule="exact"/>
        <w:jc w:val="both"/>
        <w:rPr>
          <w:sz w:val="56"/>
          <w:szCs w:val="56"/>
        </w:rPr>
      </w:pPr>
    </w:p>
    <w:p w14:paraId="5A2BE934">
      <w:pPr>
        <w:pStyle w:val="13"/>
        <w:spacing w:line="500" w:lineRule="exact"/>
        <w:jc w:val="both"/>
        <w:rPr>
          <w:b/>
          <w:sz w:val="36"/>
          <w:szCs w:val="28"/>
        </w:rPr>
      </w:pPr>
    </w:p>
    <w:p w14:paraId="4C414E24">
      <w:pPr>
        <w:pStyle w:val="13"/>
        <w:spacing w:line="500" w:lineRule="exact"/>
        <w:jc w:val="center"/>
        <w:rPr>
          <w:b/>
          <w:sz w:val="36"/>
          <w:szCs w:val="28"/>
        </w:rPr>
      </w:pPr>
      <w:r>
        <w:rPr>
          <w:rFonts w:hint="eastAsia"/>
          <w:b/>
          <w:sz w:val="36"/>
          <w:szCs w:val="28"/>
        </w:rPr>
        <w:t>目录</w:t>
      </w:r>
    </w:p>
    <w:p w14:paraId="2CABD3E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怀化市工商业联合会</w:t>
      </w:r>
      <w:r>
        <w:rPr>
          <w:rFonts w:hint="eastAsia" w:ascii="黑体" w:hAnsi="黑体" w:eastAsia="黑体" w:cs="黑体"/>
          <w:b w:val="0"/>
          <w:bCs/>
          <w:sz w:val="28"/>
          <w:szCs w:val="28"/>
        </w:rPr>
        <w:t>概况</w:t>
      </w:r>
    </w:p>
    <w:p w14:paraId="74D09D5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02ADE4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3541BA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ED1157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3E492B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0742FB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EB1C71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2BBC07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55D46B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F51955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57B2AC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A75314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0FE5E1">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D2ABED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95A14E0">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EA4E8F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113827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296733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D0423E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365CF1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AB078F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C03A41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九、国有资本经营预算收入支出决算情况</w:t>
      </w:r>
    </w:p>
    <w:p w14:paraId="220C8A3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428A2C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6310CC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0BD25E4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0A4BBD2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59F2C53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CA516CC">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CC9B64F">
      <w:pPr>
        <w:pStyle w:val="13"/>
        <w:spacing w:line="500" w:lineRule="exact"/>
        <w:rPr>
          <w:rFonts w:hint="eastAsia" w:ascii="黑体" w:hAnsi="黑体" w:eastAsia="黑体" w:cs="黑体"/>
          <w:b w:val="0"/>
          <w:bCs/>
          <w:sz w:val="28"/>
          <w:szCs w:val="28"/>
        </w:rPr>
      </w:pPr>
    </w:p>
    <w:p w14:paraId="326D6974">
      <w:pPr>
        <w:jc w:val="center"/>
        <w:rPr>
          <w:sz w:val="72"/>
          <w:szCs w:val="72"/>
        </w:rPr>
      </w:pPr>
    </w:p>
    <w:p w14:paraId="157667CC">
      <w:pPr>
        <w:jc w:val="center"/>
        <w:rPr>
          <w:sz w:val="72"/>
          <w:szCs w:val="72"/>
        </w:rPr>
      </w:pPr>
    </w:p>
    <w:p w14:paraId="6B773A8E">
      <w:pPr>
        <w:rPr>
          <w:rFonts w:hint="eastAsia" w:ascii="方正小标宋_GBK" w:hAnsi="方正小标宋_GBK" w:eastAsia="方正小标宋_GBK" w:cs="方正小标宋_GBK"/>
          <w:sz w:val="72"/>
          <w:szCs w:val="72"/>
        </w:rPr>
      </w:pPr>
    </w:p>
    <w:p w14:paraId="422E0AEF">
      <w:pPr>
        <w:pStyle w:val="7"/>
        <w:rPr>
          <w:rFonts w:hint="eastAsia" w:ascii="方正小标宋_GBK" w:hAnsi="方正小标宋_GBK" w:eastAsia="方正小标宋_GBK" w:cs="方正小标宋_GBK"/>
          <w:sz w:val="72"/>
          <w:szCs w:val="72"/>
        </w:rPr>
      </w:pPr>
    </w:p>
    <w:p w14:paraId="0F8A53A4">
      <w:pPr>
        <w:pStyle w:val="3"/>
        <w:rPr>
          <w:rFonts w:hint="eastAsia" w:ascii="方正小标宋_GBK" w:hAnsi="方正小标宋_GBK" w:eastAsia="方正小标宋_GBK" w:cs="方正小标宋_GBK"/>
          <w:sz w:val="72"/>
          <w:szCs w:val="72"/>
        </w:rPr>
      </w:pPr>
    </w:p>
    <w:p w14:paraId="512FEB56">
      <w:pPr>
        <w:rPr>
          <w:rFonts w:hint="eastAsia" w:ascii="方正小标宋_GBK" w:hAnsi="方正小标宋_GBK" w:eastAsia="方正小标宋_GBK" w:cs="方正小标宋_GBK"/>
          <w:sz w:val="72"/>
          <w:szCs w:val="72"/>
        </w:rPr>
      </w:pPr>
    </w:p>
    <w:p w14:paraId="00A8C944">
      <w:pPr>
        <w:pStyle w:val="7"/>
        <w:rPr>
          <w:rFonts w:hint="eastAsia" w:ascii="方正小标宋_GBK" w:hAnsi="方正小标宋_GBK" w:eastAsia="方正小标宋_GBK" w:cs="方正小标宋_GBK"/>
          <w:sz w:val="72"/>
          <w:szCs w:val="72"/>
        </w:rPr>
      </w:pPr>
    </w:p>
    <w:p w14:paraId="790EF694">
      <w:pPr>
        <w:pStyle w:val="3"/>
        <w:rPr>
          <w:rFonts w:hint="eastAsia" w:ascii="方正小标宋_GBK" w:hAnsi="方正小标宋_GBK" w:eastAsia="方正小标宋_GBK" w:cs="方正小标宋_GBK"/>
          <w:sz w:val="72"/>
          <w:szCs w:val="72"/>
        </w:rPr>
      </w:pPr>
    </w:p>
    <w:p w14:paraId="1B946604">
      <w:pPr>
        <w:rPr>
          <w:rFonts w:hint="eastAsia" w:ascii="方正小标宋_GBK" w:hAnsi="方正小标宋_GBK" w:eastAsia="方正小标宋_GBK" w:cs="方正小标宋_GBK"/>
          <w:sz w:val="72"/>
          <w:szCs w:val="72"/>
        </w:rPr>
      </w:pPr>
    </w:p>
    <w:p w14:paraId="4CD43579">
      <w:pPr>
        <w:pStyle w:val="7"/>
        <w:rPr>
          <w:rFonts w:hint="eastAsia" w:ascii="方正小标宋_GBK" w:hAnsi="方正小标宋_GBK" w:eastAsia="方正小标宋_GBK" w:cs="方正小标宋_GBK"/>
          <w:sz w:val="72"/>
          <w:szCs w:val="72"/>
        </w:rPr>
      </w:pPr>
    </w:p>
    <w:p w14:paraId="52F9506F">
      <w:pPr>
        <w:pStyle w:val="3"/>
        <w:rPr>
          <w:rFonts w:hint="eastAsia" w:ascii="方正小标宋_GBK" w:hAnsi="方正小标宋_GBK" w:eastAsia="方正小标宋_GBK" w:cs="方正小标宋_GBK"/>
          <w:sz w:val="72"/>
          <w:szCs w:val="72"/>
        </w:rPr>
      </w:pPr>
    </w:p>
    <w:p w14:paraId="5C4964BE">
      <w:pPr>
        <w:rPr>
          <w:rFonts w:hint="eastAsia" w:ascii="方正小标宋_GBK" w:hAnsi="方正小标宋_GBK" w:eastAsia="方正小标宋_GBK" w:cs="方正小标宋_GBK"/>
          <w:sz w:val="72"/>
          <w:szCs w:val="72"/>
        </w:rPr>
      </w:pPr>
    </w:p>
    <w:p w14:paraId="7D48EABA">
      <w:pPr>
        <w:pStyle w:val="7"/>
        <w:rPr>
          <w:rFonts w:hint="eastAsia" w:ascii="方正小标宋_GBK" w:hAnsi="方正小标宋_GBK" w:eastAsia="方正小标宋_GBK" w:cs="方正小标宋_GBK"/>
          <w:sz w:val="72"/>
          <w:szCs w:val="72"/>
        </w:rPr>
      </w:pPr>
    </w:p>
    <w:p w14:paraId="41FC1235">
      <w:pPr>
        <w:pStyle w:val="3"/>
        <w:rPr>
          <w:rFonts w:hint="eastAsia" w:ascii="方正小标宋_GBK" w:hAnsi="方正小标宋_GBK" w:eastAsia="方正小标宋_GBK" w:cs="方正小标宋_GBK"/>
          <w:sz w:val="72"/>
          <w:szCs w:val="72"/>
        </w:rPr>
      </w:pPr>
    </w:p>
    <w:p w14:paraId="44CAF1C2">
      <w:pPr>
        <w:rPr>
          <w:rFonts w:hint="eastAsia" w:ascii="方正小标宋_GBK" w:hAnsi="方正小标宋_GBK" w:eastAsia="方正小标宋_GBK" w:cs="方正小标宋_GBK"/>
          <w:sz w:val="72"/>
          <w:szCs w:val="72"/>
        </w:rPr>
      </w:pPr>
    </w:p>
    <w:p w14:paraId="6A1C57E2">
      <w:pPr>
        <w:pStyle w:val="7"/>
        <w:rPr>
          <w:rFonts w:hint="eastAsia"/>
        </w:rPr>
      </w:pPr>
    </w:p>
    <w:p w14:paraId="311059C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第一部分</w:t>
      </w:r>
    </w:p>
    <w:p w14:paraId="35BEC8F9">
      <w:pPr>
        <w:pStyle w:val="13"/>
        <w:jc w:val="center"/>
        <w:rPr>
          <w:rFonts w:hint="eastAsia" w:ascii="方正小标宋_GBK" w:hAnsi="方正小标宋_GBK" w:eastAsia="方正小标宋_GBK" w:cs="方正小标宋_GBK"/>
          <w:sz w:val="84"/>
          <w:szCs w:val="84"/>
        </w:rPr>
      </w:pPr>
    </w:p>
    <w:p w14:paraId="561E709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怀化市工商业联合会概况</w:t>
      </w:r>
    </w:p>
    <w:p w14:paraId="316A51EE">
      <w:pPr>
        <w:jc w:val="center"/>
        <w:rPr>
          <w:rFonts w:hint="eastAsia" w:ascii="方正小标宋_GBK" w:hAnsi="方正小标宋_GBK" w:eastAsia="方正小标宋_GBK" w:cs="方正小标宋_GBK"/>
          <w:sz w:val="72"/>
          <w:szCs w:val="72"/>
        </w:rPr>
      </w:pPr>
    </w:p>
    <w:p w14:paraId="3E4E9860">
      <w:pPr>
        <w:jc w:val="center"/>
        <w:rPr>
          <w:rFonts w:hint="eastAsia" w:ascii="方正小标宋_GBK" w:hAnsi="方正小标宋_GBK" w:eastAsia="方正小标宋_GBK" w:cs="方正小标宋_GBK"/>
          <w:sz w:val="72"/>
          <w:szCs w:val="72"/>
        </w:rPr>
      </w:pPr>
    </w:p>
    <w:p w14:paraId="5E892F67">
      <w:pPr>
        <w:pStyle w:val="7"/>
        <w:rPr>
          <w:rFonts w:hint="eastAsia" w:ascii="方正小标宋_GBK" w:hAnsi="方正小标宋_GBK" w:eastAsia="方正小标宋_GBK" w:cs="方正小标宋_GBK"/>
          <w:sz w:val="72"/>
          <w:szCs w:val="72"/>
        </w:rPr>
      </w:pPr>
    </w:p>
    <w:p w14:paraId="3715A040">
      <w:pPr>
        <w:pStyle w:val="3"/>
        <w:rPr>
          <w:rFonts w:hint="eastAsia"/>
        </w:rPr>
      </w:pPr>
    </w:p>
    <w:p w14:paraId="427A7A79">
      <w:pPr>
        <w:jc w:val="both"/>
        <w:rPr>
          <w:sz w:val="72"/>
          <w:szCs w:val="72"/>
        </w:rPr>
      </w:pPr>
    </w:p>
    <w:p w14:paraId="188E0A0F">
      <w:pPr>
        <w:pStyle w:val="3"/>
        <w:ind w:left="0" w:leftChars="0" w:firstLine="0" w:firstLineChars="0"/>
      </w:pPr>
    </w:p>
    <w:p w14:paraId="70B2ADAD">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ED3030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工商联是中国共产党领导的以非公有制企业和非公有制经济人士为主体，是党和政府联系非公有制经济人士的桥梁纽带，是政府管理非公有制经济的助手。</w:t>
      </w:r>
    </w:p>
    <w:p w14:paraId="6C3CB96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（一）加强和改进非公有制经济人士思想政治工作。开展理想信念教育。</w:t>
      </w:r>
    </w:p>
    <w:p w14:paraId="63E1C82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（二）参与政治协商，发挥民主监督作用积极参政议政。</w:t>
      </w:r>
    </w:p>
    <w:p w14:paraId="171805D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（三）协助政府管理和服务非公有制经济。</w:t>
      </w:r>
    </w:p>
    <w:p w14:paraId="5BD953D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（四）促进行业协会商会改革发展。</w:t>
      </w:r>
    </w:p>
    <w:p w14:paraId="19C4D8F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（五）参与协调劳动关系，协调社会治理，促进社会和谐稳定。</w:t>
      </w:r>
    </w:p>
    <w:p w14:paraId="2F6FFFD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sz w:val="32"/>
          <w:szCs w:val="32"/>
        </w:rPr>
      </w:pPr>
      <w:bookmarkStart w:id="0" w:name="_GoBack"/>
      <w:bookmarkEnd w:id="0"/>
      <w:r>
        <w:rPr>
          <w:rFonts w:hint="eastAsia" w:ascii="Times New Roman" w:hAnsi="Times New Roman" w:eastAsia="仿宋_GB2312" w:cs="仿宋_GB2312"/>
          <w:bCs/>
          <w:kern w:val="0"/>
          <w:sz w:val="32"/>
          <w:szCs w:val="32"/>
          <w:lang w:val="en-US" w:eastAsia="zh-CN" w:bidi="ar-SA"/>
        </w:rPr>
        <w:t>（六）引导非公有制企业和非公有制经济人士依法诚信经营，了解反映非公有制经济人士诉求，帮助其依法维护合法权益，推动各种所有制经济依法平等使用生产要素、公开公平公正参与市场竞争、同等受到法律保护，促进权利平等、机会平等、规则平等。参与经济纠纷的调解、仲裁。</w:t>
      </w:r>
    </w:p>
    <w:p w14:paraId="337C9BB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DC1A4CA">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怀化市工商业联合会</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rPr>
        <w:t>办公室、会员部、经济联络部、民企服务中心4个内设机构。</w:t>
      </w:r>
    </w:p>
    <w:p w14:paraId="7BCEBD4F">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怀化市工商业联合</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怀化市工商业联合</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5FADE487">
      <w:pPr>
        <w:jc w:val="left"/>
        <w:rPr>
          <w:rFonts w:ascii="仿宋_GB2312" w:eastAsia="仿宋_GB2312" w:hAnsiTheme="minorEastAsia"/>
          <w:sz w:val="28"/>
          <w:szCs w:val="32"/>
        </w:rPr>
      </w:pPr>
    </w:p>
    <w:p w14:paraId="58C5CAC7">
      <w:pPr>
        <w:jc w:val="center"/>
        <w:rPr>
          <w:rFonts w:ascii="黑体" w:hAnsi="黑体" w:eastAsia="黑体"/>
          <w:sz w:val="28"/>
          <w:szCs w:val="28"/>
        </w:rPr>
      </w:pPr>
    </w:p>
    <w:p w14:paraId="651F34F8">
      <w:pPr>
        <w:jc w:val="center"/>
        <w:rPr>
          <w:rFonts w:ascii="黑体" w:hAnsi="黑体" w:eastAsia="黑体"/>
          <w:sz w:val="28"/>
          <w:szCs w:val="28"/>
        </w:rPr>
      </w:pPr>
    </w:p>
    <w:p w14:paraId="40804D37">
      <w:pPr>
        <w:jc w:val="center"/>
        <w:rPr>
          <w:rFonts w:ascii="黑体" w:hAnsi="黑体" w:eastAsia="黑体"/>
          <w:sz w:val="28"/>
          <w:szCs w:val="28"/>
        </w:rPr>
      </w:pPr>
    </w:p>
    <w:p w14:paraId="41056EF0">
      <w:pPr>
        <w:jc w:val="center"/>
        <w:rPr>
          <w:rFonts w:ascii="黑体" w:hAnsi="黑体" w:eastAsia="黑体"/>
          <w:sz w:val="28"/>
          <w:szCs w:val="28"/>
        </w:rPr>
      </w:pPr>
    </w:p>
    <w:p w14:paraId="504AAE92">
      <w:pPr>
        <w:jc w:val="center"/>
        <w:rPr>
          <w:rFonts w:ascii="黑体" w:hAnsi="黑体" w:eastAsia="黑体"/>
          <w:sz w:val="28"/>
          <w:szCs w:val="28"/>
        </w:rPr>
      </w:pPr>
    </w:p>
    <w:p w14:paraId="656712B3">
      <w:pPr>
        <w:jc w:val="center"/>
        <w:rPr>
          <w:rFonts w:ascii="黑体" w:hAnsi="黑体" w:eastAsia="黑体"/>
          <w:sz w:val="28"/>
          <w:szCs w:val="28"/>
        </w:rPr>
      </w:pPr>
    </w:p>
    <w:p w14:paraId="4DF802A3">
      <w:pPr>
        <w:jc w:val="center"/>
        <w:rPr>
          <w:rFonts w:ascii="黑体" w:hAnsi="黑体" w:eastAsia="黑体"/>
          <w:sz w:val="28"/>
          <w:szCs w:val="28"/>
        </w:rPr>
      </w:pPr>
    </w:p>
    <w:p w14:paraId="17E49BC2">
      <w:pPr>
        <w:jc w:val="center"/>
        <w:rPr>
          <w:rFonts w:ascii="黑体" w:hAnsi="黑体" w:eastAsia="黑体"/>
          <w:sz w:val="28"/>
          <w:szCs w:val="28"/>
        </w:rPr>
      </w:pPr>
    </w:p>
    <w:p w14:paraId="6FA47C94">
      <w:pPr>
        <w:jc w:val="center"/>
        <w:rPr>
          <w:rFonts w:ascii="黑体" w:hAnsi="黑体" w:eastAsia="黑体"/>
          <w:sz w:val="28"/>
          <w:szCs w:val="28"/>
        </w:rPr>
      </w:pPr>
    </w:p>
    <w:p w14:paraId="6B693893">
      <w:pPr>
        <w:jc w:val="both"/>
        <w:rPr>
          <w:sz w:val="72"/>
          <w:szCs w:val="72"/>
        </w:rPr>
      </w:pPr>
    </w:p>
    <w:p w14:paraId="6769E1F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9B056C5">
      <w:pPr>
        <w:pStyle w:val="13"/>
        <w:jc w:val="center"/>
        <w:rPr>
          <w:rFonts w:hint="eastAsia" w:ascii="方正小标宋_GBK" w:hAnsi="方正小标宋_GBK" w:eastAsia="方正小标宋_GBK" w:cs="方正小标宋_GBK"/>
          <w:sz w:val="84"/>
          <w:szCs w:val="84"/>
        </w:rPr>
      </w:pPr>
    </w:p>
    <w:p w14:paraId="444058F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6686FF9D">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lang w:val="en-US" w:eastAsia="zh-CN"/>
        </w:rPr>
        <w:t>详见附表</w:t>
      </w:r>
      <w:r>
        <w:rPr>
          <w:rFonts w:hint="eastAsia" w:ascii="方正小标宋_GBK" w:hAnsi="方正小标宋_GBK" w:eastAsia="方正小标宋_GBK" w:cs="方正小标宋_GBK"/>
          <w:sz w:val="84"/>
          <w:szCs w:val="84"/>
          <w:lang w:eastAsia="zh-CN"/>
        </w:rPr>
        <w:t>）</w:t>
      </w:r>
    </w:p>
    <w:p w14:paraId="46C57298">
      <w:pPr>
        <w:jc w:val="center"/>
        <w:rPr>
          <w:sz w:val="72"/>
          <w:szCs w:val="72"/>
        </w:rPr>
      </w:pPr>
    </w:p>
    <w:p w14:paraId="4097C5B5">
      <w:pPr>
        <w:jc w:val="center"/>
        <w:rPr>
          <w:sz w:val="72"/>
          <w:szCs w:val="72"/>
        </w:rPr>
      </w:pPr>
    </w:p>
    <w:p w14:paraId="64D47482">
      <w:pPr>
        <w:jc w:val="center"/>
        <w:rPr>
          <w:sz w:val="72"/>
          <w:szCs w:val="72"/>
        </w:rPr>
      </w:pPr>
    </w:p>
    <w:p w14:paraId="17AABE4D">
      <w:pPr>
        <w:jc w:val="center"/>
        <w:rPr>
          <w:sz w:val="72"/>
          <w:szCs w:val="72"/>
        </w:rPr>
      </w:pPr>
    </w:p>
    <w:p w14:paraId="0C080A7E">
      <w:pPr>
        <w:jc w:val="both"/>
        <w:rPr>
          <w:sz w:val="72"/>
          <w:szCs w:val="72"/>
        </w:rPr>
      </w:pPr>
    </w:p>
    <w:p w14:paraId="1A314F8A">
      <w:pPr>
        <w:jc w:val="left"/>
        <w:rPr>
          <w:sz w:val="32"/>
          <w:szCs w:val="32"/>
        </w:rPr>
      </w:pPr>
    </w:p>
    <w:p w14:paraId="1683044F">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1D7F8530">
      <w:pPr>
        <w:pStyle w:val="13"/>
        <w:rPr>
          <w:sz w:val="72"/>
          <w:szCs w:val="72"/>
        </w:rPr>
      </w:pPr>
    </w:p>
    <w:p w14:paraId="097916A4">
      <w:pPr>
        <w:pStyle w:val="13"/>
        <w:rPr>
          <w:sz w:val="72"/>
          <w:szCs w:val="72"/>
        </w:rPr>
      </w:pPr>
    </w:p>
    <w:p w14:paraId="470938B9">
      <w:pPr>
        <w:pStyle w:val="13"/>
        <w:rPr>
          <w:sz w:val="72"/>
          <w:szCs w:val="72"/>
        </w:rPr>
      </w:pPr>
    </w:p>
    <w:p w14:paraId="75EE1EDA">
      <w:pPr>
        <w:pStyle w:val="13"/>
        <w:rPr>
          <w:sz w:val="72"/>
          <w:szCs w:val="72"/>
        </w:rPr>
      </w:pPr>
    </w:p>
    <w:p w14:paraId="01F7D48F">
      <w:pPr>
        <w:pStyle w:val="13"/>
        <w:jc w:val="both"/>
        <w:rPr>
          <w:rFonts w:hint="eastAsia" w:ascii="方正小标宋_GBK" w:hAnsi="方正小标宋_GBK" w:eastAsia="方正小标宋_GBK" w:cs="方正小标宋_GBK"/>
          <w:sz w:val="72"/>
          <w:szCs w:val="72"/>
        </w:rPr>
      </w:pPr>
    </w:p>
    <w:p w14:paraId="48A8E2CC">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1259F11">
      <w:pPr>
        <w:pStyle w:val="13"/>
        <w:jc w:val="center"/>
        <w:rPr>
          <w:rFonts w:hint="eastAsia" w:ascii="方正小标宋_GBK" w:hAnsi="方正小标宋_GBK" w:eastAsia="方正小标宋_GBK" w:cs="方正小标宋_GBK"/>
          <w:sz w:val="70"/>
          <w:szCs w:val="70"/>
        </w:rPr>
      </w:pPr>
    </w:p>
    <w:p w14:paraId="5C512C84">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375BF102">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01CB9B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6665FF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528.45</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162.47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44.39</w:t>
      </w:r>
      <w:r>
        <w:rPr>
          <w:rFonts w:hint="eastAsia" w:ascii="Times New Roman" w:hAnsi="Times New Roman" w:eastAsia="仿宋_GB2312"/>
          <w:sz w:val="32"/>
          <w:szCs w:val="32"/>
        </w:rPr>
        <w:t>%，主要是因为</w:t>
      </w:r>
      <w:r>
        <w:rPr>
          <w:rFonts w:hint="eastAsia" w:ascii="Times New Roman" w:hAnsi="Times New Roman" w:eastAsia="仿宋_GB2312"/>
          <w:sz w:val="32"/>
          <w:szCs w:val="32"/>
          <w:highlight w:val="none"/>
          <w:lang w:val="en-US" w:eastAsia="zh-CN"/>
        </w:rPr>
        <w:t>本年度追加了2022年绩效考核奖、因公出国考察经费未纳入年初预算；追加了第六届三次执委会会议经费、涉案企业合规工作专项经费、武汉市怀化商会开办经费、招商引资前期工作经费、十一届全球湘商大会前期筹备工作经费等项目经费。</w:t>
      </w:r>
    </w:p>
    <w:p w14:paraId="73300B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CF93EA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528.45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528.45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1D503A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461FF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528.45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339.22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64.19</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189.24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35.81</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B6250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F8A0D33">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528.45</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163.45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w:t>
      </w:r>
      <w:r>
        <w:rPr>
          <w:rFonts w:hint="eastAsia" w:ascii="Times New Roman" w:hAnsi="Times New Roman" w:eastAsia="仿宋_GB2312"/>
          <w:sz w:val="32"/>
          <w:szCs w:val="32"/>
          <w:lang w:val="en-US" w:eastAsia="zh-CN"/>
        </w:rPr>
        <w:t>44.78</w:t>
      </w:r>
      <w:r>
        <w:rPr>
          <w:rFonts w:hint="eastAsia" w:ascii="Times New Roman" w:hAnsi="Times New Roman" w:eastAsia="仿宋_GB2312"/>
          <w:sz w:val="32"/>
          <w:szCs w:val="32"/>
        </w:rPr>
        <w:t>%，主要是因为</w:t>
      </w:r>
      <w:r>
        <w:rPr>
          <w:rFonts w:hint="eastAsia" w:ascii="Times New Roman" w:hAnsi="Times New Roman" w:eastAsia="仿宋_GB2312"/>
          <w:sz w:val="32"/>
          <w:szCs w:val="32"/>
          <w:highlight w:val="none"/>
          <w:lang w:val="en-US" w:eastAsia="zh-CN"/>
        </w:rPr>
        <w:t>本年度追加了2022年绩效考核奖、因公出国考察经费未纳入年初预算；追加了第六届三次执委会会议经费、涉案企业合规工作专项经费、武汉市怀化商会开办经费、招商引资前期工作经费、十一届全球湘商大会前期筹备工作经费等项目经费。</w:t>
      </w:r>
    </w:p>
    <w:p w14:paraId="5FFD00A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4658C4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2F390DC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528.45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163.45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44.78</w:t>
      </w:r>
      <w:r>
        <w:rPr>
          <w:rFonts w:hint="eastAsia" w:ascii="Times New Roman" w:hAnsi="Times New Roman" w:eastAsia="仿宋_GB2312"/>
          <w:sz w:val="32"/>
          <w:szCs w:val="32"/>
        </w:rPr>
        <w:t>%，主要是因为</w:t>
      </w:r>
      <w:r>
        <w:rPr>
          <w:rFonts w:hint="eastAsia" w:ascii="Times New Roman" w:hAnsi="Times New Roman" w:eastAsia="仿宋_GB2312"/>
          <w:sz w:val="32"/>
          <w:szCs w:val="32"/>
          <w:highlight w:val="none"/>
          <w:lang w:val="en-US" w:eastAsia="zh-CN"/>
        </w:rPr>
        <w:t>本年度追加了2022年绩效考核奖、因公出国考察经费未纳入年初预算；追加了第六届三次执委会会议经费、涉案企业合规工作专项经费、武汉市怀化商会开办经费、招商引资前期工作经费、十一届全球湘商大会前期筹备工作经费等项目经费。</w:t>
      </w:r>
    </w:p>
    <w:p w14:paraId="58F98A6B">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7E28AD5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528.45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459.49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86.95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45.72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卫生健康（类）支出13.24万元，占2.51%；商业服务业等（类）支出10万元，占1.89%。</w:t>
      </w:r>
    </w:p>
    <w:p w14:paraId="1CD1657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26B1A5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457.56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528.45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115.49</w:t>
      </w:r>
      <w:r>
        <w:rPr>
          <w:rFonts w:hint="eastAsia" w:ascii="Times New Roman" w:hAnsi="Times New Roman" w:eastAsia="仿宋_GB2312"/>
          <w:sz w:val="32"/>
          <w:szCs w:val="32"/>
        </w:rPr>
        <w:t>%，其中：</w:t>
      </w:r>
    </w:p>
    <w:p w14:paraId="5B77F01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1、一般公共服务（类）民主党派及工商联事务（款）行政运行（项）。</w:t>
      </w:r>
    </w:p>
    <w:p w14:paraId="2826C9B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296.43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259.28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87.47</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2023年在职人员退休1人，人员经费支出减少。</w:t>
      </w:r>
    </w:p>
    <w:p w14:paraId="59D8AA9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2、一般公共服务（类）民主党派及工商联事务（款）一般行政管理事务（项）。</w:t>
      </w:r>
    </w:p>
    <w:p w14:paraId="6D73C48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34.68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99.09</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本年度原工商业者及遗属春节慰问人数减少，经费结余。</w:t>
      </w:r>
    </w:p>
    <w:p w14:paraId="2E8FE5B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yellow"/>
          <w:lang w:val="en-US" w:eastAsia="zh-CN"/>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一般公共服务（类）民主党派及工商联事务（款）其他民主党派及工商联事务支出（项）。</w:t>
      </w:r>
    </w:p>
    <w:p w14:paraId="6931A4B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50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131.82</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263.64</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大</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本年度追加了2022年绩效考核奖未纳入年初预算；追加了第六届三次执委会会议经费、涉案企业合规工作专项经费、武汉市怀化商会开办经费、招商引资前期工作经费、十一届全球湘商大会前期筹备工作经费等项目经费。</w:t>
      </w:r>
    </w:p>
    <w:p w14:paraId="27CDF5D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yellow"/>
          <w:lang w:val="en-US" w:eastAsia="zh-CN"/>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val="en-US" w:eastAsia="zh-CN"/>
        </w:rPr>
        <w:t>其他一般公共服务支出</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其他一般公共服务支出</w:t>
      </w:r>
      <w:r>
        <w:rPr>
          <w:rFonts w:hint="eastAsia" w:ascii="Times New Roman" w:hAnsi="Times New Roman" w:eastAsia="仿宋_GB2312"/>
          <w:sz w:val="32"/>
          <w:szCs w:val="32"/>
          <w:highlight w:val="none"/>
        </w:rPr>
        <w:t>（项）。</w:t>
      </w:r>
    </w:p>
    <w:p w14:paraId="60877AD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33.71</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val="en-US" w:eastAsia="zh-CN"/>
        </w:rPr>
        <w:t>大</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本年度追加了王勇同志因公出国考察经费及“浙商怀化行”考察调研、招商推荐经费。</w:t>
      </w:r>
    </w:p>
    <w:p w14:paraId="70324DF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社会保障和就业支出（类）行政事业单位养老支出（款）事业单位离退休（项）。</w:t>
      </w:r>
    </w:p>
    <w:p w14:paraId="69BDB27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1.33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1.33</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与</w:t>
      </w:r>
      <w:r>
        <w:rPr>
          <w:rFonts w:hint="eastAsia" w:ascii="Times New Roman" w:hAnsi="Times New Roman" w:eastAsia="仿宋_GB2312"/>
          <w:sz w:val="32"/>
          <w:szCs w:val="32"/>
          <w:highlight w:val="none"/>
        </w:rPr>
        <w:t>年初预算数</w:t>
      </w:r>
      <w:r>
        <w:rPr>
          <w:rFonts w:hint="eastAsia" w:ascii="Times New Roman" w:hAnsi="Times New Roman" w:eastAsia="仿宋_GB2312"/>
          <w:sz w:val="32"/>
          <w:szCs w:val="32"/>
          <w:highlight w:val="none"/>
          <w:lang w:val="en-US" w:eastAsia="zh-CN"/>
        </w:rPr>
        <w:t>相等，主要为严格按预算列支离退休人员相关经费。</w:t>
      </w:r>
    </w:p>
    <w:p w14:paraId="1E8FD18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社会保障和就业支出（类）行政事业单位养老支出（款）机关事业单位基本养老保险缴费支出（项）。</w:t>
      </w:r>
    </w:p>
    <w:p w14:paraId="785588B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34.02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33.44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98.3</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2023年在职人员退休1人，机关事业单位养老保险下达资金减少。</w:t>
      </w:r>
    </w:p>
    <w:p w14:paraId="347EDC8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社会保障和就业支出（类）行政事业单位养老支出（款）其他行政事业单位养老支出（项）。</w:t>
      </w:r>
    </w:p>
    <w:p w14:paraId="476230A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10.94</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val="en-US" w:eastAsia="zh-CN"/>
        </w:rPr>
        <w:t>大</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本年度追加2022年退休人员春节生活补助未纳入年初预算。</w:t>
      </w:r>
    </w:p>
    <w:p w14:paraId="65CB459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卫生健康支出（类）行政事业单位医疗（款）行政单位医疗（项）。</w:t>
      </w:r>
    </w:p>
    <w:p w14:paraId="29B82A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14.28</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13.24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92.72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2023年在职人员退休1人，医疗保险缴费下达资金减少。</w:t>
      </w:r>
    </w:p>
    <w:p w14:paraId="49FCB2F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住房保障支出（类）住房改革支出（款）住房公积金（项）。</w:t>
      </w:r>
    </w:p>
    <w:p w14:paraId="7E51E66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26.5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住房公积金单位部分支出为市财政统筹支付，本单位未支出。</w:t>
      </w:r>
    </w:p>
    <w:p w14:paraId="348E9D3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10.商业服务业等支出（类）其他商业服务业等支出（款）其他商业服务业等支出（项）</w:t>
      </w:r>
    </w:p>
    <w:p w14:paraId="5E8AF6E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val="en-US" w:eastAsia="zh-CN"/>
        </w:rPr>
        <w:t>大</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本年度追加了安排2家怀化异地商会开办经费。</w:t>
      </w:r>
    </w:p>
    <w:p w14:paraId="5239D8E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9AC74B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339.22</w:t>
      </w:r>
      <w:r>
        <w:rPr>
          <w:rFonts w:hint="eastAsia" w:ascii="Times New Roman" w:hAnsi="Times New Roman" w:eastAsia="仿宋_GB2312"/>
          <w:sz w:val="32"/>
          <w:szCs w:val="32"/>
        </w:rPr>
        <w:t>万元，其中：</w:t>
      </w:r>
    </w:p>
    <w:p w14:paraId="6B4F855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304.07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89.64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绩效工资、机关事业单位基本养老保险缴费、职工基本医疗保险缴费、其他社会保障缴费、生活补助、奖励金。</w:t>
      </w:r>
    </w:p>
    <w:p w14:paraId="19161EB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b/>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35.15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10.36</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邮电费、因公出国（境）费用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维护费、培训费、公务接待费、劳务费、工会经费、福利费、公务用车运行维护费、其他交通费用、其他商品和服务支出。</w:t>
      </w:r>
    </w:p>
    <w:p w14:paraId="6956049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722441C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03B93A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5.68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9.28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163.38</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val="en-US" w:eastAsia="zh-CN"/>
        </w:rPr>
        <w:t>本年度增加王勇因公</w:t>
      </w:r>
      <w:r>
        <w:rPr>
          <w:rFonts w:hint="eastAsia" w:ascii="Times New Roman" w:hAnsi="Times New Roman" w:eastAsia="仿宋_GB2312"/>
          <w:sz w:val="32"/>
          <w:szCs w:val="32"/>
          <w:lang w:val="en-US" w:eastAsia="zh-CN"/>
        </w:rPr>
        <w:t>出国（境）费用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2.56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38.1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本年度增加王勇因公出国（境）费用</w:t>
      </w:r>
      <w:r>
        <w:rPr>
          <w:rFonts w:hint="eastAsia" w:ascii="Times New Roman" w:hAnsi="Times New Roman" w:eastAsia="仿宋_GB2312"/>
          <w:sz w:val="32"/>
          <w:szCs w:val="32"/>
        </w:rPr>
        <w:t>。其中：</w:t>
      </w:r>
    </w:p>
    <w:p w14:paraId="027C7F1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3.81</w:t>
      </w:r>
      <w:r>
        <w:rPr>
          <w:rFonts w:hint="eastAsia" w:ascii="Times New Roman" w:hAnsi="Times New Roman" w:eastAsia="仿宋_GB2312"/>
          <w:sz w:val="32"/>
          <w:szCs w:val="32"/>
        </w:rPr>
        <w:t>万元，决算数大于预算数的主要原因是</w:t>
      </w:r>
      <w:r>
        <w:rPr>
          <w:rFonts w:hint="eastAsia" w:ascii="Times New Roman" w:hAnsi="Times New Roman" w:eastAsia="仿宋_GB2312"/>
          <w:sz w:val="32"/>
          <w:szCs w:val="32"/>
          <w:lang w:val="en-US" w:eastAsia="zh-CN"/>
        </w:rPr>
        <w:t>本年度增加王勇因公出国费用（老挝、泰国、缅甸）</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3.81</w:t>
      </w:r>
      <w:r>
        <w:rPr>
          <w:rFonts w:hint="eastAsia" w:ascii="Times New Roman" w:hAnsi="Times New Roman" w:eastAsia="仿宋_GB2312"/>
          <w:sz w:val="32"/>
          <w:szCs w:val="32"/>
        </w:rPr>
        <w:t>万元，增长的主要原因是</w:t>
      </w:r>
      <w:r>
        <w:rPr>
          <w:rFonts w:hint="eastAsia" w:ascii="Times New Roman" w:hAnsi="Times New Roman" w:eastAsia="仿宋_GB2312"/>
          <w:sz w:val="32"/>
          <w:szCs w:val="32"/>
          <w:lang w:val="en-US" w:eastAsia="zh-CN"/>
        </w:rPr>
        <w:t>本年度增加王勇因公出国（境）费用</w:t>
      </w:r>
      <w:r>
        <w:rPr>
          <w:rFonts w:hint="eastAsia" w:ascii="Times New Roman" w:hAnsi="Times New Roman" w:eastAsia="仿宋_GB2312"/>
          <w:sz w:val="32"/>
          <w:szCs w:val="32"/>
        </w:rPr>
        <w:t>。</w:t>
      </w:r>
    </w:p>
    <w:p w14:paraId="4A9E57A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1.93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98.45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0.13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坚持只减不增的原则，严控三公经费支出</w:t>
      </w:r>
      <w:r>
        <w:rPr>
          <w:rFonts w:hint="eastAsia" w:ascii="Times New Roman" w:hAnsi="Times New Roman" w:eastAsia="仿宋_GB2312"/>
          <w:sz w:val="32"/>
          <w:szCs w:val="32"/>
        </w:rPr>
        <w:t>。</w:t>
      </w:r>
    </w:p>
    <w:p w14:paraId="3474C0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预算数，与上年</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w:t>
      </w:r>
    </w:p>
    <w:p w14:paraId="5CFCBA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95.2</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1.12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23.88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坚持只减不增的原则，严控三公经费支出</w:t>
      </w:r>
      <w:r>
        <w:rPr>
          <w:rFonts w:hint="eastAsia" w:ascii="Times New Roman" w:hAnsi="Times New Roman" w:eastAsia="仿宋_GB2312"/>
          <w:sz w:val="32"/>
          <w:szCs w:val="32"/>
        </w:rPr>
        <w:t>。</w:t>
      </w:r>
    </w:p>
    <w:p w14:paraId="0C2526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C0948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20.47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3.81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41.06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3.57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38.47</w:t>
      </w:r>
      <w:r>
        <w:rPr>
          <w:rFonts w:hint="eastAsia" w:ascii="Times New Roman" w:hAnsi="Times New Roman" w:eastAsia="仿宋_GB2312"/>
          <w:sz w:val="32"/>
          <w:szCs w:val="32"/>
        </w:rPr>
        <w:t>%。其中：</w:t>
      </w:r>
    </w:p>
    <w:p w14:paraId="0830E767">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楷体" w:hAnsi="楷体" w:eastAsia="仿宋_GB2312" w:cs="楷体"/>
          <w:b/>
          <w:bCs/>
          <w:i/>
          <w:color w:val="auto"/>
          <w:sz w:val="32"/>
          <w:szCs w:val="32"/>
          <w:highlight w:val="yellow"/>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3.81</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开支内容包括</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王勇</w:t>
      </w:r>
      <w:r>
        <w:rPr>
          <w:rFonts w:hint="eastAsia" w:ascii="Times New Roman" w:hAnsi="Times New Roman" w:eastAsia="仿宋_GB2312"/>
          <w:sz w:val="32"/>
          <w:szCs w:val="32"/>
          <w:highlight w:val="none"/>
          <w:lang w:val="en-US" w:eastAsia="zh-CN"/>
        </w:rPr>
        <w:t>因公出国</w:t>
      </w:r>
      <w:r>
        <w:rPr>
          <w:rFonts w:hint="eastAsia" w:ascii="Times New Roman" w:hAnsi="Times New Roman" w:eastAsia="仿宋_GB2312"/>
          <w:sz w:val="32"/>
          <w:szCs w:val="32"/>
          <w:highlight w:val="none"/>
          <w:lang w:val="en-US" w:eastAsia="zh-CN"/>
        </w:rPr>
        <w:t>参加国际会议支出3.81万元，主要用于王勇参加</w:t>
      </w:r>
      <w:r>
        <w:rPr>
          <w:rFonts w:hint="eastAsia" w:ascii="Times New Roman" w:hAnsi="Times New Roman" w:eastAsia="仿宋_GB2312"/>
          <w:sz w:val="32"/>
          <w:szCs w:val="32"/>
          <w:highlight w:val="none"/>
          <w:lang w:val="en-US" w:eastAsia="zh-CN"/>
        </w:rPr>
        <w:t>省工商业联合会组团出访老挝、泰国、缅甸三国，开展</w:t>
      </w:r>
      <w:r>
        <w:rPr>
          <w:rFonts w:hint="eastAsia" w:ascii="Times New Roman" w:hAnsi="Times New Roman" w:eastAsia="仿宋_GB2312"/>
          <w:sz w:val="32"/>
          <w:szCs w:val="32"/>
          <w:highlight w:val="none"/>
          <w:lang w:val="en-US" w:eastAsia="zh-CN"/>
        </w:rPr>
        <w:t>商会交流，合作项目对接。</w:t>
      </w:r>
    </w:p>
    <w:p w14:paraId="5996882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192</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接待异地商会、招商引资等</w:t>
      </w:r>
      <w:r>
        <w:rPr>
          <w:rFonts w:hint="eastAsia" w:ascii="Times New Roman" w:hAnsi="Times New Roman" w:eastAsia="仿宋_GB2312"/>
          <w:sz w:val="32"/>
          <w:szCs w:val="32"/>
        </w:rPr>
        <w:t>发生的接待支出。</w:t>
      </w:r>
    </w:p>
    <w:p w14:paraId="69A78CDF">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3.57</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怀化市工商业联合会</w:t>
      </w:r>
      <w:r>
        <w:rPr>
          <w:rFonts w:hint="eastAsia" w:ascii="Times New Roman" w:hAnsi="Times New Roman" w:eastAsia="仿宋_GB2312"/>
          <w:sz w:val="32"/>
          <w:szCs w:val="32"/>
        </w:rPr>
        <w:t>本级更新公务用车</w:t>
      </w:r>
      <w:r>
        <w:rPr>
          <w:rFonts w:hint="eastAsia" w:ascii="Times New Roman" w:hAnsi="Times New Roman" w:eastAsia="仿宋_GB2312"/>
          <w:sz w:val="32"/>
          <w:szCs w:val="32"/>
          <w:lang w:val="en-US" w:eastAsia="zh-CN"/>
        </w:rPr>
        <w:t>0辆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3.57</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用于车辆油料费、车辆维修费、车辆保险费、车辆过路费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1331007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3929F92">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本单位无政府性基金收支。</w:t>
      </w:r>
    </w:p>
    <w:p w14:paraId="7BFFAE6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黑体" w:hAnsi="黑体" w:eastAsia="黑体" w:cs="黑体"/>
          <w:b w:val="0"/>
          <w:bCs/>
          <w:sz w:val="32"/>
          <w:szCs w:val="32"/>
          <w:lang w:val="en-US" w:eastAsia="zh-CN"/>
        </w:rPr>
        <w:t>九、国有资本经营预算收入支出决算情况</w:t>
      </w:r>
    </w:p>
    <w:p w14:paraId="7147D72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国有资本经营</w:t>
      </w:r>
      <w:r>
        <w:rPr>
          <w:rFonts w:hint="eastAsia" w:ascii="Times New Roman" w:hAnsi="Times New Roman" w:eastAsia="仿宋_GB2312"/>
          <w:sz w:val="32"/>
          <w:szCs w:val="32"/>
        </w:rPr>
        <w:t>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本单位无国有资本经营收支。</w:t>
      </w:r>
    </w:p>
    <w:p w14:paraId="1E2CDCF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hAnsi="黑体" w:cs="黑体"/>
          <w:b w:val="0"/>
          <w:bCs/>
          <w:sz w:val="32"/>
          <w:szCs w:val="32"/>
          <w:lang w:val="en-US" w:eastAsia="zh-CN"/>
        </w:rPr>
        <w:t>十</w:t>
      </w:r>
      <w:r>
        <w:rPr>
          <w:rFonts w:hint="eastAsia" w:ascii="黑体" w:hAnsi="黑体" w:eastAsia="黑体" w:cs="黑体"/>
          <w:b w:val="0"/>
          <w:bCs/>
          <w:sz w:val="32"/>
          <w:szCs w:val="32"/>
          <w:lang w:val="en-US" w:eastAsia="zh-CN"/>
        </w:rPr>
        <w:t>、关于机关运行经费支出说明</w:t>
      </w:r>
    </w:p>
    <w:p w14:paraId="5A0AD2B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w:t>
      </w:r>
      <w:r>
        <w:rPr>
          <w:rFonts w:hint="eastAsia" w:ascii="Times New Roman" w:hAnsi="Times New Roman" w:eastAsia="仿宋_GB2312"/>
          <w:sz w:val="32"/>
          <w:szCs w:val="32"/>
          <w:lang w:val="en-US" w:eastAsia="zh-CN"/>
        </w:rPr>
        <w:t>部门</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35.15</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1.98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5.97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本年度增加2人，公用经费增加</w:t>
      </w:r>
      <w:r>
        <w:rPr>
          <w:rFonts w:hint="eastAsia" w:ascii="Times New Roman" w:hAnsi="Times New Roman" w:eastAsia="仿宋_GB2312"/>
          <w:sz w:val="32"/>
          <w:szCs w:val="32"/>
        </w:rPr>
        <w:t>。</w:t>
      </w:r>
    </w:p>
    <w:p w14:paraId="7FA62F7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3D26B18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4.71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其中：开支会议费0.44万元，</w:t>
      </w:r>
      <w:r>
        <w:rPr>
          <w:rFonts w:hint="eastAsia" w:ascii="Times New Roman" w:hAnsi="Times New Roman" w:eastAsia="仿宋_GB2312"/>
          <w:sz w:val="32"/>
          <w:szCs w:val="32"/>
          <w:highlight w:val="none"/>
        </w:rPr>
        <w:t>用于召开</w:t>
      </w:r>
      <w:r>
        <w:rPr>
          <w:rFonts w:hint="eastAsia" w:ascii="Times New Roman" w:hAnsi="Times New Roman" w:eastAsia="仿宋_GB2312"/>
          <w:sz w:val="32"/>
          <w:szCs w:val="32"/>
          <w:highlight w:val="none"/>
          <w:lang w:val="en-US" w:eastAsia="zh-CN"/>
        </w:rPr>
        <w:t>民企调查点工作</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46</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做好我市民营企业调查点和“万家民营企业评营商环境”工作</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开支会议费4.12万元，</w:t>
      </w:r>
      <w:r>
        <w:rPr>
          <w:rFonts w:hint="eastAsia" w:ascii="Times New Roman" w:hAnsi="Times New Roman" w:eastAsia="仿宋_GB2312"/>
          <w:sz w:val="32"/>
          <w:szCs w:val="32"/>
          <w:highlight w:val="none"/>
        </w:rPr>
        <w:t>用于</w:t>
      </w:r>
      <w:r>
        <w:rPr>
          <w:rFonts w:hint="eastAsia" w:ascii="Times New Roman" w:hAnsi="Times New Roman" w:eastAsia="仿宋_GB2312"/>
          <w:sz w:val="32"/>
          <w:szCs w:val="32"/>
          <w:highlight w:val="none"/>
          <w:lang w:val="en-US" w:eastAsia="zh-CN"/>
        </w:rPr>
        <w:t>第六届三次执委会会议</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161</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全面总结2022年以来的工作、审议工作报告、通过有关人事事项等</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开支会议费0.15万元，</w:t>
      </w:r>
      <w:r>
        <w:rPr>
          <w:rFonts w:hint="eastAsia" w:ascii="Times New Roman" w:hAnsi="Times New Roman" w:eastAsia="仿宋_GB2312"/>
          <w:sz w:val="32"/>
          <w:szCs w:val="32"/>
          <w:highlight w:val="none"/>
        </w:rPr>
        <w:t>用于</w:t>
      </w:r>
      <w:r>
        <w:rPr>
          <w:rFonts w:hint="eastAsia" w:ascii="Times New Roman" w:hAnsi="Times New Roman" w:eastAsia="仿宋_GB2312"/>
          <w:sz w:val="32"/>
          <w:szCs w:val="32"/>
          <w:highlight w:val="none"/>
          <w:lang w:val="en-US" w:eastAsia="zh-CN"/>
        </w:rPr>
        <w:t>涉案企业合规第三方监督评估机制管委会2023年第一次全体会议</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22</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汇报我市涉案企业合规改革工作开展情况、讨论通过《关于办理涉案企业合规改革案件的工作指引》（讨论稿）等</w:t>
      </w:r>
      <w:r>
        <w:rPr>
          <w:rFonts w:hint="eastAsia" w:ascii="Times New Roman" w:hAnsi="Times New Roman" w:eastAsia="仿宋_GB2312"/>
          <w:sz w:val="32"/>
          <w:szCs w:val="32"/>
          <w:highlight w:val="none"/>
          <w:lang w:eastAsia="zh-CN"/>
        </w:rPr>
        <w:t>。</w:t>
      </w:r>
    </w:p>
    <w:p w14:paraId="5AFF9D3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年本部门开支培训费</w:t>
      </w:r>
      <w:r>
        <w:rPr>
          <w:rFonts w:hint="eastAsia" w:ascii="Times New Roman" w:hAnsi="Times New Roman" w:eastAsia="仿宋_GB2312"/>
          <w:sz w:val="32"/>
          <w:szCs w:val="32"/>
          <w:highlight w:val="none"/>
          <w:lang w:val="en-US" w:eastAsia="zh-CN"/>
        </w:rPr>
        <w:t>3.31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其中：</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0.12</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val="en-US" w:eastAsia="zh-CN"/>
        </w:rPr>
        <w:t>2022年全省事业单位工作人员</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各级各类事业单位在编在册在岗工作人员参加学习公共科目和专业科目，培养造就高素质专业化事业单位人员队伍</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0.15</w:t>
      </w:r>
      <w:r>
        <w:rPr>
          <w:rFonts w:hint="eastAsia" w:ascii="Times New Roman" w:hAnsi="Times New Roman" w:eastAsia="仿宋_GB2312"/>
          <w:sz w:val="32"/>
          <w:szCs w:val="32"/>
          <w:highlight w:val="none"/>
        </w:rPr>
        <w:t>万元，用于</w:t>
      </w:r>
      <w:r>
        <w:rPr>
          <w:rFonts w:hint="eastAsia" w:ascii="Times New Roman" w:hAnsi="Times New Roman" w:eastAsia="仿宋_GB2312"/>
          <w:sz w:val="32"/>
          <w:szCs w:val="32"/>
          <w:highlight w:val="none"/>
          <w:lang w:val="en-US" w:eastAsia="zh-CN"/>
        </w:rPr>
        <w:t>参加2023年全国检查理论研究人才培训</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培训涉案企业合规实务与理论疑难问题、专项企业合规与合规案例培育等</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3.04</w:t>
      </w:r>
      <w:r>
        <w:rPr>
          <w:rFonts w:hint="eastAsia" w:ascii="Times New Roman" w:hAnsi="Times New Roman" w:eastAsia="仿宋_GB2312"/>
          <w:sz w:val="32"/>
          <w:szCs w:val="32"/>
          <w:highlight w:val="none"/>
        </w:rPr>
        <w:t>万元，用于</w:t>
      </w:r>
      <w:r>
        <w:rPr>
          <w:rFonts w:hint="eastAsia" w:ascii="Times New Roman" w:hAnsi="Times New Roman" w:eastAsia="仿宋_GB2312"/>
          <w:sz w:val="32"/>
          <w:szCs w:val="32"/>
          <w:highlight w:val="none"/>
          <w:lang w:val="en-US" w:eastAsia="zh-CN"/>
        </w:rPr>
        <w:t>涉案企业合规改革暨第三方监督评估工作</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183</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涉案企业合规改革的相关实务问题、企业合规实操及案例分析等</w:t>
      </w:r>
      <w:r>
        <w:rPr>
          <w:rFonts w:hint="eastAsia" w:ascii="Times New Roman" w:hAnsi="Times New Roman" w:eastAsia="仿宋_GB2312"/>
          <w:sz w:val="32"/>
          <w:szCs w:val="32"/>
          <w:highlight w:val="none"/>
          <w:lang w:eastAsia="zh-CN"/>
        </w:rPr>
        <w:t>。</w:t>
      </w:r>
    </w:p>
    <w:p w14:paraId="4D48C4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highlight w:val="yellow"/>
          <w:lang w:val="en-US" w:eastAsia="zh-CN" w:bidi="ar-SA"/>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w:t>
      </w:r>
      <w:r>
        <w:rPr>
          <w:rFonts w:hint="eastAsia" w:ascii="Times New Roman" w:hAnsi="Times New Roman" w:eastAsia="仿宋_GB2312"/>
          <w:sz w:val="32"/>
          <w:szCs w:val="32"/>
          <w:highlight w:val="none"/>
          <w:lang w:val="en-US" w:eastAsia="zh-CN"/>
        </w:rPr>
        <w:t>未</w:t>
      </w:r>
      <w:r>
        <w:rPr>
          <w:rFonts w:hint="eastAsia" w:ascii="Times New Roman" w:hAnsi="Times New Roman" w:eastAsia="仿宋_GB2312"/>
          <w:sz w:val="32"/>
          <w:szCs w:val="32"/>
          <w:highlight w:val="none"/>
        </w:rPr>
        <w:t>举办节庆、晚会、论坛、赛事活动</w:t>
      </w:r>
      <w:r>
        <w:rPr>
          <w:rFonts w:hint="eastAsia" w:ascii="Times New Roman" w:hAnsi="Times New Roman" w:eastAsia="仿宋_GB2312"/>
          <w:sz w:val="32"/>
          <w:szCs w:val="32"/>
          <w:highlight w:val="none"/>
          <w:lang w:eastAsia="zh-CN"/>
        </w:rPr>
        <w:t>。</w:t>
      </w:r>
    </w:p>
    <w:p w14:paraId="2AE2248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29A68D3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2A6D327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658893F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sz w:val="32"/>
          <w:szCs w:val="32"/>
        </w:rPr>
        <w:t>其他用车主要是</w:t>
      </w:r>
      <w:r>
        <w:rPr>
          <w:rFonts w:hint="eastAsia" w:ascii="Times New Roman" w:hAnsi="Times New Roman" w:eastAsia="仿宋_GB2312"/>
          <w:sz w:val="32"/>
          <w:szCs w:val="32"/>
          <w:lang w:val="en-US" w:eastAsia="zh-CN"/>
        </w:rPr>
        <w:t>保障单位正常运行公务联络用车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7E628D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506626C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3E13FA2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eastAsia="zh-CN"/>
        </w:rPr>
        <w:t>我</w:t>
      </w:r>
      <w:r>
        <w:rPr>
          <w:rFonts w:hint="eastAsia" w:ascii="Times New Roman" w:hAnsi="Times New Roman" w:eastAsia="仿宋_GB2312"/>
          <w:color w:val="auto"/>
          <w:sz w:val="32"/>
          <w:szCs w:val="32"/>
          <w:lang w:val="en-US" w:eastAsia="zh-CN"/>
        </w:rPr>
        <w:t>部门</w:t>
      </w:r>
      <w:r>
        <w:rPr>
          <w:rFonts w:hint="eastAsia" w:ascii="Times New Roman" w:hAnsi="Times New Roman" w:eastAsia="仿宋_GB2312"/>
          <w:color w:val="auto"/>
          <w:sz w:val="32"/>
          <w:szCs w:val="32"/>
          <w:lang w:eastAsia="zh-CN"/>
        </w:rPr>
        <w:t>继续推进预算绩效管理工作，根据市财政文件要求，开展了</w:t>
      </w:r>
      <w:r>
        <w:rPr>
          <w:rFonts w:hint="eastAsia" w:ascii="Times New Roman" w:hAnsi="Times New Roman" w:eastAsia="仿宋_GB2312"/>
          <w:color w:val="auto"/>
          <w:sz w:val="32"/>
          <w:szCs w:val="32"/>
          <w:lang w:val="en-US" w:eastAsia="zh-CN"/>
        </w:rPr>
        <w:t>2023年度市级预算支出绩效运行监控</w:t>
      </w:r>
      <w:r>
        <w:rPr>
          <w:rFonts w:hint="eastAsia" w:ascii="Times New Roman" w:hAnsi="Times New Roman" w:eastAsia="仿宋_GB2312"/>
          <w:color w:val="auto"/>
          <w:sz w:val="32"/>
          <w:szCs w:val="32"/>
          <w:lang w:eastAsia="zh-CN"/>
        </w:rPr>
        <w:t>与</w:t>
      </w:r>
      <w:r>
        <w:rPr>
          <w:rFonts w:hint="eastAsia" w:ascii="Times New Roman" w:hAnsi="Times New Roman" w:eastAsia="仿宋_GB2312"/>
          <w:color w:val="auto"/>
          <w:sz w:val="32"/>
          <w:szCs w:val="32"/>
          <w:lang w:val="en-US" w:eastAsia="zh-CN"/>
        </w:rPr>
        <w:t>2023年度</w:t>
      </w:r>
      <w:r>
        <w:rPr>
          <w:rFonts w:hint="eastAsia" w:ascii="Times New Roman" w:hAnsi="Times New Roman" w:eastAsia="仿宋_GB2312"/>
          <w:color w:val="auto"/>
          <w:sz w:val="32"/>
          <w:szCs w:val="32"/>
          <w:lang w:eastAsia="zh-CN"/>
        </w:rPr>
        <w:t>预算支出绩效自评工作，对部门整体支出绩效从运行成本、管理效率、履职效能、社会效应、可持续发展能力和服务对象满意度等方面做出了客观评价，形成了2023年部门整体支出绩效评价报告并予以公开，评价报告详见附件二。对核心业务实施效果开展了项目支出绩效评价，形成了2023年项目支出绩效评价报告，并予以公开，评价报告详见附件</w:t>
      </w:r>
      <w:r>
        <w:rPr>
          <w:rFonts w:hint="eastAsia" w:ascii="Times New Roman" w:hAnsi="Times New Roman" w:eastAsia="仿宋_GB2312"/>
          <w:color w:val="auto"/>
          <w:sz w:val="32"/>
          <w:szCs w:val="32"/>
          <w:lang w:val="en-US" w:eastAsia="zh-CN"/>
        </w:rPr>
        <w:t>三。</w:t>
      </w:r>
    </w:p>
    <w:p w14:paraId="0D6FB37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783604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仿宋" w:hAnsi="仿宋" w:eastAsia="仿宋" w:cs="仿宋"/>
          <w:i w:val="0"/>
          <w:iCs w:val="0"/>
          <w:caps w:val="0"/>
          <w:color w:val="000000"/>
          <w:spacing w:val="0"/>
          <w:sz w:val="32"/>
          <w:szCs w:val="32"/>
          <w:shd w:val="clear" w:fill="FFFFFF"/>
          <w:lang w:val="en-US" w:eastAsia="zh-CN"/>
        </w:rPr>
        <w:t>根据怀财绩〔2024〕46号</w:t>
      </w:r>
      <w:r>
        <w:rPr>
          <w:rFonts w:hint="eastAsia" w:ascii="Times New Roman" w:hAnsi="Times New Roman" w:eastAsia="仿宋_GB2312"/>
          <w:sz w:val="32"/>
          <w:szCs w:val="32"/>
          <w:lang w:val="en-US" w:eastAsia="zh-CN"/>
        </w:rPr>
        <w:t>文件要求，我部门组织对2023年度一般公共预算整体支出、项目支出全面开展绩效自评，2023年本部门</w:t>
      </w:r>
      <w:r>
        <w:rPr>
          <w:rFonts w:hint="default" w:ascii="Times New Roman" w:hAnsi="Times New Roman" w:eastAsia="仿宋_GB2312"/>
          <w:sz w:val="32"/>
          <w:szCs w:val="32"/>
          <w:lang w:val="en-US" w:eastAsia="zh-CN"/>
        </w:rPr>
        <w:t>共</w:t>
      </w:r>
      <w:r>
        <w:rPr>
          <w:rFonts w:hint="eastAsia" w:ascii="Times New Roman" w:hAnsi="Times New Roman" w:eastAsia="仿宋_GB2312"/>
          <w:sz w:val="32"/>
          <w:szCs w:val="32"/>
          <w:lang w:val="en-US" w:eastAsia="zh-CN"/>
        </w:rPr>
        <w:t>涉及一般公共预算支出528.45</w:t>
      </w:r>
      <w:r>
        <w:rPr>
          <w:rFonts w:hint="default" w:ascii="Times New Roman" w:hAnsi="Times New Roman" w:eastAsia="仿宋_GB2312"/>
          <w:sz w:val="32"/>
          <w:szCs w:val="32"/>
          <w:lang w:val="en-US" w:eastAsia="zh-CN"/>
        </w:rPr>
        <w:t>万元</w:t>
      </w:r>
      <w:r>
        <w:rPr>
          <w:rFonts w:hint="eastAsia" w:ascii="Times New Roman" w:hAnsi="Times New Roman" w:eastAsia="仿宋_GB2312"/>
          <w:sz w:val="32"/>
          <w:szCs w:val="32"/>
          <w:lang w:val="en-US" w:eastAsia="zh-CN"/>
        </w:rPr>
        <w:t>，其中：基本支出339.22万元，项目支出189.23万元。</w:t>
      </w:r>
      <w:r>
        <w:rPr>
          <w:rFonts w:hint="eastAsia" w:ascii="仿宋" w:hAnsi="仿宋" w:eastAsia="仿宋" w:cs="仿宋"/>
          <w:color w:val="000000" w:themeColor="text1"/>
          <w:kern w:val="0"/>
          <w:sz w:val="32"/>
          <w:szCs w:val="32"/>
          <w14:textFill>
            <w14:solidFill>
              <w14:schemeClr w14:val="tx1"/>
            </w14:solidFill>
          </w14:textFill>
        </w:rPr>
        <w:t>本单位</w:t>
      </w:r>
      <w:r>
        <w:rPr>
          <w:rFonts w:hint="eastAsia" w:ascii="Times New Roman" w:hAnsi="Times New Roman" w:eastAsia="仿宋_GB2312"/>
          <w:sz w:val="32"/>
          <w:szCs w:val="32"/>
          <w:lang w:val="en-US" w:eastAsia="zh-CN"/>
        </w:rPr>
        <w:t>从经济性、效率性、有效性和可持续性对2023年部门整体支出绩效开展了评价，</w:t>
      </w:r>
      <w:r>
        <w:rPr>
          <w:rFonts w:hint="eastAsia" w:ascii="仿宋" w:hAnsi="仿宋" w:eastAsia="仿宋" w:cs="仿宋"/>
          <w:color w:val="auto"/>
          <w:spacing w:val="-2"/>
          <w:sz w:val="32"/>
          <w:szCs w:val="32"/>
          <w:lang w:val="en-US" w:eastAsia="zh-CN"/>
        </w:rPr>
        <w:t>绩效自评表自</w:t>
      </w:r>
      <w:r>
        <w:rPr>
          <w:rFonts w:hint="eastAsia" w:ascii="仿宋" w:hAnsi="仿宋" w:eastAsia="仿宋" w:cs="仿宋"/>
          <w:color w:val="auto"/>
          <w:spacing w:val="-2"/>
          <w:sz w:val="32"/>
          <w:szCs w:val="32"/>
          <w:highlight w:val="none"/>
          <w:lang w:val="en-US" w:eastAsia="zh-CN"/>
        </w:rPr>
        <w:t>评98</w:t>
      </w:r>
      <w:r>
        <w:rPr>
          <w:rFonts w:hint="eastAsia" w:ascii="仿宋" w:hAnsi="仿宋" w:eastAsia="仿宋" w:cs="仿宋"/>
          <w:color w:val="auto"/>
          <w:spacing w:val="-2"/>
          <w:sz w:val="32"/>
          <w:szCs w:val="32"/>
          <w:highlight w:val="none"/>
        </w:rPr>
        <w:t>分</w:t>
      </w:r>
      <w:r>
        <w:rPr>
          <w:rFonts w:hint="eastAsia" w:ascii="Times New Roman" w:hAnsi="Times New Roman" w:eastAsia="仿宋_GB2312"/>
          <w:sz w:val="32"/>
          <w:szCs w:val="32"/>
          <w:lang w:val="en-US" w:eastAsia="zh-CN"/>
        </w:rPr>
        <w:t>，</w:t>
      </w:r>
      <w:r>
        <w:rPr>
          <w:rFonts w:hint="default" w:ascii="仿宋" w:hAnsi="仿宋" w:eastAsia="仿宋" w:cs="仿宋"/>
          <w:i w:val="0"/>
          <w:iCs w:val="0"/>
          <w:caps w:val="0"/>
          <w:color w:val="000000"/>
          <w:spacing w:val="0"/>
          <w:sz w:val="32"/>
          <w:szCs w:val="32"/>
          <w:shd w:val="clear" w:fill="FFFFFF"/>
          <w:lang w:val="en-US" w:eastAsia="zh-CN"/>
        </w:rPr>
        <w:t>自评等级为</w:t>
      </w:r>
      <w:r>
        <w:rPr>
          <w:rFonts w:hint="eastAsia" w:ascii="仿宋" w:hAnsi="仿宋" w:eastAsia="仿宋" w:cs="仿宋"/>
          <w:i w:val="0"/>
          <w:iCs w:val="0"/>
          <w:caps w:val="0"/>
          <w:color w:val="000000"/>
          <w:spacing w:val="0"/>
          <w:sz w:val="32"/>
          <w:szCs w:val="32"/>
          <w:shd w:val="clear" w:fill="FFFFFF"/>
          <w:lang w:val="en-US" w:eastAsia="zh-CN"/>
        </w:rPr>
        <w:t>优</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从评价情况来看，</w:t>
      </w:r>
      <w:r>
        <w:rPr>
          <w:rFonts w:hint="eastAsia" w:ascii="仿宋" w:hAnsi="仿宋" w:eastAsia="仿宋" w:cs="仿宋"/>
          <w:color w:val="000000" w:themeColor="text1"/>
          <w:kern w:val="0"/>
          <w:sz w:val="32"/>
          <w:szCs w:val="32"/>
          <w:lang w:val="en-US" w:eastAsia="zh-CN"/>
          <w14:textFill>
            <w14:solidFill>
              <w14:schemeClr w14:val="tx1"/>
            </w14:solidFill>
          </w14:textFill>
        </w:rPr>
        <w:t>绩效指标设置符合部门职责和相关管理规定</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通过项目实施</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较好的完成了年初设定的各项工作目标，取得较好的成效。</w:t>
      </w:r>
      <w:r>
        <w:rPr>
          <w:rFonts w:hint="eastAsia" w:ascii="仿宋" w:hAnsi="仿宋" w:eastAsia="仿宋" w:cs="仿宋"/>
          <w:color w:val="auto"/>
          <w:spacing w:val="-2"/>
          <w:sz w:val="32"/>
          <w:szCs w:val="32"/>
          <w:lang w:val="en-US" w:eastAsia="zh-CN"/>
        </w:rPr>
        <w:t>我单位组织民营经济领域代表、委员提交建议提案34份，省级政协提案4份，全年落实提案</w:t>
      </w:r>
      <w:r>
        <w:rPr>
          <w:rFonts w:hint="eastAsia" w:ascii="仿宋" w:hAnsi="仿宋" w:eastAsia="仿宋" w:cs="仿宋"/>
          <w:color w:val="auto"/>
          <w:spacing w:val="-2"/>
          <w:sz w:val="32"/>
          <w:szCs w:val="32"/>
          <w:lang w:eastAsia="zh-CN"/>
        </w:rPr>
        <w:t>办理</w:t>
      </w:r>
      <w:r>
        <w:rPr>
          <w:rFonts w:hint="eastAsia" w:ascii="仿宋" w:hAnsi="仿宋" w:eastAsia="仿宋" w:cs="仿宋"/>
          <w:color w:val="auto"/>
          <w:spacing w:val="-2"/>
          <w:sz w:val="32"/>
          <w:szCs w:val="32"/>
          <w:lang w:val="en-US" w:eastAsia="zh-CN"/>
        </w:rPr>
        <w:t>7件，报送社情民意17篇，完成调研报告3篇；积极开展外出招商引资工作，全年外出北京、上海、武汉等省内外各地开展招商引资工作9次；成功举办第三届怀商大会暨“湘商回归”恳谈会</w:t>
      </w:r>
      <w:r>
        <w:rPr>
          <w:rFonts w:hint="eastAsia" w:ascii="仿宋" w:hAnsi="仿宋" w:eastAsia="仿宋" w:cs="仿宋"/>
          <w:color w:val="auto"/>
          <w:spacing w:val="-2"/>
          <w:sz w:val="32"/>
          <w:szCs w:val="32"/>
          <w:lang w:val="en" w:eastAsia="zh-CN"/>
        </w:rPr>
        <w:t>，</w:t>
      </w:r>
      <w:r>
        <w:rPr>
          <w:rFonts w:hint="eastAsia" w:ascii="仿宋" w:hAnsi="仿宋" w:eastAsia="仿宋" w:cs="仿宋"/>
          <w:color w:val="auto"/>
          <w:spacing w:val="-2"/>
          <w:sz w:val="32"/>
          <w:szCs w:val="32"/>
          <w:lang w:val="en-US" w:eastAsia="zh-CN"/>
        </w:rPr>
        <w:t>积极筹备全球湘商大会，</w:t>
      </w:r>
      <w:r>
        <w:rPr>
          <w:rFonts w:hint="default" w:ascii="仿宋" w:hAnsi="仿宋" w:eastAsia="仿宋" w:cs="仿宋"/>
          <w:color w:val="auto"/>
          <w:spacing w:val="-2"/>
          <w:sz w:val="32"/>
          <w:szCs w:val="32"/>
        </w:rPr>
        <w:t>建立湘商数据库，开展以商招商、驻点招商，驻点长沙怀化商会招商签约项目2个，投资2000万元，实质性推进项目16个</w:t>
      </w:r>
      <w:r>
        <w:rPr>
          <w:rFonts w:hint="eastAsia" w:ascii="仿宋" w:hAnsi="仿宋" w:eastAsia="仿宋" w:cs="仿宋"/>
          <w:color w:val="000000" w:themeColor="text1"/>
          <w:kern w:val="0"/>
          <w:sz w:val="32"/>
          <w:szCs w:val="32"/>
          <w:lang w:val="en-US"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202</w:t>
      </w:r>
      <w:r>
        <w:rPr>
          <w:rFonts w:hint="eastAsia" w:ascii="仿宋" w:hAnsi="仿宋" w:eastAsia="仿宋" w:cs="仿宋"/>
          <w:color w:val="000000" w:themeColor="text1"/>
          <w:kern w:val="0"/>
          <w:sz w:val="32"/>
          <w:szCs w:val="32"/>
          <w:lang w:val="en-US" w:eastAsia="zh-CN"/>
          <w14:textFill>
            <w14:solidFill>
              <w14:schemeClr w14:val="tx1"/>
            </w14:solidFill>
          </w14:textFill>
        </w:rPr>
        <w:t>3</w:t>
      </w:r>
      <w:r>
        <w:rPr>
          <w:rFonts w:hint="eastAsia" w:ascii="仿宋" w:hAnsi="仿宋" w:eastAsia="仿宋" w:cs="仿宋"/>
          <w:color w:val="000000" w:themeColor="text1"/>
          <w:kern w:val="0"/>
          <w:sz w:val="32"/>
          <w:szCs w:val="32"/>
          <w14:textFill>
            <w14:solidFill>
              <w14:schemeClr w14:val="tx1"/>
            </w14:solidFill>
          </w14:textFill>
        </w:rPr>
        <w:t>年整体支出绩效评价</w:t>
      </w:r>
      <w:r>
        <w:rPr>
          <w:rFonts w:hint="eastAsia" w:ascii="仿宋" w:hAnsi="仿宋" w:eastAsia="仿宋" w:cs="仿宋"/>
          <w:color w:val="000000" w:themeColor="text1"/>
          <w:kern w:val="0"/>
          <w:sz w:val="32"/>
          <w:szCs w:val="32"/>
          <w:lang w:val="en-US" w:eastAsia="zh-CN"/>
          <w14:textFill>
            <w14:solidFill>
              <w14:schemeClr w14:val="tx1"/>
            </w14:solidFill>
          </w14:textFill>
        </w:rPr>
        <w:t>报告</w:t>
      </w:r>
      <w:r>
        <w:rPr>
          <w:rFonts w:hint="eastAsia" w:ascii="仿宋" w:hAnsi="仿宋" w:eastAsia="仿宋" w:cs="仿宋"/>
          <w:color w:val="000000" w:themeColor="text1"/>
          <w:kern w:val="0"/>
          <w:sz w:val="32"/>
          <w:szCs w:val="32"/>
          <w14:textFill>
            <w14:solidFill>
              <w14:schemeClr w14:val="tx1"/>
            </w14:solidFill>
          </w14:textFill>
        </w:rPr>
        <w:t>详见附件</w:t>
      </w:r>
      <w:r>
        <w:rPr>
          <w:rFonts w:hint="eastAsia" w:ascii="仿宋" w:hAnsi="仿宋" w:eastAsia="仿宋" w:cs="仿宋"/>
          <w:color w:val="000000" w:themeColor="text1"/>
          <w:kern w:val="0"/>
          <w:sz w:val="32"/>
          <w:szCs w:val="32"/>
          <w:lang w:eastAsia="zh-CN"/>
          <w14:textFill>
            <w14:solidFill>
              <w14:schemeClr w14:val="tx1"/>
            </w14:solidFill>
          </w14:textFill>
        </w:rPr>
        <w:t>。</w:t>
      </w:r>
    </w:p>
    <w:p w14:paraId="5875243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 w:hAnsi="仿宋" w:eastAsia="仿宋" w:cs="仿宋"/>
          <w:color w:val="auto"/>
          <w:spacing w:val="-2"/>
          <w:sz w:val="32"/>
          <w:szCs w:val="32"/>
          <w:lang w:val="en-US" w:eastAsia="zh-CN"/>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1D8D4F7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32" w:firstLineChars="200"/>
        <w:jc w:val="left"/>
        <w:textAlignment w:val="auto"/>
        <w:rPr>
          <w:rFonts w:hint="default"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1.预算编制口径不合理。个别日常运转经费未纳入年初预算。</w:t>
      </w:r>
    </w:p>
    <w:p w14:paraId="323023C0">
      <w:pPr>
        <w:pStyle w:val="13"/>
        <w:ind w:firstLine="632" w:firstLineChars="200"/>
        <w:jc w:val="both"/>
        <w:rPr>
          <w:sz w:val="72"/>
          <w:szCs w:val="72"/>
        </w:rPr>
      </w:pPr>
      <w:r>
        <w:rPr>
          <w:rFonts w:hint="eastAsia" w:ascii="仿宋" w:hAnsi="仿宋" w:eastAsia="仿宋" w:cs="仿宋"/>
          <w:color w:val="auto"/>
          <w:spacing w:val="-2"/>
          <w:sz w:val="32"/>
          <w:szCs w:val="32"/>
          <w:lang w:val="en-US" w:eastAsia="zh-CN"/>
        </w:rPr>
        <w:t>2.预算支出部门经济科目的使用不够准确，主要是因为财政计划额度下拨追加项目资金无法根据实际情况申请对应部门经济科目。</w:t>
      </w:r>
    </w:p>
    <w:p w14:paraId="20A290A6">
      <w:pPr>
        <w:pStyle w:val="13"/>
        <w:jc w:val="center"/>
        <w:rPr>
          <w:sz w:val="72"/>
          <w:szCs w:val="72"/>
        </w:rPr>
      </w:pPr>
    </w:p>
    <w:p w14:paraId="2139F219">
      <w:pPr>
        <w:pStyle w:val="13"/>
        <w:jc w:val="center"/>
        <w:rPr>
          <w:sz w:val="72"/>
          <w:szCs w:val="72"/>
        </w:rPr>
      </w:pPr>
    </w:p>
    <w:p w14:paraId="21B58985">
      <w:pPr>
        <w:pStyle w:val="13"/>
        <w:jc w:val="both"/>
        <w:rPr>
          <w:rFonts w:hint="eastAsia" w:ascii="方正小标宋_GBK" w:hAnsi="方正小标宋_GBK" w:eastAsia="方正小标宋_GBK" w:cs="方正小标宋_GBK"/>
          <w:sz w:val="72"/>
          <w:szCs w:val="72"/>
        </w:rPr>
      </w:pPr>
    </w:p>
    <w:p w14:paraId="24B950B3">
      <w:pPr>
        <w:pStyle w:val="13"/>
        <w:jc w:val="center"/>
        <w:rPr>
          <w:rFonts w:hint="eastAsia" w:ascii="方正小标宋_GBK" w:hAnsi="方正小标宋_GBK" w:eastAsia="方正小标宋_GBK" w:cs="方正小标宋_GBK"/>
          <w:sz w:val="72"/>
          <w:szCs w:val="72"/>
        </w:rPr>
      </w:pPr>
    </w:p>
    <w:p w14:paraId="3C538FEF">
      <w:pPr>
        <w:pStyle w:val="13"/>
        <w:jc w:val="both"/>
        <w:rPr>
          <w:rFonts w:hint="eastAsia" w:ascii="方正小标宋_GBK" w:hAnsi="方正小标宋_GBK" w:eastAsia="方正小标宋_GBK" w:cs="方正小标宋_GBK"/>
          <w:sz w:val="72"/>
          <w:szCs w:val="72"/>
        </w:rPr>
      </w:pPr>
    </w:p>
    <w:p w14:paraId="13CE7E33">
      <w:pPr>
        <w:pStyle w:val="13"/>
        <w:jc w:val="center"/>
        <w:rPr>
          <w:rFonts w:hint="eastAsia" w:ascii="方正小标宋_GBK" w:hAnsi="方正小标宋_GBK" w:eastAsia="方正小标宋_GBK" w:cs="方正小标宋_GBK"/>
          <w:sz w:val="72"/>
          <w:szCs w:val="72"/>
        </w:rPr>
      </w:pPr>
    </w:p>
    <w:p w14:paraId="07018E31">
      <w:pPr>
        <w:pStyle w:val="13"/>
        <w:jc w:val="center"/>
        <w:rPr>
          <w:rFonts w:hint="eastAsia" w:ascii="方正小标宋_GBK" w:hAnsi="方正小标宋_GBK" w:eastAsia="方正小标宋_GBK" w:cs="方正小标宋_GBK"/>
          <w:sz w:val="72"/>
          <w:szCs w:val="72"/>
        </w:rPr>
      </w:pPr>
    </w:p>
    <w:p w14:paraId="5DAA590A">
      <w:pPr>
        <w:pStyle w:val="13"/>
        <w:jc w:val="center"/>
        <w:rPr>
          <w:rFonts w:hint="eastAsia" w:ascii="方正小标宋_GBK" w:hAnsi="方正小标宋_GBK" w:eastAsia="方正小标宋_GBK" w:cs="方正小标宋_GBK"/>
          <w:sz w:val="72"/>
          <w:szCs w:val="72"/>
        </w:rPr>
      </w:pPr>
    </w:p>
    <w:p w14:paraId="15FEC4EC">
      <w:pPr>
        <w:pStyle w:val="13"/>
        <w:jc w:val="center"/>
        <w:rPr>
          <w:rFonts w:hint="eastAsia" w:ascii="方正小标宋_GBK" w:hAnsi="方正小标宋_GBK" w:eastAsia="方正小标宋_GBK" w:cs="方正小标宋_GBK"/>
          <w:sz w:val="72"/>
          <w:szCs w:val="72"/>
        </w:rPr>
      </w:pPr>
    </w:p>
    <w:p w14:paraId="795D718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91E5944">
      <w:pPr>
        <w:jc w:val="center"/>
        <w:rPr>
          <w:rFonts w:hint="eastAsia" w:ascii="方正小标宋_GBK" w:hAnsi="方正小标宋_GBK" w:eastAsia="方正小标宋_GBK" w:cs="方正小标宋_GBK"/>
          <w:color w:val="000000"/>
          <w:kern w:val="0"/>
          <w:sz w:val="70"/>
          <w:szCs w:val="70"/>
        </w:rPr>
      </w:pPr>
    </w:p>
    <w:p w14:paraId="0E650E48">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169DAAB">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09E23E6">
      <w:pPr>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7ADEEBB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03F077F">
      <w:pPr>
        <w:pStyle w:val="13"/>
        <w:jc w:val="center"/>
        <w:rPr>
          <w:sz w:val="72"/>
          <w:szCs w:val="72"/>
        </w:rPr>
      </w:pPr>
    </w:p>
    <w:p w14:paraId="36AF6042">
      <w:pPr>
        <w:pStyle w:val="13"/>
        <w:jc w:val="center"/>
        <w:rPr>
          <w:sz w:val="72"/>
          <w:szCs w:val="72"/>
        </w:rPr>
      </w:pPr>
    </w:p>
    <w:p w14:paraId="0322A5A2">
      <w:pPr>
        <w:pStyle w:val="13"/>
        <w:jc w:val="center"/>
        <w:rPr>
          <w:sz w:val="72"/>
          <w:szCs w:val="72"/>
        </w:rPr>
      </w:pPr>
    </w:p>
    <w:p w14:paraId="2D220827">
      <w:pPr>
        <w:pStyle w:val="13"/>
        <w:jc w:val="center"/>
        <w:rPr>
          <w:sz w:val="72"/>
          <w:szCs w:val="72"/>
        </w:rPr>
      </w:pPr>
    </w:p>
    <w:p w14:paraId="68823F37">
      <w:pPr>
        <w:pStyle w:val="13"/>
        <w:jc w:val="center"/>
        <w:rPr>
          <w:sz w:val="72"/>
          <w:szCs w:val="72"/>
        </w:rPr>
      </w:pPr>
    </w:p>
    <w:p w14:paraId="48CFA6B5">
      <w:pPr>
        <w:pStyle w:val="13"/>
        <w:jc w:val="center"/>
        <w:rPr>
          <w:sz w:val="72"/>
          <w:szCs w:val="72"/>
        </w:rPr>
      </w:pPr>
    </w:p>
    <w:p w14:paraId="5885AE48">
      <w:pPr>
        <w:pStyle w:val="13"/>
        <w:jc w:val="center"/>
        <w:rPr>
          <w:sz w:val="72"/>
          <w:szCs w:val="72"/>
        </w:rPr>
      </w:pPr>
    </w:p>
    <w:p w14:paraId="455D4F5E">
      <w:pPr>
        <w:pStyle w:val="13"/>
        <w:jc w:val="center"/>
        <w:rPr>
          <w:sz w:val="72"/>
          <w:szCs w:val="72"/>
        </w:rPr>
      </w:pPr>
    </w:p>
    <w:p w14:paraId="241C1C2F">
      <w:pPr>
        <w:rPr>
          <w:sz w:val="72"/>
          <w:szCs w:val="72"/>
        </w:rPr>
      </w:pPr>
      <w:r>
        <w:rPr>
          <w:sz w:val="72"/>
          <w:szCs w:val="72"/>
        </w:rPr>
        <w:br w:type="page"/>
      </w:r>
    </w:p>
    <w:p w14:paraId="27C2F3D9">
      <w:pPr>
        <w:pStyle w:val="13"/>
        <w:jc w:val="center"/>
        <w:rPr>
          <w:rFonts w:hint="eastAsia" w:ascii="方正小标宋_GBK" w:hAnsi="方正小标宋_GBK" w:eastAsia="方正小标宋_GBK" w:cs="方正小标宋_GBK"/>
          <w:sz w:val="72"/>
          <w:szCs w:val="72"/>
        </w:rPr>
      </w:pPr>
    </w:p>
    <w:p w14:paraId="58A6824B">
      <w:pPr>
        <w:pStyle w:val="13"/>
        <w:jc w:val="center"/>
        <w:rPr>
          <w:rFonts w:hint="eastAsia" w:ascii="方正小标宋_GBK" w:hAnsi="方正小标宋_GBK" w:eastAsia="方正小标宋_GBK" w:cs="方正小标宋_GBK"/>
          <w:sz w:val="72"/>
          <w:szCs w:val="72"/>
        </w:rPr>
      </w:pPr>
    </w:p>
    <w:p w14:paraId="04743EC3">
      <w:pPr>
        <w:pStyle w:val="13"/>
        <w:jc w:val="center"/>
        <w:rPr>
          <w:rFonts w:hint="eastAsia" w:ascii="方正小标宋_GBK" w:hAnsi="方正小标宋_GBK" w:eastAsia="方正小标宋_GBK" w:cs="方正小标宋_GBK"/>
          <w:sz w:val="72"/>
          <w:szCs w:val="72"/>
        </w:rPr>
      </w:pPr>
    </w:p>
    <w:p w14:paraId="7499758B">
      <w:pPr>
        <w:pStyle w:val="13"/>
        <w:jc w:val="center"/>
        <w:rPr>
          <w:rFonts w:hint="eastAsia" w:ascii="方正小标宋_GBK" w:hAnsi="方正小标宋_GBK" w:eastAsia="方正小标宋_GBK" w:cs="方正小标宋_GBK"/>
          <w:sz w:val="72"/>
          <w:szCs w:val="72"/>
        </w:rPr>
      </w:pPr>
    </w:p>
    <w:p w14:paraId="32B9BF16">
      <w:pPr>
        <w:pStyle w:val="13"/>
        <w:jc w:val="center"/>
        <w:rPr>
          <w:rFonts w:hint="eastAsia" w:ascii="方正小标宋_GBK" w:hAnsi="方正小标宋_GBK" w:eastAsia="方正小标宋_GBK" w:cs="方正小标宋_GBK"/>
          <w:sz w:val="72"/>
          <w:szCs w:val="72"/>
        </w:rPr>
      </w:pPr>
    </w:p>
    <w:p w14:paraId="748BA367">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1AB4BDE">
      <w:pPr>
        <w:pStyle w:val="13"/>
        <w:jc w:val="center"/>
        <w:rPr>
          <w:rFonts w:hint="eastAsia" w:ascii="方正小标宋_GBK" w:hAnsi="方正小标宋_GBK" w:eastAsia="方正小标宋_GBK" w:cs="方正小标宋_GBK"/>
          <w:sz w:val="70"/>
          <w:szCs w:val="70"/>
        </w:rPr>
      </w:pPr>
    </w:p>
    <w:p w14:paraId="741A595A">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132A678A">
      <w:pPr>
        <w:rPr>
          <w:sz w:val="72"/>
          <w:szCs w:val="72"/>
        </w:rPr>
      </w:pPr>
      <w:r>
        <w:rPr>
          <w:sz w:val="72"/>
          <w:szCs w:val="72"/>
        </w:rPr>
        <w:br w:type="page"/>
      </w:r>
    </w:p>
    <w:p w14:paraId="44488070">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附件一：怀化市工商业联合会2023年度部门决算公开表</w:t>
      </w:r>
    </w:p>
    <w:p w14:paraId="2EDCEC9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firstLineChars="200"/>
        <w:jc w:val="both"/>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附件二：2023年度</w:t>
      </w:r>
      <w:r>
        <w:rPr>
          <w:rFonts w:hint="eastAsia" w:ascii="Times New Roman" w:hAnsi="Times New Roman" w:eastAsia="仿宋_GB2312" w:cs="黑体"/>
          <w:color w:val="000000"/>
          <w:kern w:val="0"/>
          <w:sz w:val="32"/>
          <w:szCs w:val="32"/>
          <w:lang w:val="en-US" w:eastAsia="zh-CN" w:bidi="ar-SA"/>
        </w:rPr>
        <w:t>怀化市工商业联合会部门整体支出绩效自评报告</w:t>
      </w:r>
    </w:p>
    <w:p w14:paraId="2D9E698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lang w:val="en-US" w:eastAsia="zh-CN"/>
        </w:rPr>
        <w:t>附件三：2023年度</w:t>
      </w:r>
      <w:r>
        <w:rPr>
          <w:rFonts w:hint="eastAsia" w:ascii="Times New Roman" w:hAnsi="Times New Roman" w:eastAsia="仿宋_GB2312" w:cs="黑体"/>
          <w:color w:val="000000"/>
          <w:kern w:val="0"/>
          <w:sz w:val="32"/>
          <w:szCs w:val="32"/>
          <w:lang w:val="en-US" w:eastAsia="zh-CN" w:bidi="ar-SA"/>
        </w:rPr>
        <w:t>怀化市工商业联合会项目资金绩效自评报告</w:t>
      </w:r>
    </w:p>
    <w:p w14:paraId="3BE5488D">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6C8663FB">
      <w:pPr>
        <w:pStyle w:val="13"/>
        <w:jc w:val="center"/>
        <w:rPr>
          <w:sz w:val="72"/>
          <w:szCs w:val="72"/>
        </w:rPr>
      </w:pPr>
    </w:p>
    <w:p w14:paraId="7E33DA0F">
      <w:pPr>
        <w:pStyle w:val="13"/>
        <w:jc w:val="center"/>
        <w:rPr>
          <w:sz w:val="72"/>
          <w:szCs w:val="72"/>
        </w:rPr>
      </w:pPr>
    </w:p>
    <w:p w14:paraId="3BB2F7F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hNzFmNjRiNmQyNzA3ODI2ZTY5ZGExZWQ2MmQzND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4D2967"/>
    <w:rsid w:val="017A5499"/>
    <w:rsid w:val="0247556A"/>
    <w:rsid w:val="029F7154"/>
    <w:rsid w:val="02FF3E39"/>
    <w:rsid w:val="031511C4"/>
    <w:rsid w:val="039667A9"/>
    <w:rsid w:val="04133956"/>
    <w:rsid w:val="048760F2"/>
    <w:rsid w:val="05485881"/>
    <w:rsid w:val="05E76E48"/>
    <w:rsid w:val="077E05CB"/>
    <w:rsid w:val="08862731"/>
    <w:rsid w:val="08B651F8"/>
    <w:rsid w:val="095C7B4D"/>
    <w:rsid w:val="0A3363AE"/>
    <w:rsid w:val="0A3B2B5C"/>
    <w:rsid w:val="0A410AF1"/>
    <w:rsid w:val="0A604C32"/>
    <w:rsid w:val="0A8C4462"/>
    <w:rsid w:val="0ADB2CF4"/>
    <w:rsid w:val="0BB377CC"/>
    <w:rsid w:val="0BE67BA2"/>
    <w:rsid w:val="0BF33EB1"/>
    <w:rsid w:val="0D5A25F6"/>
    <w:rsid w:val="0D7B7C9B"/>
    <w:rsid w:val="0DF254F1"/>
    <w:rsid w:val="0E1A1D85"/>
    <w:rsid w:val="0F7B59D7"/>
    <w:rsid w:val="0F847DFE"/>
    <w:rsid w:val="107C2883"/>
    <w:rsid w:val="12122C88"/>
    <w:rsid w:val="129640D0"/>
    <w:rsid w:val="12B10F0A"/>
    <w:rsid w:val="13C714CB"/>
    <w:rsid w:val="13D922CC"/>
    <w:rsid w:val="15B8610B"/>
    <w:rsid w:val="15EE504E"/>
    <w:rsid w:val="15F92777"/>
    <w:rsid w:val="16A843D2"/>
    <w:rsid w:val="17D31AAD"/>
    <w:rsid w:val="18495740"/>
    <w:rsid w:val="1A147FD0"/>
    <w:rsid w:val="1A2B77F4"/>
    <w:rsid w:val="1A7016AA"/>
    <w:rsid w:val="1AAE21D3"/>
    <w:rsid w:val="1ABD4860"/>
    <w:rsid w:val="1AD339E7"/>
    <w:rsid w:val="1B2B55D1"/>
    <w:rsid w:val="1B3721C8"/>
    <w:rsid w:val="1C4A7CD9"/>
    <w:rsid w:val="1D97DEFF"/>
    <w:rsid w:val="1DAD49C3"/>
    <w:rsid w:val="1DFF72E5"/>
    <w:rsid w:val="1EFC6F07"/>
    <w:rsid w:val="1FEC4284"/>
    <w:rsid w:val="20054643"/>
    <w:rsid w:val="2021255D"/>
    <w:rsid w:val="20580C17"/>
    <w:rsid w:val="222A213F"/>
    <w:rsid w:val="224723F5"/>
    <w:rsid w:val="22CF2CE6"/>
    <w:rsid w:val="22DD3655"/>
    <w:rsid w:val="23675615"/>
    <w:rsid w:val="242816A1"/>
    <w:rsid w:val="24942439"/>
    <w:rsid w:val="24C04FDC"/>
    <w:rsid w:val="25145328"/>
    <w:rsid w:val="255A0F8D"/>
    <w:rsid w:val="28220E05"/>
    <w:rsid w:val="285C2BEC"/>
    <w:rsid w:val="292D0766"/>
    <w:rsid w:val="2A063491"/>
    <w:rsid w:val="2B381D70"/>
    <w:rsid w:val="2BA00692"/>
    <w:rsid w:val="2BC55A90"/>
    <w:rsid w:val="2C970D19"/>
    <w:rsid w:val="2DBD655D"/>
    <w:rsid w:val="2DC23B73"/>
    <w:rsid w:val="2DC53269"/>
    <w:rsid w:val="2EB3170E"/>
    <w:rsid w:val="2FDF85B8"/>
    <w:rsid w:val="2FFFEE04"/>
    <w:rsid w:val="30227AED"/>
    <w:rsid w:val="30334B55"/>
    <w:rsid w:val="314C38B6"/>
    <w:rsid w:val="31EF0CAF"/>
    <w:rsid w:val="333746BC"/>
    <w:rsid w:val="33E75721"/>
    <w:rsid w:val="34023EE9"/>
    <w:rsid w:val="34493E86"/>
    <w:rsid w:val="345A42D9"/>
    <w:rsid w:val="34DF85B0"/>
    <w:rsid w:val="35BF4E3C"/>
    <w:rsid w:val="37A4078E"/>
    <w:rsid w:val="38A81BB8"/>
    <w:rsid w:val="394F3AB7"/>
    <w:rsid w:val="39A01DD5"/>
    <w:rsid w:val="3A117AC6"/>
    <w:rsid w:val="3AD153F6"/>
    <w:rsid w:val="3B792769"/>
    <w:rsid w:val="3B8F36BC"/>
    <w:rsid w:val="3CDB69FF"/>
    <w:rsid w:val="3CDE204C"/>
    <w:rsid w:val="3DF77869"/>
    <w:rsid w:val="3F081602"/>
    <w:rsid w:val="3FD6525C"/>
    <w:rsid w:val="41536C1F"/>
    <w:rsid w:val="415D5C35"/>
    <w:rsid w:val="420104AE"/>
    <w:rsid w:val="423A5F76"/>
    <w:rsid w:val="42F53DDC"/>
    <w:rsid w:val="4377114F"/>
    <w:rsid w:val="43F87E97"/>
    <w:rsid w:val="4427252A"/>
    <w:rsid w:val="44906321"/>
    <w:rsid w:val="44AF2224"/>
    <w:rsid w:val="464078D3"/>
    <w:rsid w:val="47C84024"/>
    <w:rsid w:val="48A71E8C"/>
    <w:rsid w:val="4904108C"/>
    <w:rsid w:val="491FF225"/>
    <w:rsid w:val="49583186"/>
    <w:rsid w:val="4CDF1BF4"/>
    <w:rsid w:val="4DB803A9"/>
    <w:rsid w:val="4DB82445"/>
    <w:rsid w:val="4E807407"/>
    <w:rsid w:val="4F966329"/>
    <w:rsid w:val="4FBD1F95"/>
    <w:rsid w:val="4FFD214C"/>
    <w:rsid w:val="503730AB"/>
    <w:rsid w:val="506906D7"/>
    <w:rsid w:val="51346287"/>
    <w:rsid w:val="517C47AD"/>
    <w:rsid w:val="51A4340C"/>
    <w:rsid w:val="533D0256"/>
    <w:rsid w:val="53FA7263"/>
    <w:rsid w:val="548A42E7"/>
    <w:rsid w:val="560C360F"/>
    <w:rsid w:val="563230B2"/>
    <w:rsid w:val="5777D4F5"/>
    <w:rsid w:val="583848AE"/>
    <w:rsid w:val="594352B9"/>
    <w:rsid w:val="59DD8326"/>
    <w:rsid w:val="5B982953"/>
    <w:rsid w:val="5B982FBB"/>
    <w:rsid w:val="5BC052E6"/>
    <w:rsid w:val="5BD14DA8"/>
    <w:rsid w:val="5CCB22C6"/>
    <w:rsid w:val="5CD853A9"/>
    <w:rsid w:val="5D780F7E"/>
    <w:rsid w:val="5DEF592A"/>
    <w:rsid w:val="5F4B3DBC"/>
    <w:rsid w:val="5F9C1BC7"/>
    <w:rsid w:val="5FC6BB1E"/>
    <w:rsid w:val="5FF720F1"/>
    <w:rsid w:val="60B92304"/>
    <w:rsid w:val="6115578D"/>
    <w:rsid w:val="61A60ADB"/>
    <w:rsid w:val="62424383"/>
    <w:rsid w:val="63D25CD8"/>
    <w:rsid w:val="64A86918"/>
    <w:rsid w:val="64FB4DED"/>
    <w:rsid w:val="65876E75"/>
    <w:rsid w:val="65FA13F5"/>
    <w:rsid w:val="66BB2F3D"/>
    <w:rsid w:val="66C166F1"/>
    <w:rsid w:val="67CB2C56"/>
    <w:rsid w:val="67FF5C0B"/>
    <w:rsid w:val="68490412"/>
    <w:rsid w:val="689E4810"/>
    <w:rsid w:val="6A122A93"/>
    <w:rsid w:val="6A294057"/>
    <w:rsid w:val="6D0558F5"/>
    <w:rsid w:val="6D254FA9"/>
    <w:rsid w:val="6D7E53B7"/>
    <w:rsid w:val="6DAC56CB"/>
    <w:rsid w:val="6DAE1443"/>
    <w:rsid w:val="6E4C5AC8"/>
    <w:rsid w:val="6EFC0924"/>
    <w:rsid w:val="6FB74722"/>
    <w:rsid w:val="6FEF8B7E"/>
    <w:rsid w:val="7053007F"/>
    <w:rsid w:val="715776FB"/>
    <w:rsid w:val="71A6591B"/>
    <w:rsid w:val="72331F17"/>
    <w:rsid w:val="734A3C6D"/>
    <w:rsid w:val="737D59BA"/>
    <w:rsid w:val="73887ECB"/>
    <w:rsid w:val="74021A83"/>
    <w:rsid w:val="74123DAE"/>
    <w:rsid w:val="75526B58"/>
    <w:rsid w:val="75640639"/>
    <w:rsid w:val="759F209F"/>
    <w:rsid w:val="77C37683"/>
    <w:rsid w:val="7878730A"/>
    <w:rsid w:val="795A0647"/>
    <w:rsid w:val="79AF281D"/>
    <w:rsid w:val="79D00993"/>
    <w:rsid w:val="79FF515B"/>
    <w:rsid w:val="7B3A4316"/>
    <w:rsid w:val="7B3F2B13"/>
    <w:rsid w:val="7C784309"/>
    <w:rsid w:val="7CAC1243"/>
    <w:rsid w:val="7D9F2E48"/>
    <w:rsid w:val="7E0B1ED9"/>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5868</Words>
  <Characters>6410</Characters>
  <Lines>63</Lines>
  <Paragraphs>18</Paragraphs>
  <TotalTime>3</TotalTime>
  <ScaleCrop>false</ScaleCrop>
  <LinksUpToDate>false</LinksUpToDate>
  <CharactersWithSpaces>6425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笔记</cp:lastModifiedBy>
  <cp:lastPrinted>2024-08-08T10:20:00Z</cp:lastPrinted>
  <dcterms:modified xsi:type="dcterms:W3CDTF">2024-09-24T02:01:48Z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FE81A4825D92456B8906F47836D20188_12</vt:lpwstr>
  </property>
</Properties>
</file>