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sz w:val="56"/>
          <w:szCs w:val="56"/>
        </w:rPr>
      </w:pPr>
    </w:p>
    <w:p>
      <w:pPr>
        <w:pStyle w:val="9"/>
        <w:jc w:val="center"/>
        <w:rPr>
          <w:sz w:val="56"/>
          <w:szCs w:val="56"/>
        </w:rPr>
      </w:pPr>
    </w:p>
    <w:p>
      <w:pPr>
        <w:pStyle w:val="9"/>
        <w:jc w:val="center"/>
        <w:rPr>
          <w:sz w:val="84"/>
          <w:szCs w:val="84"/>
        </w:rPr>
      </w:pPr>
    </w:p>
    <w:p>
      <w:pPr>
        <w:pStyle w:val="9"/>
        <w:jc w:val="center"/>
        <w:rPr>
          <w:sz w:val="84"/>
          <w:szCs w:val="84"/>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市征收安置事务中心</w:t>
      </w:r>
      <w:r>
        <w:rPr>
          <w:rFonts w:hint="eastAsia" w:ascii="方正小标宋_GBK" w:hAnsi="方正小标宋_GBK" w:eastAsia="方正小标宋_GBK" w:cs="方正小标宋_GBK"/>
          <w:sz w:val="84"/>
          <w:szCs w:val="84"/>
          <w:lang w:val="en-US" w:eastAsia="zh-CN"/>
        </w:rPr>
        <w:t xml:space="preserve">     </w:t>
      </w:r>
      <w:r>
        <w:rPr>
          <w:rFonts w:hint="eastAsia" w:ascii="方正小标宋_GBK" w:hAnsi="方正小标宋_GBK" w:eastAsia="方正小标宋_GBK" w:cs="方正小标宋_GBK"/>
          <w:sz w:val="84"/>
          <w:szCs w:val="84"/>
        </w:rPr>
        <w:t>部门决算</w:t>
      </w:r>
    </w:p>
    <w:p>
      <w:pPr>
        <w:pStyle w:val="9"/>
        <w:jc w:val="center"/>
        <w:rPr>
          <w:rFonts w:hint="eastAsia" w:ascii="方正小标宋_GBK" w:hAnsi="方正小标宋_GBK" w:eastAsia="方正小标宋_GBK" w:cs="方正小标宋_GBK"/>
          <w:sz w:val="56"/>
          <w:szCs w:val="56"/>
        </w:rPr>
      </w:pPr>
    </w:p>
    <w:p>
      <w:pPr>
        <w:pStyle w:val="9"/>
        <w:jc w:val="center"/>
        <w:rPr>
          <w:sz w:val="56"/>
          <w:szCs w:val="56"/>
        </w:rPr>
      </w:pPr>
    </w:p>
    <w:p>
      <w:pPr>
        <w:pStyle w:val="9"/>
        <w:jc w:val="center"/>
        <w:rPr>
          <w:sz w:val="56"/>
          <w:szCs w:val="56"/>
        </w:rPr>
      </w:pPr>
    </w:p>
    <w:p>
      <w:pPr>
        <w:pStyle w:val="9"/>
        <w:jc w:val="center"/>
        <w:rPr>
          <w:sz w:val="56"/>
          <w:szCs w:val="56"/>
        </w:rPr>
      </w:pPr>
    </w:p>
    <w:p>
      <w:pPr>
        <w:pStyle w:val="9"/>
        <w:jc w:val="center"/>
        <w:rPr>
          <w:sz w:val="32"/>
          <w:szCs w:val="32"/>
        </w:rPr>
      </w:pPr>
    </w:p>
    <w:p>
      <w:pPr>
        <w:pStyle w:val="9"/>
        <w:jc w:val="center"/>
        <w:rPr>
          <w:sz w:val="32"/>
          <w:szCs w:val="32"/>
        </w:rPr>
      </w:pPr>
    </w:p>
    <w:p>
      <w:pPr>
        <w:pStyle w:val="9"/>
        <w:jc w:val="center"/>
        <w:rPr>
          <w:sz w:val="32"/>
          <w:szCs w:val="32"/>
        </w:rPr>
      </w:pPr>
    </w:p>
    <w:p>
      <w:pPr>
        <w:pStyle w:val="9"/>
        <w:jc w:val="center"/>
        <w:rPr>
          <w:sz w:val="32"/>
          <w:szCs w:val="32"/>
        </w:rPr>
      </w:pPr>
    </w:p>
    <w:p>
      <w:pPr>
        <w:pStyle w:val="9"/>
        <w:jc w:val="center"/>
        <w:rPr>
          <w:sz w:val="32"/>
          <w:szCs w:val="32"/>
        </w:rPr>
      </w:pPr>
    </w:p>
    <w:p>
      <w:pPr>
        <w:pStyle w:val="9"/>
        <w:spacing w:line="540" w:lineRule="exact"/>
        <w:jc w:val="center"/>
        <w:rPr>
          <w:sz w:val="56"/>
          <w:szCs w:val="56"/>
        </w:rPr>
      </w:pPr>
    </w:p>
    <w:p>
      <w:pPr>
        <w:pStyle w:val="9"/>
        <w:spacing w:line="500" w:lineRule="exact"/>
        <w:jc w:val="both"/>
        <w:rPr>
          <w:b/>
          <w:sz w:val="36"/>
          <w:szCs w:val="28"/>
        </w:rPr>
      </w:pPr>
    </w:p>
    <w:p>
      <w:pPr>
        <w:pStyle w:val="9"/>
        <w:spacing w:line="500" w:lineRule="exact"/>
        <w:jc w:val="center"/>
        <w:rPr>
          <w:b/>
          <w:sz w:val="36"/>
          <w:szCs w:val="28"/>
        </w:rPr>
      </w:pPr>
      <w:r>
        <w:rPr>
          <w:rFonts w:hint="eastAsia"/>
          <w:b/>
          <w:sz w:val="36"/>
          <w:szCs w:val="28"/>
        </w:rPr>
        <w:t>目录</w:t>
      </w:r>
    </w:p>
    <w:p>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市征收搜安置事务中心</w:t>
      </w:r>
      <w:r>
        <w:rPr>
          <w:rFonts w:hint="eastAsia" w:ascii="黑体" w:hAnsi="黑体" w:eastAsia="黑体" w:cs="黑体"/>
          <w:b w:val="0"/>
          <w:bCs/>
          <w:sz w:val="28"/>
          <w:szCs w:val="28"/>
        </w:rPr>
        <w:t>概况</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宋体" w:hAnsi="宋体" w:eastAsia="宋体" w:cs="宋体"/>
          <w:sz w:val="28"/>
          <w:szCs w:val="28"/>
          <w:lang w:val="en-US" w:eastAsia="zh-CN"/>
        </w:rPr>
        <w:t>九、国有资本经营预算财政拨款支出</w:t>
      </w:r>
      <w:r>
        <w:rPr>
          <w:rFonts w:hint="eastAsia" w:ascii="宋体" w:hAnsi="宋体" w:eastAsia="宋体" w:cs="宋体"/>
          <w:sz w:val="28"/>
          <w:szCs w:val="28"/>
        </w:rPr>
        <w:t>决算情况</w:t>
      </w:r>
      <w:r>
        <w:rPr>
          <w:rFonts w:hint="eastAsia" w:ascii="宋体" w:hAnsi="宋体" w:eastAsia="宋体" w:cs="宋体"/>
          <w:sz w:val="28"/>
          <w:szCs w:val="28"/>
          <w:lang w:val="en-US" w:eastAsia="zh-CN"/>
        </w:rPr>
        <w:t>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color w:val="000000"/>
          <w:kern w:val="0"/>
          <w:sz w:val="28"/>
          <w:szCs w:val="28"/>
        </w:rPr>
        <w:t>、关于政府采购支出说明</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、关于预算绩效情况的说明</w:t>
      </w:r>
    </w:p>
    <w:p>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9"/>
        <w:jc w:val="center"/>
        <w:rPr>
          <w:rFonts w:hint="eastAsia" w:ascii="方正小标宋_GBK" w:hAnsi="方正小标宋_GBK" w:eastAsia="方正小标宋_GBK" w:cs="方正小标宋_GBK"/>
          <w:sz w:val="84"/>
          <w:szCs w:val="84"/>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市征收安置事务中心</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0"/>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autoSpaceDE w:val="0"/>
        <w:spacing w:line="60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根据怀</w:t>
      </w:r>
      <w:r>
        <w:rPr>
          <w:rFonts w:hint="eastAsia" w:ascii="仿宋_GB2312" w:hAnsi="宋体" w:eastAsia="仿宋_GB2312" w:cs="宋体"/>
          <w:kern w:val="0"/>
          <w:sz w:val="32"/>
          <w:szCs w:val="32"/>
          <w:lang w:eastAsia="zh-CN"/>
        </w:rPr>
        <w:t>编</w:t>
      </w: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79</w:t>
      </w:r>
      <w:r>
        <w:rPr>
          <w:rFonts w:hint="eastAsia" w:ascii="仿宋_GB2312" w:hAnsi="宋体" w:eastAsia="仿宋_GB2312" w:cs="宋体"/>
          <w:kern w:val="0"/>
          <w:sz w:val="32"/>
          <w:szCs w:val="32"/>
        </w:rPr>
        <w:t>号</w:t>
      </w:r>
      <w:r>
        <w:rPr>
          <w:rFonts w:hint="eastAsia" w:ascii="仿宋_GB2312" w:hAnsi="宋体" w:eastAsia="仿宋_GB2312" w:cs="仿宋_GB2312"/>
          <w:kern w:val="0"/>
          <w:sz w:val="32"/>
          <w:szCs w:val="32"/>
          <w:lang w:val="zh-CN"/>
        </w:rPr>
        <w:t>文件</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市征收安置事务中心贯彻落实党中央和省委、市委关于土地和房屋征收补偿安置工作的方针政策和决策部署。主</w:t>
      </w:r>
      <w:bookmarkStart w:id="3" w:name="_GoBack"/>
      <w:bookmarkEnd w:id="3"/>
      <w:r>
        <w:rPr>
          <w:rFonts w:hint="eastAsia" w:ascii="仿宋_GB2312" w:hAnsi="宋体" w:eastAsia="仿宋_GB2312" w:cs="宋体"/>
          <w:kern w:val="0"/>
          <w:sz w:val="32"/>
          <w:szCs w:val="32"/>
          <w:lang w:eastAsia="zh-CN"/>
        </w:rPr>
        <w:t>要职责是：</w:t>
      </w:r>
    </w:p>
    <w:p>
      <w:pPr>
        <w:autoSpaceDE w:val="0"/>
        <w:spacing w:line="600" w:lineRule="exac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（一）国有土地上房屋征收</w:t>
      </w:r>
      <w:r>
        <w:rPr>
          <w:rFonts w:hint="eastAsia" w:ascii="仿宋_GB2312" w:hAnsi="宋体" w:eastAsia="仿宋_GB2312" w:cs="宋体"/>
          <w:kern w:val="0"/>
          <w:sz w:val="32"/>
          <w:szCs w:val="32"/>
          <w:lang w:eastAsia="zh-CN"/>
        </w:rPr>
        <w:t>与补偿</w:t>
      </w:r>
      <w:r>
        <w:rPr>
          <w:rFonts w:hint="eastAsia" w:ascii="仿宋_GB2312" w:hAnsi="宋体" w:eastAsia="仿宋_GB2312" w:cs="宋体"/>
          <w:kern w:val="0"/>
          <w:sz w:val="32"/>
          <w:szCs w:val="32"/>
        </w:rPr>
        <w:t>工作</w:t>
      </w:r>
      <w:r>
        <w:rPr>
          <w:rFonts w:hint="eastAsia" w:ascii="仿宋_GB2312" w:hAnsi="宋体" w:eastAsia="仿宋_GB2312" w:cs="宋体"/>
          <w:kern w:val="0"/>
          <w:sz w:val="32"/>
          <w:szCs w:val="32"/>
          <w:lang w:eastAsia="zh-CN"/>
        </w:rPr>
        <w:t>职责：</w:t>
      </w:r>
    </w:p>
    <w:p>
      <w:pPr>
        <w:numPr>
          <w:ilvl w:val="0"/>
          <w:numId w:val="2"/>
        </w:numPr>
        <w:autoSpaceDE w:val="0"/>
        <w:spacing w:line="60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为怀化市城市规划区国有土地上房屋征收补偿相关配套政策的拟定提供相关服务；承担市城市规划区国有土地上房屋征收与补偿中长期规划、年度房屋征收实施计划拟制、呈报的相关事务性工作。</w:t>
      </w:r>
    </w:p>
    <w:p>
      <w:pPr>
        <w:numPr>
          <w:ilvl w:val="0"/>
          <w:numId w:val="2"/>
        </w:numPr>
        <w:autoSpaceDE w:val="0"/>
        <w:spacing w:line="60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承担市人民政府国有土地上房屋征收与补偿任务交办书拟制、下达和统一监管的相关事务性工作；承担确需由市人民政府作为征收主体的国有土地上房屋征收与补偿的事务性工作。</w:t>
      </w:r>
    </w:p>
    <w:p>
      <w:pPr>
        <w:numPr>
          <w:ilvl w:val="0"/>
          <w:numId w:val="2"/>
        </w:numPr>
        <w:autoSpaceDE w:val="0"/>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承担国有土地上房屋征收拟实施项目相关资料的受理、审查的事务性工作；协助做好对征收范围内未登记的建筑进行调查、认定和处理等相关工作。</w:t>
      </w:r>
    </w:p>
    <w:p>
      <w:pPr>
        <w:numPr>
          <w:ilvl w:val="0"/>
          <w:numId w:val="2"/>
        </w:numPr>
        <w:autoSpaceDE w:val="0"/>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承担怀化市城市规划国有土地上房屋征收项目补偿费用预算及归集项目征收补偿费用的相关事务性工作；承担市城市规划国有土地上房屋征收项目征收补偿资金、工作经费、房屋拆除费、奖励基金、不可预见费的审核、拨付以及使用监管的相关事务性工作；承担临时安置费审核发放的事务性工作；会同有关部门开展核定征收成本。</w:t>
      </w:r>
    </w:p>
    <w:p>
      <w:pPr>
        <w:numPr>
          <w:ilvl w:val="0"/>
          <w:numId w:val="2"/>
        </w:numPr>
        <w:autoSpaceDE w:val="0"/>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承担怀化市城市规划国有土地上房屋征收项目补偿方案审核、评估报告备案、房屋征收补偿协议备案的相关事务性工作；承担房屋征收与补偿信息统计、公开和档案管理的事务性工作。</w:t>
      </w:r>
    </w:p>
    <w:p>
      <w:pPr>
        <w:numPr>
          <w:ilvl w:val="0"/>
          <w:numId w:val="2"/>
        </w:numPr>
        <w:autoSpaceDE w:val="0"/>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承担市国有土地上房屋征收评估机构备选库建设的事务性工作；承担怀化市城市规划国有土地上房屋征收项目已腾空房屋拆除的施工备案的相关事务性工作。</w:t>
      </w:r>
    </w:p>
    <w:p>
      <w:pPr>
        <w:numPr>
          <w:ilvl w:val="0"/>
          <w:numId w:val="2"/>
        </w:numPr>
        <w:autoSpaceDE w:val="0"/>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承担统筹、管理产权调换房源，产权调换房源管理信息系统建设等事务性工作。</w:t>
      </w:r>
    </w:p>
    <w:p>
      <w:pPr>
        <w:numPr>
          <w:ilvl w:val="0"/>
          <w:numId w:val="2"/>
        </w:numPr>
        <w:autoSpaceDE w:val="0"/>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为县市区国有土地上房屋征收与补偿提供业务指导及培训等服务。</w:t>
      </w:r>
    </w:p>
    <w:p>
      <w:pPr>
        <w:numPr>
          <w:ilvl w:val="0"/>
          <w:numId w:val="0"/>
        </w:numPr>
        <w:autoSpaceDE w:val="0"/>
        <w:spacing w:line="600" w:lineRule="exac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二</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集体土地征用和村民房屋征收安置工作职责：</w:t>
      </w:r>
    </w:p>
    <w:p>
      <w:pPr>
        <w:autoSpaceDE w:val="0"/>
        <w:spacing w:line="600" w:lineRule="exact"/>
        <w:ind w:firstLine="64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1、承担集体土地征收补偿安置中长期规划、年度工作计划实施的相关事务性工作。</w:t>
      </w:r>
    </w:p>
    <w:p>
      <w:pPr>
        <w:autoSpaceDE w:val="0"/>
        <w:spacing w:line="600" w:lineRule="exact"/>
        <w:ind w:firstLine="64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2、承担由市人民政府委托的市城市规划区集体土地征收补偿安置任务下达和统一监管的相关事务性工作。</w:t>
      </w:r>
    </w:p>
    <w:p>
      <w:pPr>
        <w:autoSpaceDE w:val="0"/>
        <w:spacing w:line="600" w:lineRule="exact"/>
        <w:ind w:firstLine="64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承担编制怀化市城市规划区集体土地征收项目的项目概预算委托、审查和归集征地补偿安置费用的相关事务性工作；承担怀化市城市规划区集体土地征收项目的征收补偿资金、工作经费和安置房建设资金的核拨、监管的相关性事务性工作；会同有关部门开展核定征收安置建设成本工作。</w:t>
      </w:r>
    </w:p>
    <w:p>
      <w:pPr>
        <w:autoSpaceDE w:val="0"/>
        <w:spacing w:line="600" w:lineRule="exact"/>
        <w:ind w:firstLine="64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4、承担怀化市城市规划区集体土地征收项目村民安置资格审核备案的相关事务性工作。</w:t>
      </w:r>
    </w:p>
    <w:p>
      <w:pPr>
        <w:autoSpaceDE w:val="0"/>
        <w:spacing w:line="600" w:lineRule="exact"/>
        <w:ind w:firstLine="64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5、承担怀化市城市规划区集体土地征收项目征收补偿安置方案审核、征地拆迁补偿安置协议备案的相关事务性工作；承担征收安置信息统计、公开和档案管理的事务性工作。</w:t>
      </w:r>
    </w:p>
    <w:p>
      <w:pPr>
        <w:autoSpaceDE w:val="0"/>
        <w:spacing w:line="600" w:lineRule="exact"/>
        <w:ind w:firstLine="64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6、承担组织实施怀化市城市规划区集体土地征收项目评估、测绘的事务性工作。</w:t>
      </w:r>
    </w:p>
    <w:p>
      <w:pPr>
        <w:autoSpaceDE w:val="0"/>
        <w:spacing w:line="600" w:lineRule="exact"/>
        <w:ind w:firstLine="64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7、为县市区集体土地征收工作提供业务指导及培训等服务。</w:t>
      </w:r>
    </w:p>
    <w:p>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仿宋" w:hAnsi="仿宋" w:eastAsia="仿宋" w:cs="仿宋"/>
          <w:b/>
          <w:bCs/>
          <w:sz w:val="32"/>
          <w:szCs w:val="32"/>
          <w:lang w:eastAsia="zh-CN"/>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三</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完成</w:t>
      </w:r>
      <w:r>
        <w:rPr>
          <w:rFonts w:hint="eastAsia" w:ascii="仿宋_GB2312" w:hAnsi="宋体" w:eastAsia="仿宋_GB2312" w:cs="宋体"/>
          <w:kern w:val="0"/>
          <w:sz w:val="32"/>
          <w:szCs w:val="32"/>
        </w:rPr>
        <w:t>市人民政府交办的其他</w:t>
      </w:r>
      <w:r>
        <w:rPr>
          <w:rFonts w:hint="eastAsia" w:ascii="仿宋_GB2312" w:hAnsi="宋体" w:eastAsia="仿宋_GB2312" w:cs="宋体"/>
          <w:kern w:val="0"/>
          <w:sz w:val="32"/>
          <w:szCs w:val="32"/>
          <w:lang w:eastAsia="zh-CN"/>
        </w:rPr>
        <w:t>任务</w:t>
      </w:r>
      <w:r>
        <w:rPr>
          <w:rFonts w:hint="eastAsia" w:ascii="仿宋_GB2312" w:hAnsi="宋体" w:eastAsia="仿宋_GB2312" w:cs="宋体"/>
          <w:kern w:val="0"/>
          <w:sz w:val="32"/>
          <w:szCs w:val="32"/>
        </w:rPr>
        <w:t>。</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autoSpaceDE w:val="0"/>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仿宋_GB2312" w:hAnsi="宋体" w:eastAsia="仿宋_GB2312" w:cs="宋体"/>
          <w:kern w:val="0"/>
          <w:sz w:val="32"/>
          <w:szCs w:val="32"/>
          <w:lang w:eastAsia="zh-CN"/>
        </w:rPr>
        <w:t>市征收安置事务中心为市人民政府办公室管理的公益一类事业单位，机构规格相当于副处级。作为二级部门预算单位，内设科室为：财务综合部、征收一部、征收二部、安置部、政策法规部、人事教育部。</w:t>
      </w: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b/>
          <w:bCs/>
          <w:sz w:val="32"/>
          <w:szCs w:val="32"/>
          <w:lang w:val="en-US" w:eastAsia="zh-CN"/>
        </w:rPr>
      </w:pPr>
      <w:r>
        <w:rPr>
          <w:rFonts w:hint="eastAsia" w:ascii="Times New Roman" w:hAnsi="Times New Roman" w:eastAsia="仿宋_GB2312" w:cs="仿宋_GB2312"/>
          <w:bCs/>
          <w:kern w:val="0"/>
          <w:sz w:val="32"/>
          <w:szCs w:val="32"/>
        </w:rPr>
        <w:t>（二）决算单位构成。</w:t>
      </w:r>
      <w:r>
        <w:rPr>
          <w:rFonts w:hint="eastAsia" w:eastAsia="仿宋_GB2312"/>
          <w:b w:val="0"/>
          <w:bCs w:val="0"/>
          <w:sz w:val="32"/>
          <w:szCs w:val="32"/>
          <w:lang w:val="en-US" w:eastAsia="zh-CN"/>
        </w:rPr>
        <w:t>本部门隶属于市人民政府办二级预算单位，因此，纳入2023年部门预算编制范围的只有</w:t>
      </w:r>
      <w:r>
        <w:rPr>
          <w:rFonts w:hint="eastAsia" w:ascii="仿宋_GB2312" w:hAnsi="宋体" w:eastAsia="仿宋_GB2312" w:cs="宋体"/>
          <w:kern w:val="0"/>
          <w:sz w:val="32"/>
          <w:szCs w:val="32"/>
          <w:lang w:eastAsia="zh-CN"/>
        </w:rPr>
        <w:t>市征收安置事务中心</w:t>
      </w:r>
      <w:r>
        <w:rPr>
          <w:rFonts w:hint="eastAsia" w:eastAsia="仿宋_GB2312"/>
          <w:b/>
          <w:bCs/>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rPr>
      </w:pP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9"/>
        <w:jc w:val="center"/>
        <w:rPr>
          <w:rFonts w:hint="eastAsia" w:ascii="方正小标宋_GBK" w:hAnsi="方正小标宋_GBK" w:eastAsia="方正小标宋_GBK" w:cs="方正小标宋_GBK"/>
          <w:sz w:val="84"/>
          <w:szCs w:val="84"/>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9"/>
        <w:jc w:val="center"/>
        <w:rPr>
          <w:rFonts w:hint="eastAsia" w:ascii="方正小标宋_GBK" w:hAnsi="方正小标宋_GBK" w:eastAsia="方正小标宋_GBK" w:cs="方正小标宋_GBK"/>
          <w:sz w:val="84"/>
          <w:szCs w:val="84"/>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5428" w:type="dxa"/>
        <w:tblInd w:w="0" w:type="dxa"/>
        <w:tblLayout w:type="fixed"/>
        <w:tblCellMar>
          <w:top w:w="0" w:type="dxa"/>
          <w:left w:w="0" w:type="dxa"/>
          <w:bottom w:w="0" w:type="dxa"/>
          <w:right w:w="0" w:type="dxa"/>
        </w:tblCellMar>
      </w:tblPr>
      <w:tblGrid>
        <w:gridCol w:w="367"/>
        <w:gridCol w:w="331"/>
        <w:gridCol w:w="1464"/>
        <w:gridCol w:w="1788"/>
        <w:gridCol w:w="1788"/>
        <w:gridCol w:w="1788"/>
        <w:gridCol w:w="1788"/>
        <w:gridCol w:w="1788"/>
        <w:gridCol w:w="1789"/>
        <w:gridCol w:w="2537"/>
      </w:tblGrid>
      <w:tr>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5"/>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22"/>
              <w:gridCol w:w="583"/>
              <w:gridCol w:w="1337"/>
              <w:gridCol w:w="4782"/>
              <w:gridCol w:w="1550"/>
              <w:gridCol w:w="457"/>
              <w:gridCol w:w="539"/>
              <w:gridCol w:w="19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25"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602"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394"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5014"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644"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319"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3989"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75"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272"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891"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094"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577"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3989"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575"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272"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891"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094"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577"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67" w:type="dxa"/>
                <w:trHeight w:val="448" w:hRule="atLeast"/>
              </w:trPr>
              <w:tc>
                <w:tcPr>
                  <w:tcW w:w="5836"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21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67" w:type="dxa"/>
                <w:trHeight w:val="62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963.72</w:t>
                  </w: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86.84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tabs>
                      <w:tab w:val="center" w:pos="2408"/>
                    </w:tabs>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六、其他支出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114.19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七、社会保障和就业支出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127.99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201.03</w:t>
                  </w:r>
                </w:p>
              </w:tc>
              <w:tc>
                <w:tcPr>
                  <w:tcW w:w="4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八、卫生健康支出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39.54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2"/>
                      <w:szCs w:val="22"/>
                      <w:u w:val="none"/>
                      <w:lang w:eastAsia="zh-CN"/>
                    </w:rPr>
                    <w:t>九、城乡社区支出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b/>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796.19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1164.75</w:t>
                  </w:r>
                </w:p>
              </w:tc>
              <w:tc>
                <w:tcPr>
                  <w:tcW w:w="4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1164.75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67" w:type="dxa"/>
                <w:trHeight w:val="62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1164.75</w:t>
                  </w: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1164.75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36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331"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6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89"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53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90" w:hRule="atLeast"/>
        </w:trPr>
        <w:tc>
          <w:tcPr>
            <w:tcW w:w="698"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146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89"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53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2162"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78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78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78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78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78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78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253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69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1464"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78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8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53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698"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64"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8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53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216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7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7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7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7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7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78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253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216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1164.75</w:t>
            </w:r>
            <w:r>
              <w:rPr>
                <w:rFonts w:hint="eastAsia"/>
              </w:rPr>
              <w:t>　</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963.72</w:t>
            </w:r>
            <w:r>
              <w:rPr>
                <w:rFonts w:hint="eastAsia"/>
              </w:rPr>
              <w:t>　</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201.03</w:t>
            </w:r>
            <w:r>
              <w:rPr>
                <w:rFonts w:hint="eastAsia"/>
              </w:rPr>
              <w:t>　</w:t>
            </w:r>
          </w:p>
        </w:tc>
      </w:tr>
      <w:tr>
        <w:tblPrEx>
          <w:tblCellMar>
            <w:top w:w="0" w:type="dxa"/>
            <w:left w:w="0" w:type="dxa"/>
            <w:bottom w:w="0" w:type="dxa"/>
            <w:right w:w="0" w:type="dxa"/>
          </w:tblCellMar>
        </w:tblPrEx>
        <w:trPr>
          <w:trHeight w:val="744"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2019999</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 xml:space="preserve">  其他一般公共服务支出</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86.84</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sz w:val="24"/>
                <w:szCs w:val="24"/>
                <w:lang w:val="en-US"/>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sz w:val="24"/>
                <w:szCs w:val="24"/>
                <w:lang w:val="en-US"/>
              </w:rPr>
            </w:pPr>
            <w:r>
              <w:rPr>
                <w:rFonts w:hint="eastAsia" w:ascii="宋体" w:hAnsi="宋体" w:eastAsia="宋体" w:cs="宋体"/>
                <w:i w:val="0"/>
                <w:color w:val="000000"/>
                <w:kern w:val="0"/>
                <w:sz w:val="22"/>
                <w:szCs w:val="22"/>
                <w:u w:val="none"/>
                <w:lang w:val="en-US" w:eastAsia="zh-CN" w:bidi="ar"/>
              </w:rPr>
              <w:t>86.84</w:t>
            </w:r>
          </w:p>
        </w:tc>
      </w:tr>
      <w:tr>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2080505</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华文中宋" w:hAnsi="华文中宋" w:eastAsia="华文中宋" w:cs="宋体"/>
                <w:sz w:val="24"/>
                <w:szCs w:val="24"/>
                <w:lang w:val="en-US" w:eastAsia="zh-CN"/>
              </w:rPr>
            </w:pPr>
            <w:r>
              <w:rPr>
                <w:rFonts w:hint="eastAsia" w:ascii="华文中宋" w:hAnsi="华文中宋" w:eastAsia="华文中宋" w:cs="宋体"/>
                <w:sz w:val="24"/>
                <w:szCs w:val="24"/>
                <w:lang w:val="en-US" w:eastAsia="zh-CN"/>
              </w:rPr>
              <w:t>104.02</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sz w:val="24"/>
                <w:szCs w:val="24"/>
                <w:lang w:val="en-US"/>
              </w:rPr>
            </w:pPr>
            <w:r>
              <w:rPr>
                <w:rFonts w:hint="eastAsia" w:ascii="宋体" w:hAnsi="宋体" w:eastAsia="宋体" w:cs="宋体"/>
                <w:i w:val="0"/>
                <w:color w:val="000000"/>
                <w:kern w:val="0"/>
                <w:sz w:val="22"/>
                <w:szCs w:val="22"/>
                <w:u w:val="none"/>
                <w:lang w:val="en-US" w:eastAsia="zh-CN" w:bidi="ar"/>
              </w:rPr>
              <w:t>104.02</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2080599</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 xml:space="preserve">  其他行政事业单位养老支出</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23.97</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sz w:val="24"/>
                <w:szCs w:val="24"/>
                <w:lang w:val="en-US"/>
              </w:rPr>
            </w:pPr>
            <w:r>
              <w:rPr>
                <w:rFonts w:hint="eastAsia" w:ascii="宋体" w:hAnsi="宋体" w:eastAsia="宋体" w:cs="宋体"/>
                <w:i w:val="0"/>
                <w:color w:val="000000"/>
                <w:kern w:val="0"/>
                <w:sz w:val="22"/>
                <w:szCs w:val="22"/>
                <w:u w:val="none"/>
                <w:lang w:val="en-US" w:eastAsia="zh-CN" w:bidi="ar"/>
              </w:rPr>
              <w:t>23.97</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2101101</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 xml:space="preserve">  行政单位医疗</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38.03</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sz w:val="24"/>
                <w:szCs w:val="24"/>
                <w:lang w:val="en-US"/>
              </w:rPr>
            </w:pPr>
            <w:r>
              <w:rPr>
                <w:rFonts w:hint="eastAsia" w:ascii="宋体" w:hAnsi="宋体" w:eastAsia="宋体" w:cs="宋体"/>
                <w:i w:val="0"/>
                <w:color w:val="000000"/>
                <w:kern w:val="0"/>
                <w:sz w:val="22"/>
                <w:szCs w:val="22"/>
                <w:u w:val="none"/>
                <w:lang w:val="en-US" w:eastAsia="zh-CN" w:bidi="ar"/>
              </w:rPr>
              <w:t>38.03</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2101102</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 xml:space="preserve">  事业单位医疗</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1.51</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sz w:val="24"/>
                <w:szCs w:val="24"/>
                <w:lang w:val="en-US"/>
              </w:rPr>
            </w:pPr>
            <w:r>
              <w:rPr>
                <w:rFonts w:hint="eastAsia" w:ascii="宋体" w:hAnsi="宋体" w:eastAsia="宋体" w:cs="宋体"/>
                <w:i w:val="0"/>
                <w:color w:val="000000"/>
                <w:kern w:val="0"/>
                <w:sz w:val="22"/>
                <w:szCs w:val="22"/>
                <w:u w:val="none"/>
                <w:lang w:val="en-US" w:eastAsia="zh-CN" w:bidi="ar"/>
              </w:rPr>
              <w:t>1.51</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2120101</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 xml:space="preserve">  行政运行</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649.41</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sz w:val="24"/>
                <w:szCs w:val="24"/>
                <w:lang w:val="en-US"/>
              </w:rPr>
            </w:pPr>
            <w:r>
              <w:rPr>
                <w:rFonts w:hint="eastAsia" w:ascii="宋体" w:hAnsi="宋体" w:eastAsia="宋体" w:cs="宋体"/>
                <w:i w:val="0"/>
                <w:color w:val="000000"/>
                <w:kern w:val="0"/>
                <w:sz w:val="22"/>
                <w:szCs w:val="22"/>
                <w:u w:val="none"/>
                <w:lang w:val="en-US" w:eastAsia="zh-CN" w:bidi="ar"/>
              </w:rPr>
              <w:t>649.41</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2120102</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eastAsiaTheme="minorEastAsia"/>
                <w:lang w:val="en-US" w:eastAsia="zh-CN"/>
              </w:rPr>
            </w:pPr>
            <w:r>
              <w:rPr>
                <w:rFonts w:hint="eastAsia"/>
                <w:lang w:val="en-US" w:eastAsia="zh-CN"/>
              </w:rPr>
              <w:t>4.64</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lang w:val="en-US"/>
              </w:rPr>
            </w:pPr>
            <w:r>
              <w:rPr>
                <w:rFonts w:hint="eastAsia" w:ascii="宋体" w:hAnsi="宋体" w:eastAsia="宋体" w:cs="宋体"/>
                <w:i w:val="0"/>
                <w:color w:val="000000"/>
                <w:kern w:val="0"/>
                <w:sz w:val="22"/>
                <w:szCs w:val="22"/>
                <w:u w:val="none"/>
                <w:lang w:val="en-US" w:eastAsia="zh-CN" w:bidi="ar"/>
              </w:rPr>
              <w:t>4.64</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p>
        </w:tc>
      </w:tr>
      <w:tr>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default"/>
                <w:lang w:val="en-US"/>
              </w:rPr>
            </w:pPr>
            <w:r>
              <w:rPr>
                <w:rFonts w:hint="eastAsia" w:ascii="宋体" w:hAnsi="宋体" w:eastAsia="宋体" w:cs="宋体"/>
                <w:i w:val="0"/>
                <w:color w:val="000000"/>
                <w:kern w:val="0"/>
                <w:sz w:val="22"/>
                <w:szCs w:val="22"/>
                <w:u w:val="none"/>
                <w:lang w:val="en-US" w:eastAsia="zh-CN" w:bidi="ar"/>
              </w:rPr>
              <w:t>2129999</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 xml:space="preserve">  其他城乡社区支出</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eastAsiaTheme="minorEastAsia"/>
                <w:lang w:val="en-US" w:eastAsia="zh-CN"/>
              </w:rPr>
            </w:pPr>
            <w:r>
              <w:rPr>
                <w:rFonts w:hint="eastAsia"/>
                <w:lang w:val="en-US" w:eastAsia="zh-CN"/>
              </w:rPr>
              <w:t>66.33</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lang w:val="en-US"/>
              </w:rPr>
            </w:pPr>
            <w:r>
              <w:rPr>
                <w:rFonts w:hint="eastAsia" w:ascii="宋体" w:hAnsi="宋体" w:eastAsia="宋体" w:cs="宋体"/>
                <w:i w:val="0"/>
                <w:color w:val="000000"/>
                <w:kern w:val="0"/>
                <w:sz w:val="22"/>
                <w:szCs w:val="22"/>
                <w:u w:val="none"/>
                <w:lang w:val="en-US" w:eastAsia="zh-CN" w:bidi="ar"/>
              </w:rPr>
              <w:t>66.33</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p>
        </w:tc>
      </w:tr>
      <w:tr>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2"/>
                <w:szCs w:val="22"/>
                <w:u w:val="none"/>
                <w:lang w:val="en-US" w:eastAsia="zh-CN" w:bidi="ar"/>
              </w:rPr>
              <w:t>2299999</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其他支出</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114.19</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114.19</w:t>
            </w:r>
          </w:p>
        </w:tc>
      </w:tr>
      <w:tr>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2120103</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机关服务</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75.8</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75.8</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r>
      <w:tr>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r>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hint="eastAsia"/>
              </w:rPr>
            </w:pP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5"/>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1164.75</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1019.06</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145.69</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2019999</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其他一般公共服务支出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86.84</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86.84</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2080505</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104.02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58.12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45.9</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2080599</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其他行政事业单位养老支出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23.97</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23.97</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2101101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行政单位医疗</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38.03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28.36</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9.67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2101102</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事业单位医疗</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1.51</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1.51</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2120101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行政运行</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649.41</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649.41</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2120102</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4.64</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3.10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1.55</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2120199</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其他城乡社区支出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66.33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55.07</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11.27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2299999</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其他支出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114.19</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114.19</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2120103</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机关服务</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75.8</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75.8</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tbl>
      <w:tblPr>
        <w:tblStyle w:val="5"/>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963.72</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七、社会保障和就业支出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127.99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127.99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八、卫生健康支出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39.54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39.54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九、城乡社区支出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796.19</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796.19</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963.72</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963.72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963.72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963.72</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963.72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963.72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963.72</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818.03</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145.69</w:t>
            </w: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2120103</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机关服务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75.8</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75.8</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104.02</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58.12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45.9</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23.97</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23.97</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38.03</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28.36</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9.67</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2101102</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事业单位医疗</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1.51</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1.51</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2120101</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649.41</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649.41</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2120102</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4.64</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3.10</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1.55</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2129999</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其他城乡社区支出</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66.33</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55.07</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11.27</w:t>
            </w: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5"/>
        <w:tblW w:w="0" w:type="auto"/>
        <w:tblInd w:w="0" w:type="dxa"/>
        <w:tblLayout w:type="autofit"/>
        <w:tblCellMar>
          <w:top w:w="0" w:type="dxa"/>
          <w:left w:w="108" w:type="dxa"/>
          <w:bottom w:w="0" w:type="dxa"/>
          <w:right w:w="108" w:type="dxa"/>
        </w:tblCellMar>
      </w:tblPr>
      <w:tblGrid>
        <w:gridCol w:w="967"/>
        <w:gridCol w:w="239"/>
        <w:gridCol w:w="91"/>
        <w:gridCol w:w="1257"/>
        <w:gridCol w:w="1974"/>
        <w:gridCol w:w="83"/>
        <w:gridCol w:w="815"/>
        <w:gridCol w:w="1176"/>
        <w:gridCol w:w="297"/>
        <w:gridCol w:w="1923"/>
        <w:gridCol w:w="138"/>
        <w:gridCol w:w="655"/>
        <w:gridCol w:w="1177"/>
        <w:gridCol w:w="345"/>
        <w:gridCol w:w="2032"/>
        <w:gridCol w:w="1650"/>
        <w:gridCol w:w="483"/>
        <w:gridCol w:w="312"/>
      </w:tblGrid>
      <w:tr>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3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20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694.447</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94.775</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236.62</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8.00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125.42</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1.70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60.32</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185.16</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49.8</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8.32</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0.16</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28.36</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0.45</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6.17</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0.15</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28.81</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1.80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23.97</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0.25</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3.10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0.28</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33.88</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8.31</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1.30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26.86</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0.03</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64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5.91</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47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723.26</w:t>
            </w:r>
          </w:p>
        </w:tc>
        <w:tc>
          <w:tcPr>
            <w:tcW w:w="9615"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color w:val="000000"/>
                <w:kern w:val="0"/>
                <w:sz w:val="22"/>
                <w:szCs w:val="22"/>
                <w:u w:val="none"/>
                <w:lang w:val="en-US" w:eastAsia="zh-CN" w:bidi="ar"/>
              </w:rPr>
              <w:t>94.778</w:t>
            </w:r>
          </w:p>
        </w:tc>
      </w:tr>
      <w:tr>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003"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2"/>
                <w:lang w:val="en-US" w:eastAsia="zh-CN" w:bidi="ar"/>
              </w:rPr>
              <w:t xml:space="preserve">   </w:t>
            </w:r>
            <w:r>
              <w:rPr>
                <w:rStyle w:val="13"/>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2120806</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2"/>
                <w:szCs w:val="22"/>
                <w:u w:val="none"/>
                <w:lang w:val="en-US" w:eastAsia="zh-CN" w:bidi="ar"/>
              </w:rPr>
              <w:t xml:space="preserve">  土地出让业务支出</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0.00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2"/>
                <w:szCs w:val="22"/>
                <w:u w:val="none"/>
                <w:lang w:val="en-US" w:eastAsia="zh-CN" w:bidi="ar"/>
              </w:rPr>
              <w:t>0.00</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2"/>
                <w:szCs w:val="22"/>
                <w:u w:val="none"/>
                <w:lang w:val="en-US" w:eastAsia="zh-CN" w:bidi="ar"/>
              </w:rPr>
              <w:t>0.00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0.00</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2"/>
                <w:szCs w:val="22"/>
                <w:u w:val="none"/>
                <w:lang w:val="en-US" w:eastAsia="zh-CN" w:bidi="ar"/>
              </w:rPr>
              <w:t>0.00</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5"/>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4"/>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tbl>
      <w:tblPr>
        <w:tblStyle w:val="5"/>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1.56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1.30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1.30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9"/>
        <w:rPr>
          <w:sz w:val="72"/>
          <w:szCs w:val="72"/>
        </w:rPr>
      </w:pPr>
    </w:p>
    <w:p>
      <w:pPr>
        <w:pStyle w:val="9"/>
        <w:rPr>
          <w:sz w:val="72"/>
          <w:szCs w:val="72"/>
        </w:rPr>
      </w:pPr>
    </w:p>
    <w:p>
      <w:pPr>
        <w:pStyle w:val="9"/>
        <w:rPr>
          <w:sz w:val="72"/>
          <w:szCs w:val="72"/>
        </w:rPr>
      </w:pPr>
    </w:p>
    <w:p>
      <w:pPr>
        <w:pStyle w:val="9"/>
        <w:rPr>
          <w:sz w:val="72"/>
          <w:szCs w:val="72"/>
        </w:rPr>
      </w:pPr>
    </w:p>
    <w:p>
      <w:pPr>
        <w:pStyle w:val="9"/>
        <w:jc w:val="center"/>
        <w:rPr>
          <w:sz w:val="72"/>
          <w:szCs w:val="72"/>
        </w:rPr>
      </w:pPr>
    </w:p>
    <w:p>
      <w:pPr>
        <w:pStyle w:val="9"/>
        <w:jc w:val="center"/>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9"/>
        <w:jc w:val="center"/>
        <w:rPr>
          <w:rFonts w:hint="eastAsia" w:ascii="方正小标宋_GBK" w:hAnsi="方正小标宋_GBK" w:eastAsia="方正小标宋_GBK" w:cs="方正小标宋_GBK"/>
          <w:sz w:val="70"/>
          <w:szCs w:val="70"/>
        </w:rPr>
      </w:pPr>
    </w:p>
    <w:p>
      <w:pPr>
        <w:pStyle w:val="9"/>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keepNext w:val="0"/>
        <w:keepLines w:val="0"/>
        <w:pageBreakBefore w:val="0"/>
        <w:widowControl/>
        <w:numPr>
          <w:ilvl w:val="0"/>
          <w:numId w:val="3"/>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1164.75</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72.08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6.59</w:t>
      </w:r>
      <w:r>
        <w:rPr>
          <w:rFonts w:hint="eastAsia" w:ascii="Times New Roman" w:hAnsi="Times New Roman" w:eastAsia="仿宋_GB2312"/>
          <w:sz w:val="32"/>
          <w:szCs w:val="32"/>
        </w:rPr>
        <w:t>%，主要是因为</w:t>
      </w:r>
      <w:r>
        <w:rPr>
          <w:rFonts w:hint="eastAsia" w:ascii="仿宋_GB2312" w:hAnsi="仿宋_GB2312" w:eastAsia="仿宋_GB2312" w:cs="仿宋_GB2312"/>
          <w:b w:val="0"/>
          <w:bCs w:val="0"/>
          <w:sz w:val="32"/>
          <w:szCs w:val="32"/>
          <w:lang w:eastAsia="zh-CN"/>
        </w:rPr>
        <w:t>本年度工资福利支出、商品和服务支出有所增加。</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1164.75</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963.72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82.74</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万元；其他收入</w:t>
      </w:r>
      <w:r>
        <w:rPr>
          <w:rFonts w:hint="eastAsia" w:ascii="Times New Roman" w:hAnsi="Times New Roman" w:eastAsia="仿宋_GB2312"/>
          <w:sz w:val="32"/>
          <w:szCs w:val="32"/>
          <w:lang w:val="en-US" w:eastAsia="zh-CN"/>
        </w:rPr>
        <w:t>201</w:t>
      </w:r>
      <w:r>
        <w:rPr>
          <w:rFonts w:hint="eastAsia" w:ascii="Times New Roman" w:hAnsi="Times New Roman" w:eastAsia="仿宋_GB2312"/>
          <w:sz w:val="32"/>
          <w:szCs w:val="32"/>
        </w:rPr>
        <w:t>.03万元，占</w:t>
      </w:r>
      <w:r>
        <w:rPr>
          <w:rFonts w:hint="eastAsia" w:ascii="Times New Roman" w:hAnsi="Times New Roman" w:eastAsia="仿宋_GB2312"/>
          <w:sz w:val="32"/>
          <w:szCs w:val="32"/>
          <w:lang w:val="en-US" w:eastAsia="zh-CN"/>
        </w:rPr>
        <w:t>17.26</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1164.75</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1019.06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87.49</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145.69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12.51</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keepNext w:val="0"/>
        <w:keepLines w:val="0"/>
        <w:pageBreakBefore w:val="0"/>
        <w:widowControl/>
        <w:numPr>
          <w:ilvl w:val="0"/>
          <w:numId w:val="3"/>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963.72</w:t>
      </w:r>
      <w:r>
        <w:rPr>
          <w:rFonts w:hint="eastAsia" w:ascii="Times New Roman" w:hAnsi="Times New Roman" w:eastAsia="仿宋_GB2312"/>
          <w:sz w:val="32"/>
          <w:szCs w:val="32"/>
        </w:rPr>
        <w:t>万元，与上年相比，减</w:t>
      </w:r>
      <w:r>
        <w:rPr>
          <w:rFonts w:hint="eastAsia" w:ascii="Times New Roman" w:hAnsi="Times New Roman" w:eastAsia="仿宋_GB2312"/>
          <w:sz w:val="32"/>
          <w:szCs w:val="32"/>
          <w:lang w:eastAsia="zh-CN"/>
        </w:rPr>
        <w:t>少</w:t>
      </w:r>
      <w:r>
        <w:rPr>
          <w:rFonts w:hint="eastAsia" w:ascii="Times New Roman" w:hAnsi="Times New Roman" w:eastAsia="仿宋_GB2312"/>
          <w:sz w:val="32"/>
          <w:szCs w:val="32"/>
          <w:lang w:val="en-US" w:eastAsia="zh-CN"/>
        </w:rPr>
        <w:t>99.92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9.39</w:t>
      </w:r>
      <w:r>
        <w:rPr>
          <w:rFonts w:hint="eastAsia" w:ascii="Times New Roman" w:hAnsi="Times New Roman" w:eastAsia="仿宋_GB2312"/>
          <w:sz w:val="32"/>
          <w:szCs w:val="32"/>
        </w:rPr>
        <w:t>%，主要是因为</w:t>
      </w:r>
      <w:r>
        <w:rPr>
          <w:rFonts w:hint="eastAsia" w:ascii="仿宋_GB2312" w:hAnsi="仿宋_GB2312" w:eastAsia="仿宋_GB2312" w:cs="仿宋_GB2312"/>
          <w:b w:val="0"/>
          <w:bCs w:val="0"/>
          <w:sz w:val="32"/>
          <w:szCs w:val="32"/>
          <w:lang w:eastAsia="zh-CN"/>
        </w:rPr>
        <w:t>本年度公用经费一再压减，严格秉承厉行节约的原则。</w:t>
      </w:r>
    </w:p>
    <w:p>
      <w:pPr>
        <w:pStyle w:val="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963.72</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82.74</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0.47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0.05</w:t>
      </w:r>
      <w:r>
        <w:rPr>
          <w:rFonts w:hint="eastAsia" w:ascii="Times New Roman" w:hAnsi="Times New Roman" w:eastAsia="仿宋_GB2312"/>
          <w:sz w:val="32"/>
          <w:szCs w:val="32"/>
        </w:rPr>
        <w:t>%，主要是因为</w:t>
      </w:r>
      <w:r>
        <w:rPr>
          <w:rFonts w:hint="eastAsia" w:ascii="仿宋_GB2312" w:hAnsi="仿宋_GB2312" w:eastAsia="仿宋_GB2312" w:cs="仿宋_GB2312"/>
          <w:b w:val="0"/>
          <w:bCs w:val="0"/>
          <w:sz w:val="32"/>
          <w:szCs w:val="32"/>
          <w:lang w:eastAsia="zh-CN"/>
        </w:rPr>
        <w:t>本年度我单位严格执行各项开支，厉行节约，特别是“三公经费”。</w:t>
      </w:r>
    </w:p>
    <w:p>
      <w:pPr>
        <w:pStyle w:val="9"/>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963.72</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万元；教育（类）支出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万元；社会保障和就业（类）支出</w:t>
      </w:r>
      <w:r>
        <w:rPr>
          <w:rFonts w:hint="eastAsia" w:ascii="Times New Roman" w:hAnsi="Times New Roman" w:eastAsia="仿宋_GB2312"/>
          <w:sz w:val="32"/>
          <w:szCs w:val="32"/>
          <w:lang w:val="en-US" w:eastAsia="zh-CN"/>
        </w:rPr>
        <w:t>127.99</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13.28</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39.54</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4.1</w:t>
      </w:r>
      <w:r>
        <w:rPr>
          <w:rFonts w:hint="eastAsia" w:ascii="Times New Roman" w:hAnsi="Times New Roman" w:eastAsia="仿宋_GB2312"/>
          <w:sz w:val="32"/>
          <w:szCs w:val="32"/>
        </w:rPr>
        <w:t>%；城乡社区（类）支出</w:t>
      </w:r>
      <w:r>
        <w:rPr>
          <w:rFonts w:hint="eastAsia" w:ascii="Times New Roman" w:hAnsi="Times New Roman" w:eastAsia="仿宋_GB2312"/>
          <w:sz w:val="32"/>
          <w:szCs w:val="32"/>
          <w:lang w:val="en-US" w:eastAsia="zh-CN"/>
        </w:rPr>
        <w:t>796.19</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82.62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1101.66</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963.72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87.48</w:t>
      </w:r>
      <w:r>
        <w:rPr>
          <w:rFonts w:hint="eastAsia" w:ascii="Times New Roman" w:hAnsi="Times New Roman" w:eastAsia="仿宋_GB2312"/>
          <w:sz w:val="32"/>
          <w:szCs w:val="32"/>
        </w:rPr>
        <w:t>%，其中：</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1、一般公共服务（类）其他一般公共服务支出（款） 其他一般公共服务支出（项）。</w:t>
      </w:r>
    </w:p>
    <w:p>
      <w:pPr>
        <w:pStyle w:val="9"/>
        <w:keepNext w:val="0"/>
        <w:keepLines w:val="0"/>
        <w:pageBreakBefore w:val="0"/>
        <w:widowControl w:val="0"/>
        <w:numPr>
          <w:ilvl w:val="0"/>
          <w:numId w:val="0"/>
        </w:numPr>
        <w:kinsoku/>
        <w:wordWrap/>
        <w:overflowPunct/>
        <w:topLinePunct w:val="0"/>
        <w:autoSpaceDE w:val="0"/>
        <w:autoSpaceDN w:val="0"/>
        <w:bidi w:val="0"/>
        <w:adjustRightInd w:val="0"/>
        <w:snapToGrid/>
        <w:ind w:firstLine="640" w:firstLineChars="200"/>
        <w:textAlignment w:val="auto"/>
        <w:rPr>
          <w:rFonts w:hint="eastAsia" w:ascii="宋体" w:hAnsi="宋体" w:eastAsia="宋体" w:cs="宋体"/>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万元，决算数小于年初预算数的主要原因是：</w:t>
      </w:r>
      <w:r>
        <w:rPr>
          <w:rFonts w:hint="eastAsia" w:ascii="仿宋_GB2312" w:hAnsi="仿宋_GB2312" w:eastAsia="仿宋_GB2312" w:cs="仿宋_GB2312"/>
          <w:sz w:val="32"/>
          <w:szCs w:val="32"/>
          <w:lang w:eastAsia="zh-CN"/>
        </w:rPr>
        <w:t>实际发生的该类收入减少，从而导致该类支出减少。</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2、社会保障和就业支出（类）行政事业单位养老支出（款）机关事业单位基本养老保险缴费支出（项）。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131.46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104.02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79.13</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lang w:eastAsia="zh-CN"/>
        </w:rPr>
        <w:t>实际发生的该类收入减少，从而导致该类支出减少。</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、社会保障和就业支出（类）行政事业单位养老支出（款）其他行政事业单位养老支出（项）。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23.97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无法计算百分比。</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lang w:eastAsia="zh-CN"/>
        </w:rPr>
        <w:t>实际发生的该类收入增加，从而导致该类支出增加。</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仿宋_GB2312" w:hAnsi="仿宋_GB2312" w:eastAsia="仿宋_GB2312" w:cs="仿宋_GB2312"/>
          <w:sz w:val="32"/>
          <w:szCs w:val="32"/>
          <w:lang w:val="en-US" w:eastAsia="zh-CN"/>
        </w:rPr>
        <w:t>卫生健康支出</w:t>
      </w:r>
      <w:r>
        <w:rPr>
          <w:rFonts w:hint="eastAsia" w:ascii="Times New Roman" w:hAnsi="Times New Roman" w:eastAsia="仿宋_GB2312"/>
          <w:sz w:val="32"/>
          <w:szCs w:val="32"/>
        </w:rPr>
        <w:t>（类）行政事业单位医疗（款）行政单位医疗（项）。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38.03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无法计算百分比。</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lang w:eastAsia="zh-CN"/>
        </w:rPr>
        <w:t>实际发生的该类收入增加，从而导致该类支出增加。</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w:t>
      </w:r>
      <w:r>
        <w:rPr>
          <w:rFonts w:hint="eastAsia" w:ascii="仿宋_GB2312" w:hAnsi="仿宋_GB2312" w:eastAsia="仿宋_GB2312" w:cs="仿宋_GB2312"/>
          <w:sz w:val="32"/>
          <w:szCs w:val="32"/>
          <w:lang w:val="en-US" w:eastAsia="zh-CN"/>
        </w:rPr>
        <w:t>卫生健康支出</w:t>
      </w:r>
      <w:r>
        <w:rPr>
          <w:rFonts w:hint="eastAsia" w:ascii="Times New Roman" w:hAnsi="Times New Roman" w:eastAsia="仿宋_GB2312"/>
          <w:sz w:val="32"/>
          <w:szCs w:val="32"/>
        </w:rPr>
        <w:t>（类）行政事业单位医疗（款）</w:t>
      </w:r>
      <w:r>
        <w:rPr>
          <w:rFonts w:hint="eastAsia" w:ascii="Times New Roman" w:hAnsi="Times New Roman" w:eastAsia="仿宋_GB2312"/>
          <w:sz w:val="32"/>
          <w:szCs w:val="32"/>
          <w:lang w:eastAsia="zh-CN"/>
        </w:rPr>
        <w:t>事业</w:t>
      </w:r>
      <w:r>
        <w:rPr>
          <w:rFonts w:hint="eastAsia" w:ascii="Times New Roman" w:hAnsi="Times New Roman" w:eastAsia="仿宋_GB2312"/>
          <w:sz w:val="32"/>
          <w:szCs w:val="32"/>
        </w:rPr>
        <w:t>单位医疗（项）。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44.12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3.42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lang w:eastAsia="zh-CN"/>
        </w:rPr>
        <w:t>实际发生的该类收入减少，从而导致该类支出减少。</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w:t>
      </w:r>
      <w:r>
        <w:rPr>
          <w:rFonts w:hint="eastAsia" w:ascii="仿宋_GB2312" w:hAnsi="仿宋_GB2312" w:eastAsia="仿宋_GB2312" w:cs="仿宋_GB2312"/>
          <w:sz w:val="32"/>
          <w:szCs w:val="32"/>
          <w:lang w:val="en-US" w:eastAsia="zh-CN"/>
        </w:rPr>
        <w:t>城乡社区支出</w:t>
      </w:r>
      <w:r>
        <w:rPr>
          <w:rFonts w:hint="eastAsia" w:ascii="Times New Roman" w:hAnsi="Times New Roman" w:eastAsia="仿宋_GB2312"/>
          <w:sz w:val="32"/>
          <w:szCs w:val="32"/>
        </w:rPr>
        <w:t>（类）城乡社区管理事务（款）行政运行（项）。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922.98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649.41</w:t>
      </w:r>
      <w:r>
        <w:rPr>
          <w:rFonts w:hint="eastAsia" w:ascii="Times New Roman" w:hAnsi="Times New Roman" w:eastAsia="仿宋_GB2312"/>
          <w:sz w:val="32"/>
          <w:szCs w:val="32"/>
        </w:rPr>
        <w:t>万元，完成年初预算</w:t>
      </w:r>
      <w:r>
        <w:rPr>
          <w:rFonts w:hint="eastAsia" w:ascii="Times New Roman" w:hAnsi="Times New Roman" w:eastAsia="仿宋_GB2312"/>
          <w:sz w:val="32"/>
          <w:szCs w:val="32"/>
          <w:lang w:eastAsia="zh-CN"/>
        </w:rPr>
        <w:t>数</w:t>
      </w:r>
      <w:r>
        <w:rPr>
          <w:rFonts w:hint="eastAsia" w:ascii="Times New Roman" w:hAnsi="Times New Roman" w:eastAsia="仿宋_GB2312"/>
          <w:sz w:val="32"/>
          <w:szCs w:val="32"/>
        </w:rPr>
        <w:t>的</w:t>
      </w:r>
      <w:r>
        <w:rPr>
          <w:rFonts w:hint="eastAsia" w:ascii="Times New Roman" w:hAnsi="Times New Roman" w:eastAsia="仿宋_GB2312"/>
          <w:sz w:val="32"/>
          <w:szCs w:val="32"/>
          <w:lang w:val="en-US" w:eastAsia="zh-CN"/>
        </w:rPr>
        <w:t>70.36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lang w:eastAsia="zh-CN"/>
        </w:rPr>
        <w:t>实际发生的该类收入减少，从而导致该类支出减少。</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w:t>
      </w:r>
      <w:r>
        <w:rPr>
          <w:rFonts w:hint="eastAsia" w:ascii="仿宋_GB2312" w:hAnsi="仿宋_GB2312" w:eastAsia="仿宋_GB2312" w:cs="仿宋_GB2312"/>
          <w:sz w:val="32"/>
          <w:szCs w:val="32"/>
          <w:lang w:val="en-US" w:eastAsia="zh-CN"/>
        </w:rPr>
        <w:t>城乡社区支出</w:t>
      </w:r>
      <w:r>
        <w:rPr>
          <w:rFonts w:hint="eastAsia" w:ascii="Times New Roman" w:hAnsi="Times New Roman" w:eastAsia="仿宋_GB2312"/>
          <w:sz w:val="32"/>
          <w:szCs w:val="32"/>
        </w:rPr>
        <w:t>（类）城乡社区管理事务（款） 一般行政管理事务（项）。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4.64</w:t>
      </w:r>
      <w:r>
        <w:rPr>
          <w:rFonts w:hint="eastAsia" w:ascii="Times New Roman" w:hAnsi="Times New Roman" w:eastAsia="仿宋_GB2312"/>
          <w:sz w:val="32"/>
          <w:szCs w:val="32"/>
        </w:rPr>
        <w:t>万元，完成年初预算</w:t>
      </w:r>
      <w:r>
        <w:rPr>
          <w:rFonts w:hint="eastAsia" w:ascii="Times New Roman" w:hAnsi="Times New Roman" w:eastAsia="仿宋_GB2312"/>
          <w:sz w:val="32"/>
          <w:szCs w:val="32"/>
          <w:lang w:eastAsia="zh-CN"/>
        </w:rPr>
        <w:t>数</w:t>
      </w:r>
      <w:r>
        <w:rPr>
          <w:rFonts w:hint="eastAsia" w:ascii="Times New Roman" w:hAnsi="Times New Roman" w:eastAsia="仿宋_GB2312"/>
          <w:sz w:val="32"/>
          <w:szCs w:val="32"/>
        </w:rPr>
        <w:t>的</w:t>
      </w:r>
      <w:r>
        <w:rPr>
          <w:rFonts w:hint="eastAsia" w:ascii="Times New Roman" w:hAnsi="Times New Roman" w:eastAsia="仿宋_GB2312"/>
          <w:sz w:val="32"/>
          <w:szCs w:val="32"/>
          <w:lang w:val="en-US" w:eastAsia="zh-CN"/>
        </w:rPr>
        <w:t>149.68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lang w:eastAsia="zh-CN"/>
        </w:rPr>
        <w:t>实际发生的该类收入增加，从而导致该类支出增加。</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w:t>
      </w:r>
      <w:r>
        <w:rPr>
          <w:rFonts w:hint="eastAsia" w:ascii="仿宋_GB2312" w:hAnsi="仿宋_GB2312" w:eastAsia="仿宋_GB2312" w:cs="仿宋_GB2312"/>
          <w:sz w:val="32"/>
          <w:szCs w:val="32"/>
          <w:lang w:val="en-US" w:eastAsia="zh-CN"/>
        </w:rPr>
        <w:t>城乡社区支出</w:t>
      </w:r>
      <w:r>
        <w:rPr>
          <w:rFonts w:hint="eastAsia" w:ascii="Times New Roman" w:hAnsi="Times New Roman" w:eastAsia="仿宋_GB2312"/>
          <w:sz w:val="32"/>
          <w:szCs w:val="32"/>
        </w:rPr>
        <w:t>（类）城乡社区管理事务（款）其他城乡社区管理事务支出（项）。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50.97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lang w:eastAsia="zh-CN"/>
        </w:rPr>
        <w:t>实际发生的该类收入增加，从而导致该类支出增加。</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w:t>
      </w:r>
      <w:r>
        <w:rPr>
          <w:rFonts w:hint="eastAsia" w:ascii="仿宋_GB2312" w:hAnsi="仿宋_GB2312" w:eastAsia="仿宋_GB2312" w:cs="仿宋_GB2312"/>
          <w:sz w:val="32"/>
          <w:szCs w:val="32"/>
          <w:lang w:val="en-US" w:eastAsia="zh-CN"/>
        </w:rPr>
        <w:t>城乡社区支出</w:t>
      </w:r>
      <w:r>
        <w:rPr>
          <w:rFonts w:hint="eastAsia" w:ascii="Times New Roman" w:hAnsi="Times New Roman" w:eastAsia="仿宋_GB2312"/>
          <w:sz w:val="32"/>
          <w:szCs w:val="32"/>
        </w:rPr>
        <w:t>（类）国有土地使用权出让收入安排的支出（款） 土地出让业务支出（项）。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仿宋_GB2312" w:hAnsi="仿宋_GB2312" w:eastAsia="仿宋_GB2312" w:cs="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66.33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lang w:eastAsia="zh-CN"/>
        </w:rPr>
        <w:t>实际发生的该类收入增加，从而导致该类支出增加。</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818.03</w:t>
      </w:r>
      <w:r>
        <w:rPr>
          <w:rFonts w:hint="eastAsia" w:ascii="Times New Roman" w:hAnsi="Times New Roman" w:eastAsia="仿宋_GB2312"/>
          <w:sz w:val="32"/>
          <w:szCs w:val="32"/>
        </w:rPr>
        <w:t>万元，其中：</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723.26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88.41</w:t>
      </w:r>
      <w:r>
        <w:rPr>
          <w:rFonts w:hint="eastAsia" w:ascii="Times New Roman" w:hAnsi="Times New Roman" w:eastAsia="仿宋_GB2312"/>
          <w:sz w:val="32"/>
          <w:szCs w:val="32"/>
        </w:rPr>
        <w:t>%,主要包括基本工资、津贴补贴、奖金、机关事业单位基本养老保险缴费、职工基本医疗保险缴费、其他社会保障缴费、其他工资福利支出</w:t>
      </w:r>
      <w:r>
        <w:rPr>
          <w:rFonts w:hint="eastAsia" w:ascii="Times New Roman" w:hAnsi="Times New Roman" w:eastAsia="仿宋_GB2312"/>
          <w:sz w:val="32"/>
          <w:szCs w:val="32"/>
          <w:lang w:eastAsia="zh-CN"/>
        </w:rPr>
        <w:t>等等。</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94.77</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11.59</w:t>
      </w:r>
      <w:r>
        <w:rPr>
          <w:rFonts w:hint="eastAsia" w:ascii="Times New Roman" w:hAnsi="Times New Roman" w:eastAsia="仿宋_GB2312"/>
          <w:sz w:val="32"/>
          <w:szCs w:val="32"/>
        </w:rPr>
        <w:t>%，主要包括办公费、邮电费、</w:t>
      </w:r>
      <w:r>
        <w:rPr>
          <w:rFonts w:hint="eastAsia" w:ascii="Times New Roman" w:hAnsi="Times New Roman" w:eastAsia="仿宋_GB2312"/>
          <w:sz w:val="32"/>
          <w:szCs w:val="32"/>
          <w:lang w:eastAsia="zh-CN"/>
        </w:rPr>
        <w:t>培训费</w:t>
      </w:r>
      <w:r>
        <w:rPr>
          <w:rFonts w:hint="eastAsia" w:ascii="Times New Roman" w:hAnsi="Times New Roman" w:eastAsia="仿宋_GB2312"/>
          <w:sz w:val="32"/>
          <w:szCs w:val="32"/>
        </w:rPr>
        <w:t>、差旅费、维修（护）费、公务接待费、工会经费、福利费</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156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决算数大于预算数主要是因为去年年底资金不够，节留部分车辆维修费等在今年支付，从而造成今年决算数大于预算数。与上年相比，增加</w:t>
      </w:r>
      <w:r>
        <w:rPr>
          <w:rFonts w:hint="eastAsia" w:ascii="Times New Roman" w:hAnsi="Times New Roman" w:eastAsia="仿宋_GB2312"/>
          <w:sz w:val="32"/>
          <w:szCs w:val="32"/>
          <w:lang w:val="en-US" w:eastAsia="zh-CN"/>
        </w:rPr>
        <w:t>1万元，原因同上。</w:t>
      </w:r>
      <w:r>
        <w:rPr>
          <w:rFonts w:hint="eastAsia" w:ascii="Times New Roman" w:hAnsi="Times New Roman" w:eastAsia="仿宋_GB2312"/>
          <w:sz w:val="32"/>
          <w:szCs w:val="32"/>
        </w:rPr>
        <w:t>其中：</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由于预算数和支出决算数都为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我单位没有该项开支内容</w:t>
      </w:r>
      <w:r>
        <w:rPr>
          <w:rFonts w:hint="eastAsia" w:ascii="Times New Roman" w:hAnsi="Times New Roman" w:eastAsia="仿宋_GB2312"/>
          <w:sz w:val="32"/>
          <w:szCs w:val="32"/>
        </w:rPr>
        <w:t>，与上年</w:t>
      </w:r>
      <w:r>
        <w:rPr>
          <w:rFonts w:hint="eastAsia" w:ascii="Times New Roman" w:hAnsi="Times New Roman" w:eastAsia="仿宋_GB2312"/>
          <w:sz w:val="32"/>
          <w:szCs w:val="32"/>
          <w:lang w:eastAsia="zh-CN"/>
        </w:rPr>
        <w:t>保持一致，我单位没有该项开支内容</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0.25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50</w:t>
      </w:r>
      <w:r>
        <w:rPr>
          <w:rFonts w:hint="eastAsia" w:ascii="Times New Roman" w:hAnsi="Times New Roman" w:eastAsia="仿宋_GB2312"/>
          <w:sz w:val="32"/>
          <w:szCs w:val="32"/>
        </w:rPr>
        <w:t>%，决算数小于预算数的主要原因是</w:t>
      </w:r>
      <w:r>
        <w:rPr>
          <w:rFonts w:hint="eastAsia" w:ascii="仿宋_GB2312" w:hAnsi="仿宋_GB2312" w:eastAsia="仿宋_GB2312" w:cs="仿宋_GB2312"/>
          <w:sz w:val="32"/>
          <w:szCs w:val="32"/>
          <w:lang w:eastAsia="zh-CN"/>
        </w:rPr>
        <w:t>我单位始终坚持厉行节约原则，开源节流</w:t>
      </w:r>
      <w:r>
        <w:rPr>
          <w:rFonts w:hint="eastAsia" w:ascii="仿宋_GB2312" w:hAnsi="仿宋_GB2312" w:eastAsia="仿宋_GB2312" w:cs="仿宋_GB2312"/>
          <w:sz w:val="32"/>
          <w:szCs w:val="32"/>
        </w:rPr>
        <w:t>，</w:t>
      </w:r>
      <w:r>
        <w:rPr>
          <w:rFonts w:hint="eastAsia" w:ascii="Times New Roman" w:hAnsi="Times New Roman" w:eastAsia="仿宋_GB2312"/>
          <w:sz w:val="32"/>
          <w:szCs w:val="32"/>
        </w:rPr>
        <w:t>与上年</w:t>
      </w:r>
      <w:r>
        <w:rPr>
          <w:rFonts w:hint="eastAsia" w:ascii="Times New Roman" w:hAnsi="Times New Roman" w:eastAsia="仿宋_GB2312"/>
          <w:sz w:val="32"/>
          <w:szCs w:val="32"/>
          <w:lang w:eastAsia="zh-CN"/>
        </w:rPr>
        <w:t>无法比较，增加</w:t>
      </w:r>
      <w:r>
        <w:rPr>
          <w:rFonts w:hint="eastAsia" w:ascii="Times New Roman" w:hAnsi="Times New Roman" w:eastAsia="仿宋_GB2312"/>
          <w:sz w:val="32"/>
          <w:szCs w:val="32"/>
          <w:lang w:val="en-US" w:eastAsia="zh-CN"/>
        </w:rPr>
        <w:t>0.14万元，</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我单位于</w:t>
      </w:r>
      <w:r>
        <w:rPr>
          <w:rFonts w:hint="eastAsia" w:ascii="Times New Roman" w:hAnsi="Times New Roman" w:eastAsia="仿宋_GB2312"/>
          <w:sz w:val="32"/>
          <w:szCs w:val="32"/>
          <w:lang w:val="en-US" w:eastAsia="zh-CN"/>
        </w:rPr>
        <w:t>本年度接待外来单位考察学习次数有所增加</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由于预算数和支出决算数都为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我单位没有该项开支内容</w:t>
      </w:r>
      <w:r>
        <w:rPr>
          <w:rFonts w:hint="eastAsia" w:ascii="Times New Roman" w:hAnsi="Times New Roman" w:eastAsia="仿宋_GB2312"/>
          <w:sz w:val="32"/>
          <w:szCs w:val="32"/>
        </w:rPr>
        <w:t>，与上年</w:t>
      </w:r>
      <w:r>
        <w:rPr>
          <w:rFonts w:hint="eastAsia" w:ascii="Times New Roman" w:hAnsi="Times New Roman" w:eastAsia="仿宋_GB2312"/>
          <w:sz w:val="32"/>
          <w:szCs w:val="32"/>
          <w:lang w:eastAsia="zh-CN"/>
        </w:rPr>
        <w:t>无法比较，保持一致，我单位于没有该项开支</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260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决算数大于预算数主要是因为去年年底资金不够，节留部分车辆维修费用等在今年支付，从而造成今年决算数大于预算数。</w:t>
      </w:r>
      <w:r>
        <w:rPr>
          <w:rFonts w:hint="eastAsia" w:ascii="Times New Roman" w:hAnsi="Times New Roman" w:eastAsia="仿宋_GB2312"/>
          <w:sz w:val="32"/>
          <w:szCs w:val="32"/>
        </w:rPr>
        <w:t>与上年</w:t>
      </w:r>
      <w:r>
        <w:rPr>
          <w:rFonts w:hint="eastAsia" w:ascii="Times New Roman" w:hAnsi="Times New Roman" w:eastAsia="仿宋_GB2312"/>
          <w:sz w:val="32"/>
          <w:szCs w:val="32"/>
          <w:lang w:eastAsia="zh-CN"/>
        </w:rPr>
        <w:t>无法比较，增加</w:t>
      </w:r>
      <w:r>
        <w:rPr>
          <w:rFonts w:hint="eastAsia" w:ascii="Times New Roman" w:hAnsi="Times New Roman" w:eastAsia="仿宋_GB2312"/>
          <w:sz w:val="32"/>
          <w:szCs w:val="32"/>
          <w:lang w:val="en-US" w:eastAsia="zh-CN"/>
        </w:rPr>
        <w:t>0.85万元，</w:t>
      </w:r>
      <w:r>
        <w:rPr>
          <w:rFonts w:hint="eastAsia" w:ascii="Times New Roman" w:hAnsi="Times New Roman" w:eastAsia="仿宋_GB2312"/>
          <w:sz w:val="32"/>
          <w:szCs w:val="32"/>
          <w:lang w:eastAsia="zh-CN"/>
        </w:rPr>
        <w:t>原因同上。</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0.25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16.03</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万元，公务用车购置费及运行维护费支出决算</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83.97</w:t>
      </w:r>
      <w:r>
        <w:rPr>
          <w:rFonts w:hint="eastAsia" w:ascii="Times New Roman" w:hAnsi="Times New Roman" w:eastAsia="仿宋_GB2312"/>
          <w:sz w:val="32"/>
          <w:szCs w:val="32"/>
        </w:rPr>
        <w:t>%。其中：</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0.25</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外县市兄弟单位前来我中心学习交流</w:t>
      </w:r>
      <w:r>
        <w:rPr>
          <w:rFonts w:hint="eastAsia" w:ascii="Times New Roman" w:hAnsi="Times New Roman" w:eastAsia="仿宋_GB2312"/>
          <w:sz w:val="32"/>
          <w:szCs w:val="32"/>
        </w:rPr>
        <w:t>发生的接待支出。</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车辆维修费、油料费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辆。</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9"/>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仿宋_GB2312" w:hAnsi="仿宋_GB2312" w:eastAsia="仿宋_GB2312" w:cs="仿宋_GB2312"/>
          <w:sz w:val="32"/>
          <w:szCs w:val="32"/>
          <w:lang w:val="en-US" w:eastAsia="zh-CN"/>
        </w:rPr>
        <w:t>城乡社区支出</w:t>
      </w:r>
      <w:r>
        <w:rPr>
          <w:rFonts w:hint="eastAsia" w:ascii="Times New Roman" w:hAnsi="Times New Roman" w:eastAsia="仿宋_GB2312"/>
          <w:sz w:val="32"/>
          <w:szCs w:val="32"/>
        </w:rPr>
        <w:t>（类）国有土地使用权出让收入安排的支出（款） 土地出让业务支出（项）。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本年度</w:t>
      </w:r>
      <w:r>
        <w:rPr>
          <w:rFonts w:hint="eastAsia" w:ascii="仿宋_GB2312" w:hAnsi="仿宋_GB2312" w:eastAsia="仿宋_GB2312" w:cs="仿宋_GB2312"/>
          <w:sz w:val="32"/>
          <w:szCs w:val="32"/>
          <w:lang w:eastAsia="zh-CN"/>
        </w:rPr>
        <w:t>实际发生的该类收入为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，该类支出为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w:t>
      </w:r>
    </w:p>
    <w:p>
      <w:pPr>
        <w:autoSpaceDE w:val="0"/>
        <w:autoSpaceDN w:val="0"/>
        <w:adjustRightInd w:val="0"/>
        <w:spacing w:line="500" w:lineRule="exact"/>
        <w:ind w:firstLine="640" w:firstLineChars="200"/>
        <w:jc w:val="left"/>
        <w:rPr>
          <w:rFonts w:hint="eastAsia" w:ascii="黑体" w:hAnsi="黑体" w:eastAsia="黑体" w:cs="黑体"/>
          <w:color w:val="000000"/>
          <w:kern w:val="0"/>
          <w:sz w:val="32"/>
          <w:szCs w:val="32"/>
        </w:rPr>
      </w:pPr>
      <w:r>
        <w:rPr>
          <w:rFonts w:hint="eastAsia" w:ascii="黑体" w:hAnsi="黑体" w:eastAsia="黑体" w:cs="黑体"/>
          <w:sz w:val="32"/>
          <w:szCs w:val="32"/>
          <w:lang w:val="en-US" w:eastAsia="zh-CN"/>
        </w:rPr>
        <w:t>九、国有资本经营预算财政拨款支出</w:t>
      </w:r>
      <w:r>
        <w:rPr>
          <w:rFonts w:hint="eastAsia" w:ascii="黑体" w:hAnsi="黑体" w:eastAsia="黑体" w:cs="黑体"/>
          <w:sz w:val="32"/>
          <w:szCs w:val="32"/>
        </w:rPr>
        <w:t>决算情况</w:t>
      </w:r>
      <w:r>
        <w:rPr>
          <w:rFonts w:hint="eastAsia" w:ascii="黑体" w:hAnsi="黑体" w:eastAsia="黑体" w:cs="黑体"/>
          <w:sz w:val="32"/>
          <w:szCs w:val="32"/>
          <w:lang w:val="en-US" w:eastAsia="zh-CN"/>
        </w:rPr>
        <w:t>说明</w:t>
      </w:r>
    </w:p>
    <w:p>
      <w:pPr>
        <w:pStyle w:val="9"/>
        <w:keepNext w:val="0"/>
        <w:keepLines w:val="0"/>
        <w:pageBreakBefore w:val="0"/>
        <w:numPr>
          <w:ilvl w:val="0"/>
          <w:numId w:val="0"/>
        </w:numPr>
        <w:kinsoku/>
        <w:wordWrap/>
        <w:overflowPunct/>
        <w:topLinePunct w:val="0"/>
        <w:bidi w:val="0"/>
        <w:snapToGrid/>
        <w:spacing w:line="600" w:lineRule="exact"/>
        <w:ind w:firstLine="642"/>
        <w:textAlignment w:val="auto"/>
        <w:rPr>
          <w:rFonts w:hint="eastAsia" w:ascii="宋体" w:hAnsi="宋体" w:eastAsia="宋体" w:cs="宋体"/>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2023</w:t>
      </w:r>
      <w:r>
        <w:rPr>
          <w:rFonts w:hint="eastAsia" w:ascii="仿宋_GB2312" w:hAnsi="仿宋_GB2312" w:eastAsia="仿宋_GB2312" w:cs="仿宋_GB2312"/>
          <w:b w:val="0"/>
          <w:bCs w:val="0"/>
          <w:color w:val="auto"/>
          <w:sz w:val="32"/>
          <w:szCs w:val="32"/>
          <w:highlight w:val="none"/>
        </w:rPr>
        <w:t>年度</w:t>
      </w:r>
      <w:r>
        <w:rPr>
          <w:rFonts w:hint="eastAsia" w:ascii="仿宋_GB2312" w:hAnsi="仿宋_GB2312" w:eastAsia="仿宋_GB2312" w:cs="仿宋_GB2312"/>
          <w:b w:val="0"/>
          <w:bCs w:val="0"/>
          <w:sz w:val="32"/>
          <w:szCs w:val="32"/>
          <w:highlight w:val="none"/>
          <w:lang w:val="en-US" w:eastAsia="zh-CN"/>
        </w:rPr>
        <w:t>国有资本经营预算财政拨款支出0</w:t>
      </w:r>
      <w:r>
        <w:rPr>
          <w:rFonts w:hint="eastAsia" w:ascii="仿宋_GB2312" w:hAnsi="仿宋_GB2312" w:eastAsia="仿宋_GB2312" w:cs="仿宋_GB2312"/>
          <w:b w:val="0"/>
          <w:bCs w:val="0"/>
          <w:color w:val="auto"/>
          <w:sz w:val="32"/>
          <w:szCs w:val="32"/>
          <w:highlight w:val="none"/>
        </w:rPr>
        <w:t>万元；支出</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万元，其中基本支出</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万元，项目支出</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即</w:t>
      </w:r>
      <w:r>
        <w:rPr>
          <w:rFonts w:hint="eastAsia" w:ascii="仿宋_GB2312" w:hAnsi="仿宋_GB2312" w:eastAsia="仿宋_GB2312" w:cs="仿宋_GB2312"/>
          <w:b w:val="0"/>
          <w:bCs w:val="0"/>
          <w:color w:val="auto"/>
          <w:sz w:val="32"/>
          <w:szCs w:val="32"/>
          <w:highlight w:val="none"/>
        </w:rPr>
        <w:t>本单位无</w:t>
      </w:r>
      <w:r>
        <w:rPr>
          <w:rFonts w:hint="eastAsia" w:ascii="仿宋_GB2312" w:hAnsi="仿宋_GB2312" w:eastAsia="仿宋_GB2312" w:cs="仿宋_GB2312"/>
          <w:b w:val="0"/>
          <w:bCs w:val="0"/>
          <w:sz w:val="32"/>
          <w:szCs w:val="32"/>
          <w:highlight w:val="none"/>
          <w:lang w:val="en-US" w:eastAsia="zh-CN"/>
        </w:rPr>
        <w:t>国有资本经营预算财政拨款支出</w:t>
      </w:r>
      <w:r>
        <w:rPr>
          <w:rFonts w:hint="eastAsia" w:ascii="仿宋_GB2312" w:hAnsi="仿宋_GB2312" w:eastAsia="仿宋_GB2312" w:cs="仿宋_GB2312"/>
          <w:sz w:val="32"/>
          <w:szCs w:val="32"/>
        </w:rPr>
        <w:t>。</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仿宋_GB2312" w:hAnsi="仿宋_GB2312" w:eastAsia="仿宋_GB2312" w:cs="仿宋_GB2312"/>
          <w:sz w:val="32"/>
          <w:szCs w:val="32"/>
          <w:lang w:val="en-US" w:eastAsia="zh-CN"/>
        </w:rPr>
      </w:pP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lang w:eastAsia="zh-CN"/>
        </w:rPr>
        <w:t>十</w:t>
      </w:r>
      <w:r>
        <w:rPr>
          <w:rFonts w:hint="eastAsia" w:ascii="Times New Roman" w:hAnsi="Times New Roman" w:eastAsia="仿宋_GB2312"/>
          <w:b/>
          <w:sz w:val="32"/>
          <w:szCs w:val="32"/>
        </w:rPr>
        <w:t>、关于机关运行经费支出说明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94.77</w:t>
      </w:r>
      <w:r>
        <w:rPr>
          <w:rFonts w:hint="eastAsia" w:ascii="Times New Roman" w:hAnsi="Times New Roman" w:eastAsia="仿宋_GB2312"/>
          <w:sz w:val="32"/>
          <w:szCs w:val="32"/>
        </w:rPr>
        <w:t>万元，比年初预算数减少</w:t>
      </w:r>
      <w:r>
        <w:rPr>
          <w:rFonts w:hint="eastAsia" w:ascii="Times New Roman" w:hAnsi="Times New Roman" w:eastAsia="仿宋_GB2312"/>
          <w:sz w:val="32"/>
          <w:szCs w:val="32"/>
          <w:lang w:val="en-US" w:eastAsia="zh-CN"/>
        </w:rPr>
        <w:t>5.73</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5.7</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一方面本年度总收入有所减少，支出相应较少；另一方面我单位始终坚持厉行节约</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开源节流的原则，特别是</w:t>
      </w:r>
      <w:r>
        <w:rPr>
          <w:rFonts w:hint="eastAsia" w:ascii="楷体" w:hAnsi="楷体" w:eastAsia="楷体" w:cs="楷体"/>
          <w:b w:val="0"/>
          <w:bCs w:val="0"/>
          <w:i w:val="0"/>
          <w:iCs/>
          <w:color w:val="auto"/>
          <w:kern w:val="0"/>
          <w:sz w:val="32"/>
          <w:szCs w:val="32"/>
          <w:lang w:val="en-US" w:eastAsia="zh-CN" w:bidi="ar-SA"/>
        </w:rPr>
        <w:t>“</w:t>
      </w:r>
      <w:r>
        <w:rPr>
          <w:rFonts w:hint="eastAsia" w:ascii="仿宋_GB2312" w:hAnsi="仿宋_GB2312" w:eastAsia="仿宋_GB2312" w:cs="仿宋_GB2312"/>
          <w:b w:val="0"/>
          <w:bCs w:val="0"/>
          <w:i w:val="0"/>
          <w:iCs/>
          <w:color w:val="auto"/>
          <w:kern w:val="0"/>
          <w:sz w:val="32"/>
          <w:szCs w:val="32"/>
          <w:lang w:val="en-US" w:eastAsia="zh-CN" w:bidi="ar-SA"/>
        </w:rPr>
        <w:t>三公”经费的开支</w:t>
      </w:r>
      <w:r>
        <w:rPr>
          <w:rFonts w:hint="eastAsia" w:ascii="仿宋_GB2312" w:hAnsi="仿宋_GB2312" w:eastAsia="仿宋_GB2312" w:cs="仿宋_GB2312"/>
          <w:b w:val="0"/>
          <w:bCs w:val="0"/>
          <w:i w:val="0"/>
          <w:iCs/>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pPr>
        <w:pStyle w:val="9"/>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年本部门开支会议费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万元；开支培训费</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用于开展学习房屋征收政策培训，人数</w:t>
      </w:r>
      <w:r>
        <w:rPr>
          <w:rFonts w:hint="eastAsia" w:ascii="仿宋_GB2312" w:hAnsi="仿宋_GB2312" w:eastAsia="仿宋_GB2312" w:cs="仿宋_GB2312"/>
          <w:color w:val="auto"/>
          <w:sz w:val="32"/>
          <w:szCs w:val="32"/>
          <w:lang w:val="en-US" w:eastAsia="zh-CN"/>
        </w:rPr>
        <w:t>59</w:t>
      </w:r>
      <w:r>
        <w:rPr>
          <w:rFonts w:hint="eastAsia" w:ascii="仿宋_GB2312" w:hAnsi="仿宋_GB2312" w:eastAsia="仿宋_GB2312" w:cs="仿宋_GB2312"/>
          <w:color w:val="auto"/>
          <w:sz w:val="32"/>
          <w:szCs w:val="32"/>
        </w:rPr>
        <w:t>人，内容为组织本单位工作人员以及各征收项目的一线工作人员学习国有土地上房屋征收最新法律政策，提高业务水平，做到依法征收、阳光征收</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000000"/>
          <w:kern w:val="0"/>
          <w:sz w:val="32"/>
          <w:szCs w:val="32"/>
          <w:lang w:eastAsia="zh-CN"/>
        </w:rPr>
        <w:t>全年无</w:t>
      </w:r>
      <w:r>
        <w:rPr>
          <w:rFonts w:hint="eastAsia" w:ascii="仿宋_GB2312" w:hAnsi="仿宋_GB2312" w:eastAsia="仿宋_GB2312" w:cs="仿宋_GB2312"/>
          <w:color w:val="000000"/>
          <w:kern w:val="0"/>
          <w:sz w:val="32"/>
          <w:szCs w:val="32"/>
        </w:rPr>
        <w:t>节庆、晚会、论坛、赛事活动</w:t>
      </w:r>
      <w:r>
        <w:rPr>
          <w:rFonts w:hint="eastAsia" w:ascii="仿宋_GB2312" w:hAnsi="仿宋_GB2312" w:eastAsia="仿宋_GB2312" w:cs="仿宋_GB2312"/>
          <w:color w:val="000000"/>
          <w:kern w:val="0"/>
          <w:sz w:val="32"/>
          <w:szCs w:val="32"/>
          <w:lang w:eastAsia="zh-CN"/>
        </w:rPr>
        <w:t>的开支。</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 xml:space="preserve"> 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万元。授予中小企业合同金额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三</w:t>
      </w:r>
      <w:r>
        <w:rPr>
          <w:rFonts w:hint="eastAsia" w:ascii="黑体" w:hAnsi="黑体" w:eastAsia="黑体" w:cs="黑体"/>
          <w:b w:val="0"/>
          <w:bCs/>
          <w:sz w:val="32"/>
          <w:szCs w:val="32"/>
        </w:rPr>
        <w:t>、关于国有资产占用情况说明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辆，其他用车主要</w:t>
      </w:r>
      <w:r>
        <w:rPr>
          <w:rFonts w:hint="eastAsia" w:ascii="Times New Roman" w:hAnsi="Times New Roman" w:eastAsia="仿宋_GB2312"/>
          <w:sz w:val="32"/>
          <w:szCs w:val="32"/>
          <w:lang w:eastAsia="zh-CN"/>
        </w:rPr>
        <w:t>用于市内办公</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黑体" w:hAnsi="黑体" w:eastAsia="黑体" w:cs="黑体"/>
          <w:b w:val="0"/>
          <w:bCs/>
          <w:sz w:val="32"/>
          <w:szCs w:val="32"/>
        </w:rPr>
        <w:t>年度预算绩效情况的说明</w:t>
      </w:r>
    </w:p>
    <w:p>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pPr>
        <w:widowControl/>
        <w:shd w:val="clear" w:color="auto" w:fill="FFFFFF"/>
        <w:spacing w:after="75" w:line="600" w:lineRule="atLeast"/>
        <w:ind w:firstLine="640"/>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我</w:t>
      </w:r>
      <w:r>
        <w:rPr>
          <w:rFonts w:hint="eastAsia" w:ascii="仿宋_GB2312" w:hAnsi="微软雅黑" w:eastAsia="仿宋_GB2312" w:cs="宋体"/>
          <w:color w:val="000000"/>
          <w:kern w:val="0"/>
          <w:sz w:val="32"/>
          <w:szCs w:val="32"/>
          <w:lang w:eastAsia="zh-CN"/>
        </w:rPr>
        <w:t>中心</w:t>
      </w:r>
      <w:r>
        <w:rPr>
          <w:rFonts w:hint="eastAsia" w:ascii="仿宋_GB2312" w:hAnsi="微软雅黑" w:eastAsia="仿宋_GB2312" w:cs="宋体"/>
          <w:color w:val="000000"/>
          <w:kern w:val="0"/>
          <w:sz w:val="32"/>
          <w:szCs w:val="32"/>
        </w:rPr>
        <w:t>收入主要分为财政供养人员工资福利、公用经费及</w:t>
      </w:r>
      <w:r>
        <w:rPr>
          <w:rFonts w:hint="eastAsia" w:ascii="仿宋_GB2312" w:hAnsi="微软雅黑" w:eastAsia="仿宋_GB2312" w:cs="宋体"/>
          <w:color w:val="000000"/>
          <w:kern w:val="0"/>
          <w:sz w:val="32"/>
          <w:szCs w:val="32"/>
          <w:lang w:eastAsia="zh-CN"/>
        </w:rPr>
        <w:t>征收工作经费收入</w:t>
      </w:r>
      <w:r>
        <w:rPr>
          <w:rFonts w:hint="eastAsia" w:ascii="仿宋_GB2312" w:hAnsi="微软雅黑" w:eastAsia="仿宋_GB2312" w:cs="宋体"/>
          <w:color w:val="000000"/>
          <w:kern w:val="0"/>
          <w:sz w:val="32"/>
          <w:szCs w:val="32"/>
        </w:rPr>
        <w:t>。全年严格按照预算控制支出，在全年内圆满完成工作任务。一是部门预算控制较好</w:t>
      </w:r>
      <w:r>
        <w:rPr>
          <w:rFonts w:hint="eastAsia" w:ascii="仿宋_GB2312" w:hAnsi="微软雅黑" w:eastAsia="仿宋_GB2312" w:cs="宋体"/>
          <w:color w:val="000000"/>
          <w:kern w:val="0"/>
          <w:sz w:val="32"/>
          <w:szCs w:val="32"/>
          <w:lang w:eastAsia="zh-CN"/>
        </w:rPr>
        <w:t>，</w:t>
      </w:r>
      <w:r>
        <w:rPr>
          <w:rFonts w:hint="eastAsia" w:ascii="仿宋_GB2312" w:hAnsi="微软雅黑" w:eastAsia="仿宋_GB2312" w:cs="宋体"/>
          <w:color w:val="000000"/>
          <w:kern w:val="0"/>
          <w:sz w:val="32"/>
          <w:szCs w:val="32"/>
        </w:rPr>
        <w:t>“三公”经费实际执行控制良好。二是资产管理方面，建立了资产管理制度，定期进行了盘点和资产清理，总体执行较好。三是预算管理方面，制度执行总体较为有效，为完成年度工作任务提供了有效保障。</w:t>
      </w:r>
    </w:p>
    <w:p>
      <w:pPr>
        <w:spacing w:line="600" w:lineRule="exact"/>
        <w:ind w:firstLine="640" w:firstLineChars="200"/>
        <w:rPr>
          <w:rFonts w:hint="eastAsia" w:ascii="仿宋_GB2312" w:eastAsia="仿宋_GB2312"/>
          <w:sz w:val="32"/>
          <w:szCs w:val="32"/>
        </w:rPr>
      </w:pPr>
      <w:r>
        <w:rPr>
          <w:rFonts w:hint="default" w:ascii="仿宋_GB2312" w:eastAsia="仿宋_GB2312"/>
          <w:sz w:val="32"/>
          <w:szCs w:val="32"/>
          <w:lang w:eastAsia="zh-CN"/>
        </w:rPr>
        <w:t>2023</w:t>
      </w:r>
      <w:r>
        <w:rPr>
          <w:rFonts w:hint="eastAsia" w:ascii="仿宋_GB2312" w:eastAsia="仿宋_GB2312"/>
          <w:sz w:val="32"/>
          <w:szCs w:val="32"/>
          <w:lang w:val="en-US" w:eastAsia="zh-CN"/>
        </w:rPr>
        <w:t>年，我</w:t>
      </w:r>
      <w:r>
        <w:rPr>
          <w:rFonts w:hint="default" w:ascii="仿宋_GB2312" w:eastAsia="仿宋_GB2312"/>
          <w:sz w:val="32"/>
          <w:szCs w:val="32"/>
          <w:lang w:eastAsia="zh-CN"/>
        </w:rPr>
        <w:t>中心</w:t>
      </w:r>
      <w:r>
        <w:rPr>
          <w:rFonts w:hint="eastAsia" w:ascii="仿宋_GB2312" w:eastAsia="仿宋_GB2312"/>
          <w:sz w:val="32"/>
          <w:szCs w:val="32"/>
          <w:lang w:val="en-US" w:eastAsia="zh-CN"/>
        </w:rPr>
        <w:t>在市委市政府的</w:t>
      </w:r>
      <w:r>
        <w:rPr>
          <w:rFonts w:hint="default" w:ascii="仿宋_GB2312" w:eastAsia="仿宋_GB2312"/>
          <w:sz w:val="32"/>
          <w:szCs w:val="32"/>
          <w:lang w:eastAsia="zh-CN"/>
        </w:rPr>
        <w:t>正确</w:t>
      </w:r>
      <w:r>
        <w:rPr>
          <w:rFonts w:hint="eastAsia" w:ascii="仿宋_GB2312" w:eastAsia="仿宋_GB2312"/>
          <w:sz w:val="32"/>
          <w:szCs w:val="32"/>
          <w:lang w:val="en-US" w:eastAsia="zh-CN"/>
        </w:rPr>
        <w:t>领导下</w:t>
      </w:r>
      <w:r>
        <w:rPr>
          <w:rFonts w:hint="eastAsia" w:ascii="仿宋_GB2312" w:eastAsia="仿宋_GB2312"/>
          <w:b w:val="0"/>
          <w:bCs w:val="0"/>
          <w:sz w:val="32"/>
          <w:szCs w:val="32"/>
          <w:lang w:val="en-US" w:eastAsia="zh-CN"/>
        </w:rPr>
        <w:t>，高举习近平新时代中国特色社会主义伟大旗帜，</w:t>
      </w:r>
      <w:r>
        <w:rPr>
          <w:rFonts w:hint="eastAsia" w:ascii="仿宋_GB2312" w:eastAsia="仿宋_GB2312"/>
          <w:b w:val="0"/>
          <w:bCs w:val="0"/>
          <w:sz w:val="32"/>
          <w:szCs w:val="32"/>
        </w:rPr>
        <w:t>全面贯彻党的</w:t>
      </w:r>
      <w:r>
        <w:rPr>
          <w:rFonts w:hint="default" w:ascii="仿宋_GB2312" w:eastAsia="仿宋_GB2312"/>
          <w:b w:val="0"/>
          <w:bCs w:val="0"/>
          <w:sz w:val="32"/>
          <w:szCs w:val="32"/>
        </w:rPr>
        <w:t>二十大</w:t>
      </w:r>
      <w:r>
        <w:rPr>
          <w:rFonts w:hint="eastAsia" w:ascii="仿宋_GB2312" w:eastAsia="仿宋_GB2312"/>
          <w:b w:val="0"/>
          <w:bCs w:val="0"/>
          <w:sz w:val="32"/>
          <w:szCs w:val="32"/>
          <w:lang w:eastAsia="zh-CN"/>
        </w:rPr>
        <w:t>会</w:t>
      </w:r>
      <w:r>
        <w:rPr>
          <w:rFonts w:hint="default" w:ascii="仿宋_GB2312" w:eastAsia="仿宋_GB2312"/>
          <w:b w:val="0"/>
          <w:bCs w:val="0"/>
          <w:sz w:val="32"/>
          <w:szCs w:val="32"/>
          <w:lang w:eastAsia="zh-CN"/>
        </w:rPr>
        <w:t>议</w:t>
      </w:r>
      <w:r>
        <w:rPr>
          <w:rFonts w:hint="eastAsia" w:ascii="仿宋_GB2312" w:eastAsia="仿宋_GB2312"/>
          <w:b w:val="0"/>
          <w:bCs w:val="0"/>
          <w:sz w:val="32"/>
          <w:szCs w:val="32"/>
        </w:rPr>
        <w:t>精神和</w:t>
      </w:r>
      <w:r>
        <w:rPr>
          <w:rFonts w:hint="eastAsia" w:ascii="仿宋_GB2312" w:eastAsia="仿宋_GB2312"/>
          <w:b w:val="0"/>
          <w:bCs w:val="0"/>
          <w:sz w:val="32"/>
          <w:szCs w:val="32"/>
          <w:lang w:eastAsia="zh-CN"/>
        </w:rPr>
        <w:t>和习近平总书记对湖南工作的重要讲话指示精神，</w:t>
      </w:r>
      <w:r>
        <w:rPr>
          <w:rFonts w:hint="default" w:ascii="仿宋_GB2312" w:eastAsia="仿宋_GB2312"/>
          <w:b w:val="0"/>
          <w:bCs w:val="0"/>
          <w:sz w:val="32"/>
          <w:szCs w:val="32"/>
          <w:lang w:eastAsia="zh-CN"/>
        </w:rPr>
        <w:t>坚决拥护”两个确立”，自觉维护“两个核心”。</w:t>
      </w:r>
      <w:r>
        <w:rPr>
          <w:rFonts w:hint="eastAsia" w:ascii="仿宋_GB2312" w:eastAsia="仿宋_GB2312"/>
          <w:b w:val="0"/>
          <w:bCs w:val="0"/>
          <w:sz w:val="32"/>
          <w:szCs w:val="32"/>
          <w:lang w:eastAsia="zh-CN"/>
        </w:rPr>
        <w:t>认真贯彻落实</w:t>
      </w:r>
      <w:r>
        <w:rPr>
          <w:rFonts w:hint="eastAsia" w:ascii="仿宋_GB2312" w:eastAsia="仿宋_GB2312"/>
          <w:b w:val="0"/>
          <w:bCs w:val="0"/>
          <w:sz w:val="32"/>
          <w:szCs w:val="32"/>
        </w:rPr>
        <w:t>中央、省委和市委各项决策部署，紧紧围绕</w:t>
      </w:r>
      <w:r>
        <w:rPr>
          <w:rFonts w:hint="default" w:ascii="仿宋_GB2312" w:eastAsia="仿宋_GB2312"/>
          <w:b w:val="0"/>
          <w:bCs w:val="0"/>
          <w:sz w:val="32"/>
          <w:szCs w:val="32"/>
        </w:rPr>
        <w:t>“五新四城”发展战略，</w:t>
      </w:r>
      <w:r>
        <w:rPr>
          <w:rFonts w:hint="eastAsia" w:ascii="仿宋_GB2312" w:eastAsia="仿宋_GB2312"/>
          <w:b w:val="0"/>
          <w:bCs w:val="0"/>
          <w:sz w:val="32"/>
          <w:szCs w:val="32"/>
          <w:lang w:eastAsia="zh-CN"/>
        </w:rPr>
        <w:t>以全面</w:t>
      </w:r>
      <w:r>
        <w:rPr>
          <w:rFonts w:hint="default" w:ascii="仿宋_GB2312" w:eastAsia="仿宋_GB2312"/>
          <w:b w:val="0"/>
          <w:bCs w:val="0"/>
          <w:sz w:val="32"/>
          <w:szCs w:val="32"/>
          <w:lang w:eastAsia="zh-CN"/>
        </w:rPr>
        <w:t>深入</w:t>
      </w:r>
      <w:r>
        <w:rPr>
          <w:rFonts w:hint="eastAsia" w:ascii="仿宋_GB2312" w:eastAsia="仿宋_GB2312"/>
          <w:b w:val="0"/>
          <w:bCs w:val="0"/>
          <w:sz w:val="32"/>
          <w:szCs w:val="32"/>
          <w:lang w:eastAsia="zh-CN"/>
        </w:rPr>
        <w:t>推进党的建设、稳步推进</w:t>
      </w:r>
      <w:r>
        <w:rPr>
          <w:rFonts w:hint="eastAsia" w:ascii="仿宋_GB2312" w:eastAsia="仿宋_GB2312"/>
          <w:b w:val="0"/>
          <w:bCs w:val="0"/>
          <w:sz w:val="32"/>
          <w:szCs w:val="32"/>
        </w:rPr>
        <w:t>房屋征收、</w:t>
      </w:r>
      <w:r>
        <w:rPr>
          <w:rFonts w:hint="default" w:ascii="仿宋_GB2312" w:eastAsia="仿宋_GB2312"/>
          <w:b w:val="0"/>
          <w:bCs w:val="0"/>
          <w:sz w:val="32"/>
          <w:szCs w:val="32"/>
        </w:rPr>
        <w:t>抓好抓实乡村振新</w:t>
      </w:r>
      <w:r>
        <w:rPr>
          <w:rFonts w:hint="eastAsia" w:ascii="仿宋_GB2312" w:eastAsia="仿宋_GB2312"/>
          <w:b w:val="0"/>
          <w:bCs w:val="0"/>
          <w:sz w:val="32"/>
          <w:szCs w:val="32"/>
          <w:lang w:eastAsia="zh-CN"/>
        </w:rPr>
        <w:t>工作为重点，以奋力</w:t>
      </w:r>
      <w:r>
        <w:rPr>
          <w:rFonts w:hint="default" w:ascii="仿宋_GB2312" w:eastAsia="仿宋_GB2312"/>
          <w:b w:val="0"/>
          <w:bCs w:val="0"/>
          <w:sz w:val="32"/>
          <w:szCs w:val="32"/>
          <w:lang w:eastAsia="zh-CN"/>
        </w:rPr>
        <w:t>建设社会主义新</w:t>
      </w:r>
      <w:r>
        <w:rPr>
          <w:rFonts w:hint="eastAsia" w:ascii="仿宋_GB2312" w:eastAsia="仿宋_GB2312"/>
          <w:b w:val="0"/>
          <w:bCs w:val="0"/>
          <w:sz w:val="32"/>
          <w:szCs w:val="32"/>
          <w:lang w:eastAsia="zh-CN"/>
        </w:rPr>
        <w:t>怀化为目标，</w:t>
      </w:r>
      <w:r>
        <w:rPr>
          <w:rFonts w:hint="eastAsia" w:ascii="仿宋_GB2312" w:eastAsia="仿宋_GB2312"/>
          <w:sz w:val="32"/>
          <w:szCs w:val="32"/>
        </w:rPr>
        <w:t>全面完成市委、市政府交办的各项任务。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rPr>
      </w:pPr>
      <w:r>
        <w:rPr>
          <w:rFonts w:hint="eastAsia" w:ascii="华文楷体" w:hAnsi="华文楷体" w:eastAsia="华文楷体" w:cs="华文楷体"/>
          <w:sz w:val="32"/>
          <w:szCs w:val="32"/>
        </w:rPr>
        <w:t>①2023年新实施项目：</w:t>
      </w:r>
      <w:r>
        <w:rPr>
          <w:rFonts w:hint="default" w:ascii="仿宋_GB2312" w:hAnsi="仿宋_GB2312" w:eastAsia="仿宋_GB2312" w:cs="仿宋_GB2312"/>
          <w:sz w:val="32"/>
          <w:szCs w:val="32"/>
        </w:rPr>
        <w:t>共4个，包括刘塘西路、辰州路、鹤中一体化道路改造、棚改8号地块。计划征收房屋31337</w:t>
      </w:r>
      <w:r>
        <w:rPr>
          <w:rFonts w:hint="default" w:ascii="Arial" w:hAnsi="Arial" w:eastAsia="仿宋_GB2312" w:cs="Arial"/>
          <w:sz w:val="32"/>
          <w:szCs w:val="32"/>
        </w:rPr>
        <w:t>㎡</w:t>
      </w:r>
      <w:r>
        <w:rPr>
          <w:rFonts w:hint="default" w:ascii="仿宋_GB2312" w:hAnsi="仿宋_GB2312" w:eastAsia="仿宋_GB2312" w:cs="仿宋_GB2312"/>
          <w:sz w:val="32"/>
          <w:szCs w:val="32"/>
        </w:rPr>
        <w:t>，征收户数39户，完成房屋征收29261</w:t>
      </w:r>
      <w:r>
        <w:rPr>
          <w:rFonts w:hint="default" w:ascii="Arial" w:hAnsi="Arial" w:eastAsia="仿宋_GB2312" w:cs="Arial"/>
          <w:sz w:val="32"/>
          <w:szCs w:val="32"/>
        </w:rPr>
        <w:t>㎡，户数37户完成率93%，拆除23111㎡完成率80%</w:t>
      </w:r>
      <w:r>
        <w:rPr>
          <w:rFonts w:hint="default"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华文楷体" w:hAnsi="华文楷体" w:eastAsia="华文楷体" w:cs="华文楷体"/>
          <w:sz w:val="32"/>
          <w:szCs w:val="32"/>
        </w:rPr>
        <w:t>②今年完成的续征项目</w:t>
      </w:r>
      <w:r>
        <w:rPr>
          <w:rFonts w:hint="eastAsia" w:ascii="仿宋_GB2312" w:hAnsi="仿宋_GB2312" w:eastAsia="仿宋_GB2312" w:cs="仿宋_GB2312"/>
          <w:sz w:val="32"/>
          <w:szCs w:val="32"/>
        </w:rPr>
        <w:t>：共8个包括：棚户区改造项目二期工程市中医院家属区片区项目、怀化市农业银行天星分行及三医院家属区项目、棚户区改造项目二期工程市第一人民医院家属区片区项目、市汽修厂片区棚户区改造项目、怀化新商城北侧一栋四层住宅D级危房改造项目、老城区棚改6号地块（化工厂区域）、老城区棚改7号地块（沿河路东侧）、</w:t>
      </w:r>
      <w:r>
        <w:rPr>
          <w:rFonts w:hint="eastAsia" w:ascii="仿宋_GB2312" w:hAnsi="仿宋_GB2312" w:eastAsia="仿宋_GB2312" w:cs="仿宋_GB2312"/>
          <w:sz w:val="32"/>
          <w:szCs w:val="32"/>
          <w:lang w:eastAsia="zh-CN"/>
        </w:rPr>
        <w:t>龙田湾风情街项目（锦溪桥南3号地块）。总计完成房屋征收</w:t>
      </w:r>
      <w:r>
        <w:rPr>
          <w:rFonts w:hint="default" w:ascii="仿宋_GB2312" w:hAnsi="仿宋_GB2312" w:eastAsia="仿宋_GB2312" w:cs="仿宋_GB2312"/>
          <w:sz w:val="32"/>
          <w:szCs w:val="32"/>
          <w:lang w:eastAsia="zh-CN"/>
        </w:rPr>
        <w:t>153767</w:t>
      </w:r>
      <w:r>
        <w:rPr>
          <w:rFonts w:hint="eastAsia" w:ascii="仿宋_GB2312" w:hAnsi="仿宋_GB2312" w:eastAsia="仿宋_GB2312" w:cs="仿宋_GB2312"/>
          <w:sz w:val="32"/>
          <w:szCs w:val="32"/>
        </w:rPr>
        <w:t>㎡，户数</w:t>
      </w:r>
      <w:r>
        <w:rPr>
          <w:rFonts w:hint="default" w:ascii="仿宋_GB2312" w:hAnsi="仿宋_GB2312" w:eastAsia="仿宋_GB2312" w:cs="仿宋_GB2312"/>
          <w:sz w:val="32"/>
          <w:szCs w:val="32"/>
        </w:rPr>
        <w:t>1415</w:t>
      </w:r>
      <w:r>
        <w:rPr>
          <w:rFonts w:hint="eastAsia" w:ascii="仿宋_GB2312" w:hAnsi="仿宋_GB2312" w:eastAsia="仿宋_GB2312" w:cs="仿宋_GB2312"/>
          <w:sz w:val="32"/>
          <w:szCs w:val="32"/>
        </w:rPr>
        <w:t>户</w:t>
      </w:r>
      <w:r>
        <w:rPr>
          <w:rFonts w:hint="default" w:ascii="仿宋_GB2312" w:hAnsi="仿宋_GB2312" w:eastAsia="仿宋_GB2312" w:cs="仿宋_GB2312"/>
          <w:sz w:val="32"/>
          <w:szCs w:val="32"/>
        </w:rPr>
        <w:t>，完成率99.9%</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仿宋" w:hAnsi="仿宋" w:eastAsia="仿宋" w:cs="Times New Roman"/>
          <w:b w:val="0"/>
          <w:bCs w:val="0"/>
          <w:sz w:val="32"/>
          <w:szCs w:val="32"/>
        </w:rPr>
      </w:pPr>
      <w:r>
        <w:rPr>
          <w:rFonts w:hint="eastAsia" w:ascii="华文楷体" w:hAnsi="华文楷体" w:eastAsia="华文楷体" w:cs="华文楷体"/>
          <w:sz w:val="32"/>
          <w:szCs w:val="32"/>
        </w:rPr>
        <w:t>③正在实施的续征项目</w:t>
      </w:r>
      <w:r>
        <w:rPr>
          <w:rFonts w:hint="default" w:ascii="仿宋_GB2312" w:hAnsi="仿宋_GB2312" w:eastAsia="仿宋_GB2312" w:cs="仿宋_GB2312"/>
          <w:sz w:val="32"/>
          <w:szCs w:val="32"/>
        </w:rPr>
        <w:t>：共8个包括：</w:t>
      </w:r>
      <w:r>
        <w:rPr>
          <w:rFonts w:hint="default" w:ascii="仿宋" w:hAnsi="仿宋" w:eastAsia="仿宋" w:cs="Times New Roman"/>
          <w:b w:val="0"/>
          <w:bCs w:val="0"/>
          <w:sz w:val="32"/>
          <w:szCs w:val="32"/>
          <w:lang w:eastAsia="zh-CN"/>
        </w:rPr>
        <w:t>太平桥地块商业综合体项目（景宏书社）、中铁五局六分公司棚户区改造项目、</w:t>
      </w:r>
      <w:r>
        <w:rPr>
          <w:rFonts w:hint="eastAsia" w:ascii="仿宋" w:hAnsi="仿宋" w:eastAsia="仿宋" w:cs="Times New Roman"/>
          <w:b w:val="0"/>
          <w:bCs w:val="0"/>
          <w:sz w:val="32"/>
          <w:szCs w:val="32"/>
          <w:lang w:eastAsia="zh-CN"/>
        </w:rPr>
        <w:t>湖南建工三公司怀化基地棚户区改造项目</w:t>
      </w:r>
      <w:r>
        <w:rPr>
          <w:rFonts w:hint="default" w:ascii="仿宋" w:hAnsi="仿宋" w:eastAsia="仿宋" w:cs="Times New Roman"/>
          <w:b w:val="0"/>
          <w:bCs w:val="0"/>
          <w:sz w:val="32"/>
          <w:szCs w:val="32"/>
          <w:lang w:eastAsia="zh-CN"/>
        </w:rPr>
        <w:t>、</w:t>
      </w:r>
      <w:r>
        <w:rPr>
          <w:rFonts w:hint="eastAsia" w:ascii="仿宋" w:hAnsi="仿宋" w:eastAsia="仿宋" w:cs="Times New Roman"/>
          <w:b w:val="0"/>
          <w:bCs w:val="0"/>
          <w:sz w:val="32"/>
          <w:szCs w:val="32"/>
          <w:lang w:eastAsia="zh-CN"/>
        </w:rPr>
        <w:t>人民西路二期项目</w:t>
      </w:r>
      <w:r>
        <w:rPr>
          <w:rFonts w:hint="default" w:ascii="仿宋" w:hAnsi="仿宋" w:eastAsia="仿宋" w:cs="Times New Roman"/>
          <w:b w:val="0"/>
          <w:bCs w:val="0"/>
          <w:sz w:val="32"/>
          <w:szCs w:val="32"/>
          <w:lang w:eastAsia="zh-CN"/>
        </w:rPr>
        <w:t>、</w:t>
      </w:r>
      <w:r>
        <w:rPr>
          <w:rFonts w:hint="eastAsia" w:ascii="仿宋" w:hAnsi="仿宋" w:eastAsia="仿宋" w:cs="Times New Roman"/>
          <w:b w:val="0"/>
          <w:bCs w:val="0"/>
          <w:sz w:val="32"/>
          <w:szCs w:val="32"/>
          <w:lang w:val="en-US" w:eastAsia="zh-CN"/>
        </w:rPr>
        <w:t>怀芷快速干道项目</w:t>
      </w:r>
      <w:r>
        <w:rPr>
          <w:rFonts w:hint="default" w:ascii="仿宋" w:hAnsi="仿宋" w:eastAsia="仿宋" w:cs="Times New Roman"/>
          <w:b w:val="0"/>
          <w:bCs w:val="0"/>
          <w:sz w:val="32"/>
          <w:szCs w:val="32"/>
          <w:lang w:eastAsia="zh-CN"/>
        </w:rPr>
        <w:t>、</w:t>
      </w:r>
      <w:r>
        <w:rPr>
          <w:rFonts w:hint="eastAsia" w:ascii="仿宋" w:hAnsi="仿宋" w:eastAsia="仿宋" w:cs="Times New Roman"/>
          <w:b w:val="0"/>
          <w:bCs w:val="0"/>
          <w:sz w:val="32"/>
          <w:szCs w:val="32"/>
          <w:lang w:val="en-US" w:eastAsia="zh-CN"/>
        </w:rPr>
        <w:t>正清制药厂家属区</w:t>
      </w:r>
      <w:r>
        <w:rPr>
          <w:rFonts w:hint="default" w:ascii="仿宋" w:hAnsi="仿宋" w:eastAsia="仿宋" w:cs="Times New Roman"/>
          <w:b w:val="0"/>
          <w:bCs w:val="0"/>
          <w:sz w:val="32"/>
          <w:szCs w:val="32"/>
          <w:lang w:eastAsia="zh-CN"/>
        </w:rPr>
        <w:t>项目、</w:t>
      </w:r>
      <w:r>
        <w:rPr>
          <w:rFonts w:hint="eastAsia" w:ascii="仿宋" w:hAnsi="仿宋" w:eastAsia="仿宋" w:cs="Times New Roman"/>
          <w:b w:val="0"/>
          <w:bCs w:val="0"/>
          <w:sz w:val="32"/>
          <w:szCs w:val="32"/>
          <w:lang w:val="en-US" w:eastAsia="zh-CN"/>
        </w:rPr>
        <w:t>怀化市第三中学西大门建设项目</w:t>
      </w:r>
      <w:r>
        <w:rPr>
          <w:rFonts w:hint="default" w:ascii="仿宋" w:hAnsi="仿宋" w:eastAsia="仿宋" w:cs="Times New Roman"/>
          <w:b w:val="0"/>
          <w:bCs w:val="0"/>
          <w:sz w:val="32"/>
          <w:szCs w:val="32"/>
          <w:lang w:eastAsia="zh-CN"/>
        </w:rPr>
        <w:t>、</w:t>
      </w:r>
      <w:r>
        <w:rPr>
          <w:rFonts w:hint="default" w:ascii="仿宋" w:hAnsi="仿宋" w:eastAsia="仿宋" w:cs="Times New Roman"/>
          <w:b w:val="0"/>
          <w:bCs w:val="0"/>
          <w:sz w:val="32"/>
          <w:szCs w:val="32"/>
        </w:rPr>
        <w:t>棚改二期</w:t>
      </w:r>
      <w:r>
        <w:rPr>
          <w:rFonts w:hint="eastAsia" w:ascii="仿宋" w:hAnsi="仿宋" w:eastAsia="仿宋" w:cs="Times New Roman"/>
          <w:b w:val="0"/>
          <w:bCs w:val="0"/>
          <w:sz w:val="32"/>
          <w:szCs w:val="32"/>
        </w:rPr>
        <w:t>区武装部</w:t>
      </w:r>
      <w:r>
        <w:rPr>
          <w:rFonts w:hint="default" w:ascii="仿宋" w:hAnsi="仿宋" w:eastAsia="仿宋" w:cs="Times New Roman"/>
          <w:b w:val="0"/>
          <w:bCs w:val="0"/>
          <w:sz w:val="32"/>
          <w:szCs w:val="32"/>
        </w:rPr>
        <w:t>片区。需征收房屋15717</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、1770户。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仿宋_GB2312" w:eastAsia="仿宋_GB2312" w:cs="仿宋_GB2312"/>
          <w:sz w:val="32"/>
          <w:szCs w:val="32"/>
        </w:rPr>
      </w:pPr>
      <w:r>
        <w:rPr>
          <w:rFonts w:hint="eastAsia" w:ascii="华文楷体" w:hAnsi="华文楷体" w:eastAsia="华文楷体" w:cs="华文楷体"/>
          <w:sz w:val="32"/>
          <w:szCs w:val="32"/>
        </w:rPr>
        <w:t>④暂停实施的续征项目</w:t>
      </w:r>
      <w:r>
        <w:rPr>
          <w:rFonts w:hint="default" w:ascii="仿宋_GB2312" w:hAnsi="仿宋_GB2312" w:eastAsia="仿宋_GB2312" w:cs="仿宋_GB2312"/>
          <w:sz w:val="32"/>
          <w:szCs w:val="32"/>
        </w:rPr>
        <w:t>：共8个包括：</w:t>
      </w:r>
      <w:r>
        <w:rPr>
          <w:rFonts w:hint="eastAsia" w:ascii="仿宋" w:hAnsi="仿宋" w:eastAsia="仿宋" w:cs="Times New Roman"/>
          <w:b w:val="0"/>
          <w:bCs w:val="0"/>
          <w:sz w:val="32"/>
          <w:szCs w:val="32"/>
        </w:rPr>
        <w:t>老城区棚改4</w:t>
      </w:r>
      <w:r>
        <w:rPr>
          <w:rFonts w:hint="default" w:ascii="仿宋" w:hAnsi="仿宋" w:eastAsia="仿宋" w:cs="Times New Roman"/>
          <w:b w:val="0"/>
          <w:bCs w:val="0"/>
          <w:sz w:val="32"/>
          <w:szCs w:val="32"/>
        </w:rPr>
        <w:t>号地块（原507厂家属区）、</w:t>
      </w:r>
      <w:r>
        <w:rPr>
          <w:rFonts w:hint="eastAsia" w:ascii="仿宋" w:hAnsi="仿宋" w:eastAsia="仿宋" w:cs="Times New Roman"/>
          <w:b w:val="0"/>
          <w:bCs w:val="0"/>
          <w:sz w:val="32"/>
          <w:szCs w:val="32"/>
        </w:rPr>
        <w:t>岳麓青城</w:t>
      </w:r>
      <w:r>
        <w:rPr>
          <w:rFonts w:hint="default" w:ascii="仿宋" w:hAnsi="仿宋" w:eastAsia="仿宋" w:cs="Times New Roman"/>
          <w:b w:val="0"/>
          <w:bCs w:val="0"/>
          <w:sz w:val="32"/>
          <w:szCs w:val="32"/>
        </w:rPr>
        <w:t>项目、</w:t>
      </w:r>
      <w:r>
        <w:rPr>
          <w:rFonts w:hint="eastAsia" w:ascii="仿宋" w:hAnsi="仿宋" w:eastAsia="仿宋" w:cs="Times New Roman"/>
          <w:b w:val="0"/>
          <w:bCs w:val="0"/>
          <w:sz w:val="32"/>
          <w:szCs w:val="32"/>
          <w:lang w:eastAsia="zh-CN"/>
        </w:rPr>
        <w:t>市一医院东大门及应急大楼建设项目</w:t>
      </w:r>
      <w:r>
        <w:rPr>
          <w:rFonts w:hint="default" w:ascii="仿宋" w:hAnsi="仿宋" w:eastAsia="仿宋" w:cs="Times New Roman"/>
          <w:b w:val="0"/>
          <w:bCs w:val="0"/>
          <w:sz w:val="32"/>
          <w:szCs w:val="32"/>
          <w:lang w:eastAsia="zh-CN"/>
        </w:rPr>
        <w:t>、</w:t>
      </w:r>
      <w:r>
        <w:rPr>
          <w:rFonts w:hint="eastAsia" w:ascii="仿宋" w:hAnsi="仿宋" w:eastAsia="仿宋" w:cs="Times New Roman"/>
          <w:b w:val="0"/>
          <w:bCs w:val="0"/>
          <w:sz w:val="32"/>
          <w:szCs w:val="32"/>
          <w:lang w:val="en-US" w:eastAsia="zh-CN"/>
        </w:rPr>
        <w:t>怀化国家骨干冷链物流基地规划整合用地项目</w:t>
      </w:r>
      <w:r>
        <w:rPr>
          <w:rFonts w:hint="default" w:ascii="仿宋" w:hAnsi="仿宋" w:eastAsia="仿宋" w:cs="Times New Roman"/>
          <w:b w:val="0"/>
          <w:bCs w:val="0"/>
          <w:sz w:val="32"/>
          <w:szCs w:val="32"/>
          <w:lang w:eastAsia="zh-CN"/>
        </w:rPr>
        <w:t>、</w:t>
      </w:r>
      <w:r>
        <w:rPr>
          <w:rFonts w:hint="eastAsia" w:ascii="仿宋" w:hAnsi="仿宋" w:eastAsia="仿宋" w:cs="Times New Roman"/>
          <w:b w:val="0"/>
          <w:bCs w:val="0"/>
          <w:sz w:val="32"/>
          <w:szCs w:val="32"/>
          <w:lang w:eastAsia="zh-CN"/>
        </w:rPr>
        <w:t>冷链物流（怀化织染厂）项目</w:t>
      </w:r>
      <w:r>
        <w:rPr>
          <w:rFonts w:hint="default" w:ascii="仿宋" w:hAnsi="仿宋" w:eastAsia="仿宋" w:cs="Times New Roman"/>
          <w:b w:val="0"/>
          <w:bCs w:val="0"/>
          <w:sz w:val="32"/>
          <w:szCs w:val="32"/>
          <w:lang w:eastAsia="zh-CN"/>
        </w:rPr>
        <w:t>、</w:t>
      </w:r>
      <w:r>
        <w:rPr>
          <w:rFonts w:hint="default" w:ascii="仿宋" w:hAnsi="仿宋" w:eastAsia="仿宋" w:cs="Times New Roman"/>
          <w:b w:val="0"/>
          <w:bCs w:val="0"/>
          <w:sz w:val="32"/>
          <w:szCs w:val="32"/>
        </w:rPr>
        <w:t>棚改二期</w:t>
      </w:r>
      <w:r>
        <w:rPr>
          <w:rFonts w:hint="eastAsia" w:ascii="仿宋" w:hAnsi="仿宋" w:eastAsia="仿宋" w:cs="Times New Roman"/>
          <w:b w:val="0"/>
          <w:bCs w:val="0"/>
          <w:sz w:val="32"/>
          <w:szCs w:val="32"/>
        </w:rPr>
        <w:t>区粮食局</w:t>
      </w:r>
      <w:r>
        <w:rPr>
          <w:rFonts w:hint="default" w:ascii="仿宋" w:hAnsi="仿宋" w:eastAsia="仿宋" w:cs="Times New Roman"/>
          <w:b w:val="0"/>
          <w:bCs w:val="0"/>
          <w:sz w:val="32"/>
          <w:szCs w:val="32"/>
        </w:rPr>
        <w:t>片区项目、棚改二期区三角坪电影院片区项目棚改二期</w:t>
      </w:r>
      <w:r>
        <w:rPr>
          <w:rFonts w:hint="eastAsia" w:ascii="仿宋" w:hAnsi="仿宋" w:eastAsia="仿宋" w:cs="Times New Roman"/>
          <w:b w:val="0"/>
          <w:bCs w:val="0"/>
          <w:sz w:val="32"/>
          <w:szCs w:val="32"/>
          <w:lang w:eastAsia="zh-CN"/>
        </w:rPr>
        <w:t>威虎山</w:t>
      </w:r>
      <w:r>
        <w:rPr>
          <w:rFonts w:hint="default" w:ascii="仿宋" w:hAnsi="仿宋" w:eastAsia="仿宋" w:cs="Times New Roman"/>
          <w:b w:val="0"/>
          <w:bCs w:val="0"/>
          <w:sz w:val="32"/>
          <w:szCs w:val="32"/>
          <w:lang w:eastAsia="zh-CN"/>
        </w:rPr>
        <w:t>片区项目。原计划征收房屋514760</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、已完成130118</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。原计划征收户数2922户，已完成1359户。</w:t>
      </w:r>
    </w:p>
    <w:p>
      <w:pPr>
        <w:pStyle w:val="9"/>
        <w:keepNext w:val="0"/>
        <w:keepLines w:val="0"/>
        <w:pageBreakBefore w:val="0"/>
        <w:widowControl w:val="0"/>
        <w:numPr>
          <w:ilvl w:val="0"/>
          <w:numId w:val="3"/>
        </w:numPr>
        <w:kinsoku/>
        <w:wordWrap/>
        <w:overflowPunct/>
        <w:topLinePunct w:val="0"/>
        <w:bidi w:val="0"/>
        <w:snapToGrid/>
        <w:spacing w:line="600" w:lineRule="exact"/>
        <w:ind w:left="0" w:leftChars="0"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rPr>
        <w:t>存在的问题及原因分析</w:t>
      </w:r>
    </w:p>
    <w:p>
      <w:pPr>
        <w:widowControl/>
        <w:shd w:val="clear" w:color="auto" w:fill="FFFFFF"/>
        <w:spacing w:after="75" w:line="600" w:lineRule="atLeast"/>
        <w:ind w:firstLine="640"/>
        <w:rPr>
          <w:rFonts w:hint="eastAsia" w:ascii="楷体" w:hAnsi="楷体" w:eastAsia="仿宋_GB2312" w:cs="楷体"/>
          <w:b/>
          <w:bCs/>
          <w:sz w:val="32"/>
          <w:szCs w:val="32"/>
          <w:lang w:eastAsia="zh-CN"/>
        </w:rPr>
      </w:pP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lang w:eastAsia="zh-CN"/>
        </w:rPr>
        <w:t>）</w:t>
      </w:r>
      <w:r>
        <w:rPr>
          <w:rFonts w:hint="eastAsia" w:ascii="仿宋_GB2312" w:hAnsi="微软雅黑" w:eastAsia="仿宋_GB2312" w:cs="宋体"/>
          <w:color w:val="000000"/>
          <w:kern w:val="0"/>
          <w:sz w:val="32"/>
          <w:szCs w:val="32"/>
        </w:rPr>
        <w:t>全年预算工作有待完善及精准</w:t>
      </w:r>
      <w:r>
        <w:rPr>
          <w:rFonts w:hint="eastAsia" w:ascii="仿宋_GB2312" w:hAnsi="微软雅黑" w:eastAsia="仿宋_GB2312" w:cs="宋体"/>
          <w:color w:val="000000"/>
          <w:kern w:val="0"/>
          <w:sz w:val="32"/>
          <w:szCs w:val="32"/>
          <w:lang w:eastAsia="zh-CN"/>
        </w:rPr>
        <w:t>，</w:t>
      </w:r>
      <w:r>
        <w:rPr>
          <w:rFonts w:hint="eastAsia" w:ascii="仿宋_GB2312" w:hAnsi="微软雅黑" w:eastAsia="仿宋_GB2312" w:cs="宋体"/>
          <w:color w:val="000000"/>
          <w:kern w:val="0"/>
          <w:sz w:val="32"/>
          <w:szCs w:val="32"/>
        </w:rPr>
        <w:t>需进一步加强预算管理，在预算内开展全年工作；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lang w:eastAsia="zh-CN"/>
        </w:rPr>
        <w:t>）</w:t>
      </w:r>
      <w:r>
        <w:rPr>
          <w:rFonts w:hint="eastAsia" w:ascii="仿宋_GB2312" w:eastAsia="仿宋_GB2312"/>
          <w:sz w:val="32"/>
          <w:szCs w:val="32"/>
        </w:rPr>
        <w:t>是征收补偿资金难以及时</w:t>
      </w:r>
      <w:r>
        <w:rPr>
          <w:rFonts w:hint="default" w:ascii="仿宋_GB2312" w:eastAsia="仿宋_GB2312"/>
          <w:sz w:val="32"/>
          <w:szCs w:val="32"/>
        </w:rPr>
        <w:t>足额</w:t>
      </w:r>
      <w:r>
        <w:rPr>
          <w:rFonts w:hint="eastAsia" w:ascii="仿宋_GB2312" w:eastAsia="仿宋_GB2312"/>
          <w:sz w:val="32"/>
          <w:szCs w:val="32"/>
        </w:rPr>
        <w:t>到位，导致征收补偿资金无法按协议约定时间到位，被征收人无法按时领取征收补偿资金，减弱了征收工作的公信力，影响了项目征收的后续推进。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lang w:eastAsia="zh-CN"/>
        </w:rPr>
        <w:t>）</w:t>
      </w:r>
      <w:r>
        <w:rPr>
          <w:rFonts w:hint="eastAsia" w:ascii="仿宋_GB2312" w:eastAsia="仿宋_GB2312"/>
          <w:sz w:val="32"/>
          <w:szCs w:val="32"/>
          <w:lang w:eastAsia="zh-CN"/>
        </w:rPr>
        <w:t>是</w:t>
      </w:r>
      <w:r>
        <w:rPr>
          <w:rFonts w:hint="eastAsia" w:ascii="仿宋_GB2312" w:eastAsia="仿宋_GB2312"/>
          <w:sz w:val="32"/>
          <w:szCs w:val="32"/>
        </w:rPr>
        <w:t>项目绩效管理方式不明确，一线工作人员积极性不强，工作效率不高。</w:t>
      </w:r>
      <w:r>
        <w:rPr>
          <w:rFonts w:hint="eastAsia" w:ascii="仿宋_GB2312" w:eastAsia="仿宋_GB2312"/>
          <w:sz w:val="32"/>
          <w:szCs w:val="32"/>
          <w:lang w:eastAsia="zh-CN"/>
        </w:rPr>
        <w:t>需要探讨建立积极有效的针对</w:t>
      </w:r>
      <w:r>
        <w:rPr>
          <w:rFonts w:hint="eastAsia" w:ascii="仿宋_GB2312" w:eastAsia="仿宋_GB2312"/>
          <w:sz w:val="32"/>
          <w:szCs w:val="32"/>
        </w:rPr>
        <w:t>征收项目实施主体和涉征责任单位的绩效管理方案。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lang w:eastAsia="zh-CN"/>
        </w:rPr>
        <w:t>）</w:t>
      </w:r>
      <w:r>
        <w:rPr>
          <w:rFonts w:hint="eastAsia" w:ascii="仿宋_GB2312" w:eastAsia="仿宋_GB2312"/>
          <w:sz w:val="32"/>
          <w:szCs w:val="32"/>
        </w:rPr>
        <w:t>是征收工作纳入年度绩效评估力度不够，一些涉征责任单位不重视，缺乏有力的组织保障，没有充分发挥基层作用形成合力，影响征拆腾地的进度。</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仿宋_GB2312" w:eastAsia="仿宋_GB2312"/>
          <w:sz w:val="32"/>
          <w:szCs w:val="32"/>
        </w:rPr>
      </w:pP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lang w:eastAsia="zh-CN"/>
        </w:rPr>
        <w:t>）</w:t>
      </w:r>
      <w:r>
        <w:rPr>
          <w:rFonts w:hint="default" w:ascii="仿宋_GB2312" w:eastAsia="仿宋_GB2312"/>
          <w:sz w:val="32"/>
          <w:szCs w:val="32"/>
        </w:rPr>
        <w:t>是工作经费严重不足，仅靠人头经费12000元每人，无法维持正常运转。</w:t>
      </w:r>
    </w:p>
    <w:p>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lang w:eastAsia="zh-CN"/>
        </w:rPr>
        <w:t>）</w:t>
      </w:r>
      <w:r>
        <w:rPr>
          <w:rFonts w:hint="default" w:ascii="仿宋_GB2312" w:eastAsia="仿宋_GB2312"/>
          <w:sz w:val="32"/>
          <w:szCs w:val="32"/>
        </w:rPr>
        <w:t>是同工不同酬，部分人员有车补，部分没有车补。待遇不平衡，影响了部分人员的工作积极性。</w:t>
      </w: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both"/>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widowControl/>
        <w:shd w:val="clear" w:color="auto" w:fill="FFFFFF"/>
        <w:spacing w:line="396" w:lineRule="atLeast"/>
        <w:ind w:firstLine="640" w:firstLineChars="200"/>
        <w:jc w:val="left"/>
        <w:rPr>
          <w:rFonts w:hint="eastAsia" w:ascii="宋体" w:hAnsi="宋体" w:eastAsia="宋体" w:cs="宋体"/>
          <w:color w:val="000000"/>
          <w:kern w:val="0"/>
          <w:sz w:val="20"/>
          <w:szCs w:val="20"/>
        </w:rPr>
      </w:pPr>
      <w:r>
        <w:rPr>
          <w:rFonts w:hint="eastAsia" w:ascii="宋体" w:hAnsi="宋体" w:eastAsia="宋体" w:cs="宋体"/>
          <w:color w:val="333333"/>
          <w:kern w:val="0"/>
          <w:sz w:val="32"/>
          <w:szCs w:val="32"/>
        </w:rPr>
        <w:t>1、基本支出：是指反映行政事业单位为保障其机构正常运转、完成日常工作任务所需的最基本的支出，具体包括工资福利支出、一般商品和服务支出、对个人和家庭的补助。</w:t>
      </w:r>
    </w:p>
    <w:p>
      <w:pPr>
        <w:widowControl/>
        <w:jc w:val="left"/>
        <w:rPr>
          <w:rFonts w:hint="eastAsia" w:ascii="宋体" w:hAnsi="宋体" w:eastAsia="宋体" w:cs="宋体"/>
          <w:kern w:val="0"/>
          <w:sz w:val="24"/>
        </w:rPr>
      </w:pPr>
      <w:r>
        <w:rPr>
          <w:rFonts w:hint="eastAsia" w:ascii="宋体" w:hAnsi="宋体" w:eastAsia="宋体" w:cs="宋体"/>
          <w:color w:val="333333"/>
          <w:kern w:val="0"/>
          <w:sz w:val="32"/>
          <w:szCs w:val="32"/>
          <w:shd w:val="clear" w:color="auto" w:fill="FFFFFF"/>
        </w:rPr>
        <w:t>    2、因公出国（境）支出：是指单位工作人员公务出国（境）的住宿费、旅费、伙食补助费、杂费、培训费等支出。</w:t>
      </w:r>
      <w:r>
        <w:rPr>
          <w:rFonts w:hint="eastAsia" w:ascii="宋体" w:hAnsi="宋体" w:eastAsia="宋体" w:cs="宋体"/>
          <w:color w:val="000000"/>
          <w:kern w:val="0"/>
          <w:sz w:val="20"/>
          <w:szCs w:val="20"/>
          <w:shd w:val="clear" w:color="auto" w:fill="FFFFFF"/>
        </w:rPr>
        <w:t> </w:t>
      </w:r>
      <w:r>
        <w:rPr>
          <w:rFonts w:hint="eastAsia" w:ascii="宋体" w:hAnsi="宋体" w:eastAsia="宋体" w:cs="宋体"/>
          <w:color w:val="000000"/>
          <w:kern w:val="0"/>
          <w:sz w:val="24"/>
          <w:shd w:val="clear" w:color="auto" w:fill="FFFFFF"/>
        </w:rPr>
        <w:t> </w:t>
      </w:r>
    </w:p>
    <w:p>
      <w:pPr>
        <w:widowControl/>
        <w:shd w:val="clear" w:color="auto" w:fill="FFFFFF"/>
        <w:spacing w:line="480" w:lineRule="atLeast"/>
        <w:jc w:val="left"/>
        <w:rPr>
          <w:rFonts w:hint="eastAsia" w:ascii="宋体" w:hAnsi="宋体" w:eastAsia="宋体" w:cs="宋体"/>
          <w:color w:val="000000"/>
          <w:kern w:val="0"/>
          <w:sz w:val="20"/>
          <w:szCs w:val="20"/>
        </w:rPr>
      </w:pPr>
      <w:r>
        <w:rPr>
          <w:rFonts w:hint="eastAsia" w:ascii="宋体" w:hAnsi="宋体" w:eastAsia="宋体" w:cs="宋体"/>
          <w:color w:val="333333"/>
          <w:kern w:val="0"/>
          <w:sz w:val="32"/>
          <w:szCs w:val="32"/>
        </w:rPr>
        <w:t>    3、公务用车购置支出：是指公务用车车辆购置支出（含车辆购置税）。</w:t>
      </w:r>
    </w:p>
    <w:p>
      <w:pPr>
        <w:widowControl/>
        <w:shd w:val="clear" w:color="auto" w:fill="FFFFFF"/>
        <w:spacing w:line="480" w:lineRule="atLeast"/>
        <w:jc w:val="left"/>
        <w:rPr>
          <w:rFonts w:hint="eastAsia" w:ascii="宋体" w:hAnsi="宋体" w:eastAsia="宋体" w:cs="宋体"/>
          <w:color w:val="000000"/>
          <w:kern w:val="0"/>
          <w:sz w:val="20"/>
          <w:szCs w:val="20"/>
        </w:rPr>
      </w:pPr>
      <w:r>
        <w:rPr>
          <w:rFonts w:hint="eastAsia" w:ascii="宋体" w:hAnsi="宋体" w:eastAsia="宋体" w:cs="宋体"/>
          <w:color w:val="333333"/>
          <w:kern w:val="0"/>
          <w:sz w:val="32"/>
          <w:szCs w:val="32"/>
        </w:rPr>
        <w:t>    4、公务用车运行维护费支出：是指公务用车租用费、燃料费、维修费、过桥过路费、保险费、安全奖励费等支出。</w:t>
      </w:r>
    </w:p>
    <w:p>
      <w:pPr>
        <w:widowControl/>
        <w:shd w:val="clear" w:color="auto" w:fill="FFFFFF"/>
        <w:spacing w:line="480" w:lineRule="atLeast"/>
        <w:ind w:firstLine="640"/>
        <w:jc w:val="left"/>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5、公务接待费支出：是指单位按规定开支的各类公务接待（含外宾接待）费用。</w:t>
      </w:r>
    </w:p>
    <w:p>
      <w:pPr>
        <w:widowControl/>
        <w:shd w:val="clear" w:color="auto" w:fill="FFFFFF"/>
        <w:spacing w:line="480" w:lineRule="atLeast"/>
        <w:ind w:firstLine="640"/>
        <w:jc w:val="left"/>
        <w:rPr>
          <w:rFonts w:hint="eastAsia" w:ascii="宋体" w:hAnsi="宋体" w:eastAsia="宋体" w:cs="宋体"/>
          <w:color w:val="333333"/>
          <w:kern w:val="0"/>
          <w:sz w:val="32"/>
          <w:szCs w:val="32"/>
          <w:lang w:val="en-US" w:eastAsia="zh-CN"/>
        </w:rPr>
      </w:pPr>
      <w:r>
        <w:rPr>
          <w:rFonts w:hint="eastAsia" w:ascii="宋体" w:hAnsi="宋体" w:eastAsia="宋体" w:cs="宋体"/>
          <w:color w:val="333333"/>
          <w:kern w:val="0"/>
          <w:sz w:val="32"/>
          <w:szCs w:val="32"/>
          <w:lang w:val="en-US" w:eastAsia="zh-CN"/>
        </w:rPr>
        <w:t>6、</w:t>
      </w:r>
      <w:r>
        <w:rPr>
          <w:rFonts w:hint="eastAsia" w:ascii="宋体" w:hAnsi="宋体" w:eastAsia="宋体" w:cs="宋体"/>
          <w:sz w:val="32"/>
          <w:szCs w:val="32"/>
          <w:lang w:val="en-US" w:eastAsia="zh-CN"/>
        </w:rPr>
        <w:t>机关运行经费：为保障行政单位（包括参照公务员法管理的事业单位）运行，用一般公共预算拨款安排用于购买货物和服务的各项资金，包括办公及印刷费、邮电费、差旅费、会议费、福利费、日常维修费、办公用房物业管理费、公务用车运行维护费以及其他费用。</w:t>
      </w: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2E24C49"/>
    <w:multiLevelType w:val="singleLevel"/>
    <w:tmpl w:val="62E24C49"/>
    <w:lvl w:ilvl="0" w:tentative="0">
      <w:start w:val="1"/>
      <w:numFmt w:val="decimal"/>
      <w:suff w:val="nothing"/>
      <w:lvlText w:val="%1、"/>
      <w:lvlJc w:val="left"/>
    </w:lvl>
  </w:abstractNum>
  <w:abstractNum w:abstractNumId="2">
    <w:nsid w:val="62E25678"/>
    <w:multiLevelType w:val="singleLevel"/>
    <w:tmpl w:val="62E25678"/>
    <w:lvl w:ilvl="0" w:tentative="0">
      <w:start w:val="1"/>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3ZTc5OTdhMTcxNTIyMTY3YTk0ZGE2YjU2YmY0MjA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205681F"/>
    <w:rsid w:val="1799619D"/>
    <w:rsid w:val="21AD2F53"/>
    <w:rsid w:val="28F50709"/>
    <w:rsid w:val="336B4C75"/>
    <w:rsid w:val="39E33107"/>
    <w:rsid w:val="41D4163E"/>
    <w:rsid w:val="4EED164C"/>
    <w:rsid w:val="5777D4F5"/>
    <w:rsid w:val="5FC6BB1E"/>
    <w:rsid w:val="5FF720F1"/>
    <w:rsid w:val="636134C3"/>
    <w:rsid w:val="737D59BA"/>
    <w:rsid w:val="77C37683"/>
    <w:rsid w:val="79FF515B"/>
    <w:rsid w:val="7E9F11B4"/>
    <w:rsid w:val="7FC69637"/>
    <w:rsid w:val="7FDFFFD9"/>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33</Pages>
  <Words>9315</Words>
  <Characters>11063</Characters>
  <Lines>63</Lines>
  <Paragraphs>18</Paragraphs>
  <TotalTime>3</TotalTime>
  <ScaleCrop>false</ScaleCrop>
  <LinksUpToDate>false</LinksUpToDate>
  <CharactersWithSpaces>11983</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2020-07-05T02:32:00Z</dcterms:created>
  <dc:creator>李航 null</dc:creator>
  <cp:lastModifiedBy>宜烨</cp:lastModifiedBy>
  <cp:lastPrinted>2023-08-15T17:28:00Z</cp:lastPrinted>
  <dcterms:modified xsi:type="dcterms:W3CDTF">2024-09-25T10:06:50Z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95D11AAA4E214D22BA302F05C371CC7C_12</vt:lpwstr>
  </property>
</Properties>
</file>