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A1364">
      <w:pPr>
        <w:widowControl/>
        <w:jc w:val="left"/>
        <w:rPr>
          <w:rFonts w:hint="eastAsia" w:ascii="黑体" w:eastAsia="黑体" w:cs="黑体"/>
          <w:bCs/>
          <w:kern w:val="0"/>
          <w:sz w:val="32"/>
          <w:szCs w:val="32"/>
          <w:lang w:val="en-US" w:eastAsia="zh-CN"/>
        </w:rPr>
      </w:pPr>
    </w:p>
    <w:p w14:paraId="6E25C8C6">
      <w:pPr>
        <w:widowControl/>
        <w:jc w:val="left"/>
        <w:rPr>
          <w:rFonts w:hint="eastAsia"/>
          <w:bCs/>
          <w:kern w:val="0"/>
          <w:sz w:val="32"/>
          <w:szCs w:val="32"/>
          <w:lang w:val="en-US" w:eastAsia="zh-CN"/>
        </w:rPr>
      </w:pPr>
    </w:p>
    <w:p w14:paraId="6EA97888">
      <w:pPr>
        <w:widowControl/>
        <w:jc w:val="center"/>
        <w:rPr>
          <w:rFonts w:hint="eastAsia" w:asci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b w:val="0"/>
          <w:bCs w:val="0"/>
          <w:kern w:val="0"/>
          <w:sz w:val="44"/>
          <w:szCs w:val="44"/>
        </w:rPr>
        <w:t>20</w:t>
      </w:r>
      <w:r>
        <w:rPr>
          <w:rFonts w:ascii="Times New Roman" w:hAnsi="Times New Roman" w:eastAsia="方正小标宋简体" w:cs="Times New Roman"/>
          <w:b w:val="0"/>
          <w:bCs w:val="0"/>
          <w:kern w:val="0"/>
          <w:sz w:val="44"/>
          <w:szCs w:val="44"/>
          <w:lang w:val="en-US" w:eastAsia="zh-CN"/>
        </w:rPr>
        <w:t>25</w:t>
      </w:r>
      <w:r>
        <w:rPr>
          <w:rFonts w:ascii="Times New Roman" w:hAnsi="Times New Roman" w:eastAsia="方正小标宋简体" w:cs="Times New Roman"/>
          <w:b w:val="0"/>
          <w:bCs w:val="0"/>
          <w:kern w:val="0"/>
          <w:sz w:val="44"/>
          <w:szCs w:val="44"/>
        </w:rPr>
        <w:t>年度怀化市数据局部门</w:t>
      </w:r>
      <w:r>
        <w:rPr>
          <w:rFonts w:ascii="Times New Roman" w:hAnsi="Times New Roman" w:eastAsia="方正小标宋简体" w:cs="Times New Roman"/>
          <w:b w:val="0"/>
          <w:bCs w:val="0"/>
          <w:kern w:val="0"/>
          <w:sz w:val="44"/>
          <w:szCs w:val="44"/>
          <w:lang w:eastAsia="zh-CN"/>
        </w:rPr>
        <w:t>预</w:t>
      </w:r>
      <w:r>
        <w:rPr>
          <w:rFonts w:ascii="Times New Roman" w:hAnsi="Times New Roman" w:eastAsia="方正小标宋简体" w:cs="Times New Roman"/>
          <w:b w:val="0"/>
          <w:bCs w:val="0"/>
          <w:kern w:val="0"/>
          <w:sz w:val="44"/>
          <w:szCs w:val="44"/>
        </w:rPr>
        <w:t>算</w:t>
      </w:r>
      <w:r>
        <w:rPr>
          <w:rFonts w:ascii="Times New Roman" w:hAnsi="Times New Roman" w:eastAsia="方正小标宋简体" w:cs="Times New Roman"/>
          <w:b w:val="0"/>
          <w:bCs w:val="0"/>
          <w:i w:val="0"/>
          <w:iCs w:val="0"/>
          <w:caps w:val="0"/>
          <w:smallCaps w:val="0"/>
          <w:color w:val="333333"/>
          <w:spacing w:val="0"/>
          <w:sz w:val="45"/>
          <w:szCs w:val="45"/>
        </w:rPr>
        <w:t>公开说明</w:t>
      </w:r>
    </w:p>
    <w:p w14:paraId="727D99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</w:p>
    <w:p w14:paraId="5A8DB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27" w:firstLineChars="196"/>
        <w:jc w:val="center"/>
        <w:textAlignment w:val="auto"/>
        <w:outlineLvl w:val="9"/>
        <w:rPr>
          <w:rFonts w:ascii="Times New Roman" w:hAnsi="Times New Roman" w:eastAsia="黑体" w:cs="Times New Roman"/>
          <w:bCs/>
          <w:color w:val="auto"/>
          <w:kern w:val="0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bCs/>
          <w:color w:val="auto"/>
          <w:kern w:val="0"/>
          <w:sz w:val="32"/>
          <w:szCs w:val="32"/>
          <w:lang w:eastAsia="zh-CN"/>
        </w:rPr>
        <w:t>目</w:t>
      </w:r>
      <w:r>
        <w:rPr>
          <w:rFonts w:hint="eastAsia" w:eastAsia="黑体" w:cs="Times New Roman"/>
          <w:bCs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bCs/>
          <w:color w:val="auto"/>
          <w:kern w:val="0"/>
          <w:sz w:val="32"/>
          <w:szCs w:val="32"/>
          <w:lang w:eastAsia="zh-CN"/>
        </w:rPr>
        <w:t>录</w:t>
      </w:r>
    </w:p>
    <w:p w14:paraId="5386B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right="0" w:firstLine="320" w:firstLineChars="100"/>
        <w:jc w:val="left"/>
        <w:textAlignment w:val="auto"/>
        <w:outlineLvl w:val="9"/>
        <w:rPr>
          <w:rFonts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eastAsia="黑体" w:cs="Times New Roman"/>
          <w:bCs/>
          <w:color w:val="auto"/>
          <w:kern w:val="0"/>
          <w:sz w:val="32"/>
          <w:szCs w:val="32"/>
          <w:lang w:eastAsia="zh-CN"/>
        </w:rPr>
        <w:t>第一部分</w:t>
      </w:r>
      <w:r>
        <w:rPr>
          <w:rFonts w:hint="eastAsia" w:eastAsia="黑体" w:cs="Times New Roman"/>
          <w:bCs/>
          <w:color w:val="auto"/>
          <w:kern w:val="0"/>
          <w:sz w:val="32"/>
          <w:szCs w:val="32"/>
          <w:lang w:val="en-US" w:eastAsia="zh-CN"/>
        </w:rPr>
        <w:t xml:space="preserve">  2025年部门预算说明</w:t>
      </w:r>
    </w:p>
    <w:p w14:paraId="5AE76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27" w:firstLineChars="196"/>
        <w:jc w:val="left"/>
        <w:textAlignment w:val="auto"/>
        <w:outlineLvl w:val="9"/>
        <w:rPr>
          <w:rFonts w:hint="eastAsia" w:ascii="仿宋" w:eastAsia="仿宋" w:cs="仿宋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" w:eastAsia="仿宋" w:cs="仿宋"/>
          <w:b w:val="0"/>
          <w:bCs/>
          <w:color w:val="auto"/>
          <w:kern w:val="0"/>
          <w:sz w:val="32"/>
          <w:szCs w:val="32"/>
        </w:rPr>
        <w:t>一、部门</w:t>
      </w:r>
      <w:r>
        <w:rPr>
          <w:rFonts w:hint="eastAsia" w:asci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基本概况</w:t>
      </w:r>
    </w:p>
    <w:p w14:paraId="087FD35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27" w:firstLineChars="196"/>
        <w:jc w:val="left"/>
        <w:textAlignment w:val="auto"/>
        <w:outlineLvl w:val="9"/>
        <w:rPr>
          <w:rFonts w:hint="eastAsia" w:ascii="仿宋" w:eastAsia="仿宋" w:cs="仿宋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部门预算单位构成</w:t>
      </w:r>
    </w:p>
    <w:p w14:paraId="68053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27" w:firstLineChars="196"/>
        <w:jc w:val="left"/>
        <w:textAlignment w:val="auto"/>
        <w:outlineLvl w:val="9"/>
        <w:rPr>
          <w:rFonts w:hint="eastAsia" w:ascii="仿宋" w:eastAsia="仿宋" w:cs="仿宋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三</w:t>
      </w:r>
      <w:r>
        <w:rPr>
          <w:rFonts w:hint="eastAsia" w:ascii="仿宋" w:eastAsia="仿宋" w:cs="仿宋"/>
          <w:b w:val="0"/>
          <w:bCs/>
          <w:color w:val="auto"/>
          <w:kern w:val="0"/>
          <w:sz w:val="32"/>
          <w:szCs w:val="32"/>
        </w:rPr>
        <w:t>、</w:t>
      </w:r>
      <w:r>
        <w:rPr>
          <w:rFonts w:hint="eastAsia" w:asci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部门收支总体情况</w:t>
      </w:r>
    </w:p>
    <w:p w14:paraId="0A13C3E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27" w:firstLineChars="196"/>
        <w:jc w:val="left"/>
        <w:textAlignment w:val="auto"/>
        <w:outlineLvl w:val="9"/>
        <w:rPr>
          <w:rFonts w:hint="eastAsia" w:ascii="仿宋" w:eastAsia="仿宋" w:cs="仿宋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一般公共预算财政拨款支出</w:t>
      </w:r>
    </w:p>
    <w:p w14:paraId="15BB21B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27" w:firstLineChars="196"/>
        <w:jc w:val="left"/>
        <w:textAlignment w:val="auto"/>
        <w:outlineLvl w:val="9"/>
        <w:rPr>
          <w:rFonts w:hint="eastAsia" w:ascii="仿宋" w:eastAsia="仿宋" w:cs="仿宋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政府性基金预算支出</w:t>
      </w:r>
    </w:p>
    <w:p w14:paraId="52E0D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40" w:firstLineChars="200"/>
        <w:jc w:val="left"/>
        <w:textAlignment w:val="auto"/>
        <w:outlineLvl w:val="9"/>
        <w:rPr>
          <w:rFonts w:hint="eastAsia" w:ascii="仿宋" w:eastAsia="仿宋" w:cs="仿宋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六、其他重要事项的情况说明</w:t>
      </w:r>
    </w:p>
    <w:p w14:paraId="6B05D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40" w:firstLineChars="200"/>
        <w:jc w:val="left"/>
        <w:textAlignment w:val="auto"/>
        <w:outlineLvl w:val="9"/>
        <w:rPr>
          <w:rFonts w:hint="eastAsia" w:asci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eastAsia="仿宋" w:cs="仿宋"/>
          <w:b w:val="0"/>
          <w:bCs/>
          <w:color w:val="auto"/>
          <w:sz w:val="32"/>
          <w:szCs w:val="32"/>
          <w:lang w:val="en-US" w:eastAsia="zh-CN"/>
        </w:rPr>
        <w:t>七、</w:t>
      </w:r>
      <w:r>
        <w:rPr>
          <w:rFonts w:hint="eastAsia" w:ascii="仿宋" w:eastAsia="仿宋" w:cs="仿宋"/>
          <w:b w:val="0"/>
          <w:bCs/>
          <w:color w:val="auto"/>
          <w:sz w:val="32"/>
          <w:szCs w:val="32"/>
        </w:rPr>
        <w:t>名词解释</w:t>
      </w:r>
    </w:p>
    <w:p w14:paraId="7983A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20" w:firstLineChars="100"/>
        <w:textAlignment w:val="auto"/>
        <w:rPr>
          <w:rFonts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第二部分  2025年部门预算表</w:t>
      </w:r>
    </w:p>
    <w:p w14:paraId="61438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1.</w:t>
      </w:r>
      <w:r>
        <w:rPr>
          <w:rFonts w:eastAsia="仿宋_GB2312"/>
          <w:color w:val="000000"/>
          <w:sz w:val="32"/>
          <w:szCs w:val="32"/>
        </w:rPr>
        <w:t>收支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总表</w:t>
      </w:r>
    </w:p>
    <w:p w14:paraId="53EE8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2.</w:t>
      </w:r>
      <w:r>
        <w:rPr>
          <w:rFonts w:eastAsia="仿宋_GB2312"/>
          <w:color w:val="000000"/>
          <w:sz w:val="32"/>
          <w:szCs w:val="32"/>
        </w:rPr>
        <w:t>收入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预算总</w:t>
      </w:r>
      <w:r>
        <w:rPr>
          <w:rFonts w:eastAsia="仿宋_GB2312"/>
          <w:color w:val="000000"/>
          <w:sz w:val="32"/>
          <w:szCs w:val="32"/>
        </w:rPr>
        <w:t>表</w:t>
      </w:r>
    </w:p>
    <w:p w14:paraId="23933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3.</w:t>
      </w:r>
      <w:r>
        <w:rPr>
          <w:rFonts w:eastAsia="仿宋_GB2312"/>
          <w:color w:val="000000"/>
          <w:sz w:val="32"/>
          <w:szCs w:val="32"/>
        </w:rPr>
        <w:t>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预算总</w:t>
      </w:r>
      <w:r>
        <w:rPr>
          <w:rFonts w:eastAsia="仿宋_GB2312"/>
          <w:color w:val="000000"/>
          <w:sz w:val="32"/>
          <w:szCs w:val="32"/>
        </w:rPr>
        <w:t>表</w:t>
      </w:r>
    </w:p>
    <w:p w14:paraId="06C98F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4.</w:t>
      </w:r>
      <w:r>
        <w:rPr>
          <w:rFonts w:eastAsia="仿宋_GB2312"/>
          <w:color w:val="000000"/>
          <w:sz w:val="32"/>
          <w:szCs w:val="32"/>
        </w:rPr>
        <w:t>财政拨款收支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总表</w:t>
      </w:r>
    </w:p>
    <w:p w14:paraId="6175CA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5.</w:t>
      </w:r>
      <w:r>
        <w:rPr>
          <w:rFonts w:eastAsia="仿宋_GB2312"/>
          <w:color w:val="000000"/>
          <w:sz w:val="32"/>
          <w:szCs w:val="32"/>
        </w:rPr>
        <w:t>一般公共预算支出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</w:t>
      </w:r>
    </w:p>
    <w:p w14:paraId="77158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6.</w:t>
      </w:r>
      <w:r>
        <w:rPr>
          <w:rFonts w:eastAsia="仿宋_GB2312"/>
          <w:color w:val="000000"/>
          <w:sz w:val="32"/>
          <w:szCs w:val="32"/>
        </w:rPr>
        <w:t>一般公共预算基本支出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</w:t>
      </w:r>
    </w:p>
    <w:p w14:paraId="17BA7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7.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一般公共预算</w:t>
      </w:r>
      <w:r>
        <w:rPr>
          <w:rFonts w:eastAsia="仿宋_GB2312"/>
          <w:color w:val="000000"/>
          <w:sz w:val="32"/>
          <w:szCs w:val="32"/>
        </w:rPr>
        <w:t>“三公”经费支出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</w:t>
      </w:r>
    </w:p>
    <w:p w14:paraId="54C6B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8.</w:t>
      </w:r>
      <w:r>
        <w:rPr>
          <w:rFonts w:eastAsia="仿宋_GB2312"/>
          <w:color w:val="000000"/>
          <w:sz w:val="32"/>
          <w:szCs w:val="32"/>
        </w:rPr>
        <w:t>政府性基金预算支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出预算</w:t>
      </w:r>
      <w:r>
        <w:rPr>
          <w:rFonts w:eastAsia="仿宋_GB2312"/>
          <w:color w:val="000000"/>
          <w:sz w:val="32"/>
          <w:szCs w:val="32"/>
        </w:rPr>
        <w:t>表</w:t>
      </w:r>
    </w:p>
    <w:p w14:paraId="7897E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9.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项目支出预算表</w:t>
      </w:r>
    </w:p>
    <w:p w14:paraId="53CA3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.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国有资本经营预算支出预算表</w:t>
      </w:r>
    </w:p>
    <w:p w14:paraId="29724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hint="eastAsia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11.项目支出绩效目标表</w:t>
      </w:r>
    </w:p>
    <w:p w14:paraId="304868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hint="eastAsia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12.部门整体支出绩效目标表</w:t>
      </w:r>
    </w:p>
    <w:p w14:paraId="43CAD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hint="eastAsia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注：以上部门预算报表中，空表表示本部门无相关收支情况</w:t>
      </w:r>
    </w:p>
    <w:p w14:paraId="77657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57A96E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line="500" w:lineRule="exact"/>
        <w:ind w:left="0" w:right="0"/>
        <w:jc w:val="left"/>
        <w:textAlignment w:val="auto"/>
        <w:outlineLvl w:val="9"/>
        <w:rPr>
          <w:rFonts w:hint="eastAsia" w:eastAsia="楷体_GB2312"/>
          <w:b/>
          <w:bCs w:val="0"/>
          <w:kern w:val="0"/>
          <w:sz w:val="32"/>
          <w:szCs w:val="32"/>
          <w:lang w:val="en-US" w:eastAsia="zh-CN"/>
        </w:rPr>
      </w:pPr>
    </w:p>
    <w:p w14:paraId="2A704A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line="500" w:lineRule="exact"/>
        <w:ind w:left="0" w:right="0"/>
        <w:jc w:val="left"/>
        <w:textAlignment w:val="auto"/>
        <w:outlineLvl w:val="9"/>
        <w:rPr>
          <w:rFonts w:hint="eastAsia" w:eastAsia="楷体_GB2312"/>
          <w:b/>
          <w:bCs w:val="0"/>
          <w:kern w:val="0"/>
          <w:sz w:val="32"/>
          <w:szCs w:val="32"/>
          <w:lang w:val="en-US" w:eastAsia="zh-CN"/>
        </w:rPr>
      </w:pPr>
    </w:p>
    <w:p w14:paraId="017BEF26">
      <w:pPr>
        <w:bidi w:val="0"/>
        <w:rPr>
          <w:rFonts w:hint="eastAsia"/>
          <w:lang w:val="en-US" w:eastAsia="zh-CN"/>
        </w:rPr>
      </w:pPr>
    </w:p>
    <w:p w14:paraId="201CF3E0">
      <w:pPr>
        <w:bidi w:val="0"/>
        <w:rPr>
          <w:rFonts w:hint="eastAsia"/>
          <w:lang w:val="en-US" w:eastAsia="zh-CN"/>
        </w:rPr>
      </w:pPr>
    </w:p>
    <w:p w14:paraId="6FEED943">
      <w:pPr>
        <w:bidi w:val="0"/>
        <w:rPr>
          <w:rFonts w:hint="eastAsia"/>
          <w:lang w:val="en-US" w:eastAsia="zh-CN"/>
        </w:rPr>
      </w:pPr>
    </w:p>
    <w:p w14:paraId="3EC21A72">
      <w:pPr>
        <w:bidi w:val="0"/>
        <w:rPr>
          <w:rFonts w:hint="eastAsia"/>
          <w:lang w:val="en-US" w:eastAsia="zh-CN"/>
        </w:rPr>
      </w:pPr>
    </w:p>
    <w:p w14:paraId="4FE2411B">
      <w:pPr>
        <w:bidi w:val="0"/>
        <w:rPr>
          <w:rFonts w:hint="eastAsia"/>
          <w:lang w:val="en-US" w:eastAsia="zh-CN"/>
        </w:rPr>
      </w:pPr>
    </w:p>
    <w:p w14:paraId="796F59A4">
      <w:pPr>
        <w:bidi w:val="0"/>
        <w:rPr>
          <w:rFonts w:hint="eastAsia"/>
          <w:lang w:val="en-US" w:eastAsia="zh-CN"/>
        </w:rPr>
      </w:pPr>
    </w:p>
    <w:p w14:paraId="6B0E082E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140290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</w:rPr>
      </w:pPr>
      <w:r>
        <w:rPr>
          <w:rFonts w:eastAsia="黑体"/>
          <w:bCs/>
          <w:kern w:val="0"/>
          <w:sz w:val="32"/>
          <w:szCs w:val="32"/>
        </w:rPr>
        <w:t>一、部门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基本概况</w:t>
      </w:r>
    </w:p>
    <w:p w14:paraId="66E73032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right="0"/>
        <w:jc w:val="both"/>
        <w:textAlignment w:val="auto"/>
        <w:outlineLvl w:val="9"/>
        <w:rPr>
          <w:rFonts w:ascii="方正兰亭黑_GBK" w:hAnsi="方正兰亭黑_GBK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eastAsia="仿宋" w:cs="仿宋"/>
          <w:b/>
          <w:bCs/>
          <w:sz w:val="32"/>
          <w:szCs w:val="32"/>
          <w:lang w:eastAsia="zh-CN"/>
        </w:rPr>
        <w:t>部门职责</w:t>
      </w:r>
    </w:p>
    <w:p w14:paraId="1BE751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r>
        <w:rPr>
          <w:rFonts w:ascii="方正兰亭黑_GBK" w:hAnsi="方正兰亭黑_GBK" w:eastAsia="仿宋" w:cs="仿宋"/>
          <w:b/>
          <w:bCs/>
          <w:sz w:val="32"/>
          <w:szCs w:val="32"/>
          <w:lang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 xml:space="preserve"> 怀化市数据局成立于2024年5月，因部门职责及机构设置属于涉密，暂不予公开。</w:t>
      </w:r>
    </w:p>
    <w:p w14:paraId="438D74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30" w:firstLineChars="196"/>
        <w:jc w:val="both"/>
        <w:textAlignment w:val="auto"/>
        <w:outlineLvl w:val="9"/>
        <w:rPr>
          <w:rFonts w:hint="eastAsia" w:asci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eastAsia="仿宋" w:cs="仿宋"/>
          <w:b/>
          <w:bCs/>
          <w:sz w:val="32"/>
          <w:szCs w:val="32"/>
          <w:lang w:eastAsia="zh-CN"/>
        </w:rPr>
        <w:t>（二）机构设置情况</w:t>
      </w:r>
    </w:p>
    <w:p w14:paraId="3D6C08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27" w:firstLineChars="196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怀化市数据局成立于2024年5月，因部门职责及机构设置属于涉密，暂不予公开。</w:t>
      </w:r>
    </w:p>
    <w:p w14:paraId="614E13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27" w:firstLineChars="196"/>
        <w:jc w:val="both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二、部门预算单位构成</w:t>
      </w:r>
    </w:p>
    <w:p w14:paraId="44B217EE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both"/>
        <w:rPr>
          <w:rFonts w:hint="eastAsia" w:ascii="宋体" w:eastAsia="宋体" w:cs="宋体"/>
          <w:b w:val="0"/>
          <w:i w:val="0"/>
          <w:caps w:val="0"/>
          <w:smallCaps w:val="0"/>
          <w:color w:val="3D3D3D"/>
          <w:spacing w:val="0"/>
          <w:sz w:val="24"/>
          <w:szCs w:val="24"/>
          <w:highlight w:val="none"/>
          <w:u w:val="none"/>
        </w:rPr>
      </w:pPr>
      <w:r>
        <w:rPr>
          <w:rFonts w:hint="eastAsia" w:eastAsia="仿宋_GB2312"/>
          <w:sz w:val="32"/>
          <w:szCs w:val="32"/>
          <w:highlight w:val="none"/>
          <w:lang w:val="en-US" w:eastAsia="zh-CN"/>
        </w:rPr>
        <w:t>纳入2025年怀化市数据局部门预算编制范围的包括：怀化市数据局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部门本级</w:t>
      </w:r>
      <w:r>
        <w:rPr>
          <w:rFonts w:ascii="仿宋_GB2312" w:eastAsia="仿宋_GB2312" w:cs="仿宋_GB2312"/>
          <w:b w:val="0"/>
          <w:i w:val="0"/>
          <w:caps w:val="0"/>
          <w:smallCaps w:val="0"/>
          <w:color w:val="3D3D3D"/>
          <w:spacing w:val="0"/>
          <w:sz w:val="32"/>
          <w:szCs w:val="32"/>
          <w:highlight w:val="none"/>
          <w:u w:val="none"/>
        </w:rPr>
        <w:t>。</w:t>
      </w:r>
    </w:p>
    <w:p w14:paraId="0B410B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27" w:firstLineChars="196"/>
        <w:jc w:val="both"/>
        <w:textAlignment w:val="auto"/>
        <w:outlineLvl w:val="9"/>
        <w:rPr>
          <w:rFonts w:hint="eastAsia" w:eastAsia="黑体"/>
          <w:bCs/>
          <w:kern w:val="0"/>
          <w:sz w:val="32"/>
          <w:szCs w:val="32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三</w:t>
      </w:r>
      <w:r>
        <w:rPr>
          <w:rFonts w:eastAsia="黑体"/>
          <w:bCs/>
          <w:kern w:val="0"/>
          <w:sz w:val="32"/>
          <w:szCs w:val="32"/>
        </w:rPr>
        <w:t>、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部门收支总体情况</w:t>
      </w:r>
    </w:p>
    <w:p w14:paraId="2B98AC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right="0" w:firstLine="640" w:firstLineChars="200"/>
        <w:jc w:val="both"/>
        <w:textAlignment w:val="auto"/>
        <w:outlineLvl w:val="9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20</w:t>
      </w:r>
      <w:r>
        <w:rPr>
          <w:rFonts w:hint="eastAsia" w:eastAsia="仿宋_GB2312"/>
          <w:sz w:val="32"/>
          <w:szCs w:val="32"/>
          <w:lang w:val="en-US" w:eastAsia="zh-CN"/>
        </w:rPr>
        <w:t>25</w:t>
      </w:r>
      <w:r>
        <w:rPr>
          <w:rFonts w:hint="eastAsia" w:eastAsia="仿宋_GB2312"/>
          <w:sz w:val="32"/>
          <w:szCs w:val="32"/>
          <w:lang w:eastAsia="zh-CN"/>
        </w:rPr>
        <w:t>年部门预算包括本单位预算内的收支情况。</w:t>
      </w:r>
    </w:p>
    <w:p w14:paraId="08E0E8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27" w:firstLineChars="196"/>
        <w:jc w:val="both"/>
        <w:textAlignment w:val="auto"/>
        <w:outlineLvl w:val="9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（一）收入预算。</w:t>
      </w:r>
      <w:r>
        <w:rPr>
          <w:rFonts w:hint="eastAsia" w:asci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包括一般公共预算、政府性基金、国有资本经营预算等财政拨款收入，以及经营收入、事业收入等单位资金。</w:t>
      </w:r>
      <w:r>
        <w:rPr>
          <w:rFonts w:hint="eastAsia" w:eastAsia="仿宋_GB2312"/>
          <w:sz w:val="32"/>
          <w:szCs w:val="32"/>
          <w:lang w:eastAsia="zh-CN"/>
        </w:rPr>
        <w:t>20</w:t>
      </w:r>
      <w:r>
        <w:rPr>
          <w:rFonts w:hint="eastAsia" w:eastAsia="仿宋_GB2312"/>
          <w:sz w:val="32"/>
          <w:szCs w:val="32"/>
          <w:lang w:val="en-US" w:eastAsia="zh-CN"/>
        </w:rPr>
        <w:t>25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年年初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本部门收入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预算</w:t>
      </w:r>
      <w:r>
        <w:rPr>
          <w:rFonts w:eastAsia="仿宋_GB2312"/>
          <w:sz w:val="32"/>
          <w:szCs w:val="32"/>
          <w:lang w:eastAsia="zh-CN"/>
        </w:rPr>
        <w:t>267.19</w:t>
      </w:r>
      <w:r>
        <w:rPr>
          <w:rFonts w:hint="eastAsia" w:eastAsia="仿宋_GB2312"/>
          <w:sz w:val="32"/>
          <w:szCs w:val="32"/>
          <w:lang w:eastAsia="zh-CN"/>
        </w:rPr>
        <w:t>万元，其中，一般公共预算拨款</w:t>
      </w:r>
      <w:r>
        <w:rPr>
          <w:rFonts w:eastAsia="仿宋_GB2312"/>
          <w:sz w:val="32"/>
          <w:szCs w:val="32"/>
          <w:lang w:eastAsia="zh-CN"/>
        </w:rPr>
        <w:t>267.19</w:t>
      </w:r>
      <w:r>
        <w:rPr>
          <w:rFonts w:hint="eastAsia" w:eastAsia="仿宋_GB2312"/>
          <w:sz w:val="32"/>
          <w:szCs w:val="32"/>
          <w:lang w:eastAsia="zh-CN"/>
        </w:rPr>
        <w:t>万元，政府性基金预算拨款</w:t>
      </w:r>
      <w:r>
        <w:rPr>
          <w:rFonts w:eastAsia="仿宋_GB2312"/>
          <w:sz w:val="32"/>
          <w:szCs w:val="32"/>
          <w:lang w:eastAsia="zh-CN"/>
        </w:rPr>
        <w:t>0</w:t>
      </w:r>
      <w:r>
        <w:rPr>
          <w:rFonts w:hint="eastAsia" w:eastAsia="仿宋_GB2312"/>
          <w:sz w:val="32"/>
          <w:szCs w:val="32"/>
          <w:lang w:val="en-US" w:eastAsia="zh-CN"/>
        </w:rPr>
        <w:t>万元，</w:t>
      </w:r>
      <w:r>
        <w:rPr>
          <w:rFonts w:hint="eastAsia" w:eastAsia="仿宋_GB2312"/>
          <w:sz w:val="32"/>
          <w:szCs w:val="32"/>
          <w:lang w:eastAsia="zh-CN"/>
        </w:rPr>
        <w:t>纳入财政专户管理的非税收入拨款</w:t>
      </w:r>
      <w:r>
        <w:rPr>
          <w:rFonts w:eastAsia="仿宋_GB2312"/>
          <w:sz w:val="32"/>
          <w:szCs w:val="32"/>
          <w:lang w:eastAsia="zh-CN"/>
        </w:rPr>
        <w:t>0</w:t>
      </w:r>
      <w:r>
        <w:rPr>
          <w:rFonts w:hint="eastAsia" w:eastAsia="仿宋_GB2312"/>
          <w:sz w:val="32"/>
          <w:szCs w:val="32"/>
          <w:lang w:eastAsia="zh-CN"/>
        </w:rPr>
        <w:t>万元，国有资本经营预算拨款</w:t>
      </w:r>
      <w:r>
        <w:rPr>
          <w:rFonts w:eastAsia="仿宋_GB2312"/>
          <w:sz w:val="32"/>
          <w:szCs w:val="32"/>
          <w:lang w:eastAsia="zh-CN"/>
        </w:rPr>
        <w:t>0</w:t>
      </w:r>
      <w:r>
        <w:rPr>
          <w:rFonts w:hint="eastAsia" w:eastAsia="仿宋_GB2312"/>
          <w:sz w:val="32"/>
          <w:szCs w:val="32"/>
          <w:lang w:eastAsia="zh-CN"/>
        </w:rPr>
        <w:t>万元，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上年结转结余</w:t>
      </w:r>
      <w:r>
        <w:rPr>
          <w:rFonts w:eastAsia="仿宋_GB2312"/>
          <w:sz w:val="32"/>
          <w:szCs w:val="32"/>
          <w:lang w:eastAsia="zh-CN"/>
        </w:rPr>
        <w:t>0</w:t>
      </w:r>
      <w:r>
        <w:rPr>
          <w:rFonts w:hint="eastAsia" w:eastAsia="仿宋_GB2312"/>
          <w:sz w:val="32"/>
          <w:szCs w:val="32"/>
          <w:lang w:eastAsia="zh-CN"/>
        </w:rPr>
        <w:t>万元。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eastAsia="zh-CN"/>
        </w:rPr>
        <w:t>压减公用经费和专项支出后，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同口径对比，收入较上年增加0 万元，增长率0，主要原因是怀化市数据局于2024年5月成立，故2024年无年初预算收入。</w:t>
      </w:r>
    </w:p>
    <w:p w14:paraId="04E636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27" w:firstLineChars="196"/>
        <w:jc w:val="both"/>
        <w:textAlignment w:val="auto"/>
        <w:outlineLvl w:val="9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（二）支出预算。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20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本部门支出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预算数</w:t>
      </w:r>
      <w:r>
        <w:rPr>
          <w:rFonts w:eastAsia="仿宋_GB2312"/>
          <w:sz w:val="32"/>
          <w:szCs w:val="32"/>
          <w:lang w:eastAsia="zh-CN"/>
        </w:rPr>
        <w:t>267.19</w:t>
      </w:r>
      <w:r>
        <w:rPr>
          <w:rFonts w:hint="eastAsia" w:eastAsia="仿宋_GB2312"/>
          <w:sz w:val="32"/>
          <w:szCs w:val="32"/>
          <w:lang w:eastAsia="zh-CN"/>
        </w:rPr>
        <w:t>万元，其中，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一般公共服务支出</w:t>
      </w:r>
      <w:r>
        <w:rPr>
          <w:rFonts w:eastAsia="仿宋_GB2312"/>
          <w:sz w:val="32"/>
          <w:szCs w:val="32"/>
          <w:lang w:eastAsia="zh-CN"/>
        </w:rPr>
        <w:t>242.96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万元，社会保障和就业支出</w:t>
      </w:r>
      <w:r>
        <w:rPr>
          <w:rFonts w:eastAsia="仿宋_GB2312"/>
          <w:sz w:val="32"/>
          <w:szCs w:val="32"/>
          <w:lang w:eastAsia="zh-CN"/>
        </w:rPr>
        <w:t>17.40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万元，卫生健康支出</w:t>
      </w:r>
      <w:r>
        <w:rPr>
          <w:rFonts w:eastAsia="仿宋_GB2312"/>
          <w:sz w:val="32"/>
          <w:szCs w:val="32"/>
          <w:lang w:eastAsia="zh-CN"/>
        </w:rPr>
        <w:t>6.83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万元</w:t>
      </w:r>
      <w:r>
        <w:rPr>
          <w:rFonts w:hint="eastAsia" w:eastAsia="仿宋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压减公用经费和专项支出后，同口径对比，支出较上年增加0万元，增长率0，主要原因是怀化市数据局于2024年5月成立，故2024年无年初预算支出。</w:t>
      </w:r>
    </w:p>
    <w:p w14:paraId="30F277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40" w:firstLineChars="200"/>
        <w:jc w:val="both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四、一般公共预算财政拨款收支情况</w:t>
      </w:r>
    </w:p>
    <w:p w14:paraId="31D6A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right="0" w:firstLine="640" w:firstLineChars="200"/>
        <w:jc w:val="both"/>
        <w:textAlignment w:val="auto"/>
        <w:outlineLvl w:val="9"/>
        <w:rPr>
          <w:rFonts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eastAsia="黑体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本部门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一般公共预算拨款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支出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为</w:t>
      </w:r>
      <w:r>
        <w:rPr>
          <w:rFonts w:eastAsia="仿宋_GB2312"/>
          <w:color w:val="auto"/>
          <w:sz w:val="32"/>
          <w:szCs w:val="32"/>
          <w:lang w:eastAsia="zh-CN"/>
        </w:rPr>
        <w:t>267.19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万元，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其中：一般公共服务支出</w:t>
      </w:r>
      <w:r>
        <w:rPr>
          <w:rFonts w:eastAsia="仿宋_GB2312"/>
          <w:color w:val="auto"/>
          <w:sz w:val="32"/>
          <w:szCs w:val="32"/>
          <w:lang w:eastAsia="zh-CN"/>
        </w:rPr>
        <w:t>242.96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万元，占</w:t>
      </w:r>
      <w:r>
        <w:rPr>
          <w:rFonts w:eastAsia="仿宋_GB2312"/>
          <w:color w:val="auto"/>
          <w:sz w:val="32"/>
          <w:szCs w:val="32"/>
          <w:lang w:eastAsia="zh-CN"/>
        </w:rPr>
        <w:t>91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%；社会保障和就业支出</w:t>
      </w:r>
      <w:r>
        <w:rPr>
          <w:rFonts w:eastAsia="仿宋_GB2312"/>
          <w:color w:val="auto"/>
          <w:sz w:val="32"/>
          <w:szCs w:val="32"/>
          <w:lang w:eastAsia="zh-CN"/>
        </w:rPr>
        <w:t>17.40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万元，占</w:t>
      </w:r>
      <w:r>
        <w:rPr>
          <w:rFonts w:eastAsia="仿宋_GB2312"/>
          <w:color w:val="auto"/>
          <w:sz w:val="32"/>
          <w:szCs w:val="32"/>
          <w:lang w:eastAsia="zh-CN"/>
        </w:rPr>
        <w:t>0.065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%；卫生健康支出</w:t>
      </w:r>
      <w:r>
        <w:rPr>
          <w:rFonts w:eastAsia="仿宋_GB2312"/>
          <w:color w:val="auto"/>
          <w:sz w:val="32"/>
          <w:szCs w:val="32"/>
          <w:lang w:eastAsia="zh-CN"/>
        </w:rPr>
        <w:t>6.83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万元，占</w:t>
      </w:r>
      <w:r>
        <w:rPr>
          <w:rFonts w:eastAsia="仿宋_GB2312"/>
          <w:color w:val="auto"/>
          <w:sz w:val="32"/>
          <w:szCs w:val="32"/>
          <w:lang w:eastAsia="zh-CN"/>
        </w:rPr>
        <w:t>0.026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%；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。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具体安排情况如下：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 xml:space="preserve"> </w:t>
      </w:r>
    </w:p>
    <w:p w14:paraId="5AEA8B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（一）</w:t>
      </w:r>
      <w:r>
        <w:rPr>
          <w:rFonts w:hint="eastAsia" w:eastAsia="仿宋_GB2312"/>
          <w:sz w:val="32"/>
          <w:szCs w:val="32"/>
        </w:rPr>
        <w:t>基本支出</w:t>
      </w:r>
      <w:r>
        <w:rPr>
          <w:rFonts w:hint="eastAsia" w:eastAsia="仿宋_GB2312"/>
          <w:sz w:val="32"/>
          <w:szCs w:val="32"/>
          <w:lang w:eastAsia="zh-CN"/>
        </w:rPr>
        <w:t>：20</w:t>
      </w:r>
      <w:r>
        <w:rPr>
          <w:rFonts w:hint="eastAsia" w:eastAsia="仿宋_GB2312"/>
          <w:sz w:val="32"/>
          <w:szCs w:val="32"/>
          <w:lang w:val="en-US" w:eastAsia="zh-CN"/>
        </w:rPr>
        <w:t>25</w:t>
      </w:r>
      <w:r>
        <w:rPr>
          <w:rFonts w:hint="eastAsia" w:eastAsia="仿宋_GB2312"/>
          <w:sz w:val="32"/>
          <w:szCs w:val="32"/>
          <w:lang w:eastAsia="zh-CN"/>
        </w:rPr>
        <w:t>年年初预算数为</w:t>
      </w:r>
      <w:r>
        <w:rPr>
          <w:rFonts w:eastAsia="仿宋_GB2312"/>
          <w:sz w:val="32"/>
          <w:szCs w:val="32"/>
          <w:lang w:eastAsia="zh-CN"/>
        </w:rPr>
        <w:t>267.19</w:t>
      </w:r>
      <w:r>
        <w:rPr>
          <w:rFonts w:hint="eastAsia" w:eastAsia="仿宋_GB2312"/>
          <w:sz w:val="32"/>
          <w:szCs w:val="32"/>
          <w:lang w:eastAsia="zh-CN"/>
        </w:rPr>
        <w:t>万元，是指为保障单位机构正常运转、完成日常工作任务而发生的各项支出，包括用于基本工资</w:t>
      </w:r>
      <w:r>
        <w:rPr>
          <w:rFonts w:eastAsia="仿宋_GB2312"/>
          <w:sz w:val="32"/>
          <w:szCs w:val="32"/>
          <w:lang w:eastAsia="zh-CN"/>
        </w:rPr>
        <w:t>50.65</w:t>
      </w:r>
      <w:r>
        <w:rPr>
          <w:rFonts w:hint="eastAsia" w:eastAsia="仿宋_GB2312"/>
          <w:sz w:val="32"/>
          <w:szCs w:val="32"/>
          <w:lang w:val="en-US" w:eastAsia="zh-CN"/>
        </w:rPr>
        <w:t>万元</w:t>
      </w:r>
      <w:r>
        <w:rPr>
          <w:rFonts w:hint="eastAsia" w:eastAsia="仿宋_GB2312"/>
          <w:sz w:val="32"/>
          <w:szCs w:val="32"/>
          <w:lang w:eastAsia="zh-CN"/>
        </w:rPr>
        <w:t>、津贴补贴</w:t>
      </w:r>
      <w:r>
        <w:rPr>
          <w:rFonts w:eastAsia="仿宋_GB2312"/>
          <w:sz w:val="32"/>
          <w:szCs w:val="32"/>
          <w:lang w:eastAsia="zh-CN"/>
        </w:rPr>
        <w:t>20.02</w:t>
      </w:r>
      <w:r>
        <w:rPr>
          <w:rFonts w:hint="eastAsia" w:eastAsia="仿宋_GB2312"/>
          <w:sz w:val="32"/>
          <w:szCs w:val="32"/>
          <w:lang w:val="en-US" w:eastAsia="zh-CN"/>
        </w:rPr>
        <w:t>万元、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绩效工资11.79万元、社会保障缴费24.23万元、奖金40.32万元、住房公积金14.73万元。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办公费36.54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公务接待2万元、其他商品服务支出62.9万元、车辆运行费4万元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等。</w:t>
      </w:r>
    </w:p>
    <w:p w14:paraId="531AE6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（二）</w:t>
      </w:r>
      <w:r>
        <w:rPr>
          <w:rFonts w:hint="eastAsia" w:eastAsia="仿宋_GB2312"/>
          <w:sz w:val="32"/>
          <w:szCs w:val="32"/>
        </w:rPr>
        <w:t>项目支出</w:t>
      </w:r>
      <w:r>
        <w:rPr>
          <w:rFonts w:hint="eastAsia" w:eastAsia="仿宋_GB2312"/>
          <w:sz w:val="32"/>
          <w:szCs w:val="32"/>
          <w:lang w:eastAsia="zh-CN"/>
        </w:rPr>
        <w:t>：</w:t>
      </w:r>
      <w:r>
        <w:rPr>
          <w:rFonts w:hint="eastAsia" w:eastAsia="仿宋_GB2312"/>
          <w:sz w:val="32"/>
          <w:szCs w:val="32"/>
          <w:lang w:val="en-US" w:eastAsia="zh-CN"/>
        </w:rPr>
        <w:t>2025年年初预算数为</w:t>
      </w:r>
      <w:r>
        <w:rPr>
          <w:rFonts w:eastAsia="仿宋_GB2312"/>
          <w:sz w:val="32"/>
          <w:szCs w:val="32"/>
          <w:lang w:eastAsia="zh-CN"/>
        </w:rPr>
        <w:t>80</w:t>
      </w:r>
      <w:r>
        <w:rPr>
          <w:rFonts w:hint="eastAsia" w:eastAsia="仿宋_GB2312"/>
          <w:sz w:val="32"/>
          <w:szCs w:val="32"/>
          <w:lang w:val="en-US" w:eastAsia="zh-CN"/>
        </w:rPr>
        <w:t>万元，是指单位为完成特定行政工作任务或事业发展目标而发生的支出，包括有关事业发展专项、专项业务费等。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主要用于智慧怀化建设等平台管理及云计算中心相关工作费用支出。</w:t>
      </w:r>
    </w:p>
    <w:p w14:paraId="3AE9E5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40" w:firstLineChars="200"/>
        <w:jc w:val="both"/>
        <w:textAlignment w:val="auto"/>
        <w:outlineLvl w:val="9"/>
        <w:rPr>
          <w:rFonts w:hint="eastAsia" w:asci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eastAsia="zh-CN"/>
        </w:rPr>
        <w:t>五、政府性基金支出情况</w:t>
      </w:r>
    </w:p>
    <w:p w14:paraId="6DC1DA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2025年无政府性基金支出。</w:t>
      </w:r>
    </w:p>
    <w:p w14:paraId="4CA6C0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/>
        <w:jc w:val="both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六、其他重要事项的情况说明</w:t>
      </w:r>
    </w:p>
    <w:p w14:paraId="2365CE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660" w:right="0"/>
        <w:jc w:val="both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（一）</w:t>
      </w:r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一般公共预算</w:t>
      </w:r>
      <w:r>
        <w:rPr>
          <w:rFonts w:hint="eastAsia" w:eastAsia="仿宋_GB2312"/>
          <w:b/>
          <w:bCs/>
          <w:sz w:val="32"/>
          <w:szCs w:val="32"/>
          <w:lang w:val="en-US" w:eastAsia="zh-CN"/>
        </w:rPr>
        <w:t>“三公”经费预算</w:t>
      </w:r>
    </w:p>
    <w:p w14:paraId="3A54FC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eastAsia="仿宋_GB2312"/>
          <w:b/>
          <w:bCs/>
          <w:color w:val="FF000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2025年本单位安排一般公共预算“三公”经费预算数为6万元，其中，公务接待费2万元，公务用车运行费4万元，因公出国（境）费0万元。2025年一般公共预算“三公”经费预算较上年预算数减少（或增加）0万元，下降（或提高）0%，主要因为怀化市数据局成立于2024年5月，2024年无年初经费预算。</w:t>
      </w:r>
    </w:p>
    <w:p w14:paraId="15F570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660" w:right="0"/>
        <w:jc w:val="both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（二）机关运行经费</w:t>
      </w:r>
    </w:p>
    <w:p w14:paraId="5395AA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 xml:space="preserve"> 2025年</w:t>
      </w:r>
      <w:r>
        <w:rPr>
          <w:rFonts w:eastAsia="方正兰亭黑_GBK"/>
          <w:b w:val="0"/>
          <w:bCs w:val="0"/>
          <w:color w:val="auto"/>
          <w:sz w:val="32"/>
          <w:szCs w:val="32"/>
          <w:lang w:val="en-US" w:eastAsia="zh-CN"/>
        </w:rPr>
        <w:t>本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部门机关运行经费</w:t>
      </w:r>
      <w:r>
        <w:rPr>
          <w:rFonts w:eastAsia="仿宋_GB2312"/>
          <w:b w:val="0"/>
          <w:bCs w:val="0"/>
          <w:color w:val="auto"/>
          <w:sz w:val="32"/>
          <w:szCs w:val="32"/>
          <w:lang w:eastAsia="zh-CN"/>
        </w:rPr>
        <w:t>31.81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万元</w:t>
      </w:r>
      <w:r>
        <w:rPr>
          <w:rFonts w:eastAsia="方正兰亭黑_GBK"/>
          <w:b w:val="0"/>
          <w:bCs w:val="0"/>
          <w:color w:val="auto"/>
          <w:sz w:val="32"/>
          <w:szCs w:val="32"/>
          <w:lang w:val="en-US" w:eastAsia="zh-CN"/>
        </w:rPr>
        <w:t>。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val="en-US" w:eastAsia="zh-CN"/>
        </w:rPr>
        <w:t>（公开表6公用经费安排的商品和服务支出除以80%），压减公用经</w:t>
      </w:r>
      <w:r>
        <w:rPr>
          <w:rFonts w:hint="eastAsia" w:eastAsia="仿宋_GB2312"/>
          <w:b/>
          <w:bCs/>
          <w:color w:val="auto"/>
          <w:sz w:val="32"/>
          <w:szCs w:val="32"/>
          <w:lang w:val="en-US" w:eastAsia="zh-CN"/>
        </w:rPr>
        <w:t>费后安排</w:t>
      </w:r>
      <w:r>
        <w:rPr>
          <w:rFonts w:eastAsia="仿宋_GB2312"/>
          <w:b/>
          <w:bCs/>
          <w:color w:val="auto"/>
          <w:sz w:val="32"/>
          <w:szCs w:val="32"/>
          <w:lang w:eastAsia="zh-CN"/>
        </w:rPr>
        <w:t>25.45</w:t>
      </w:r>
      <w:r>
        <w:rPr>
          <w:rFonts w:hint="eastAsia" w:eastAsia="仿宋_GB2312"/>
          <w:b/>
          <w:bCs/>
          <w:color w:val="auto"/>
          <w:sz w:val="32"/>
          <w:szCs w:val="32"/>
          <w:lang w:val="en-US" w:eastAsia="zh-CN"/>
        </w:rPr>
        <w:t>万元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val="en-US" w:eastAsia="zh-CN"/>
        </w:rPr>
        <w:t>（公开表6公用经费安排的商品和服务支出）</w:t>
      </w:r>
      <w:r>
        <w:rPr>
          <w:rFonts w:hint="eastAsia" w:eastAsia="仿宋_GB2312"/>
          <w:b/>
          <w:bCs/>
          <w:color w:val="auto"/>
          <w:sz w:val="32"/>
          <w:szCs w:val="32"/>
          <w:lang w:val="en-US" w:eastAsia="zh-CN"/>
        </w:rPr>
        <w:t>，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同口径对比，比上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预算数减少（或增加）</w:t>
      </w:r>
      <w:r>
        <w:rPr>
          <w:rFonts w:eastAsia="仿宋_GB2312"/>
          <w:sz w:val="32"/>
          <w:szCs w:val="32"/>
          <w:lang w:eastAsia="zh-CN"/>
        </w:rPr>
        <w:t>0</w:t>
      </w:r>
      <w:r>
        <w:rPr>
          <w:rFonts w:hint="eastAsia" w:eastAsia="仿宋_GB2312"/>
          <w:sz w:val="32"/>
          <w:szCs w:val="32"/>
          <w:lang w:val="en-US" w:eastAsia="zh-CN"/>
        </w:rPr>
        <w:t>万元，下降（或提高）</w:t>
      </w:r>
      <w:r>
        <w:rPr>
          <w:rFonts w:eastAsia="仿宋_GB2312"/>
          <w:sz w:val="32"/>
          <w:szCs w:val="32"/>
          <w:lang w:eastAsia="zh-CN"/>
        </w:rPr>
        <w:t>0</w:t>
      </w:r>
      <w:r>
        <w:rPr>
          <w:rFonts w:hint="eastAsia" w:eastAsia="仿宋_GB2312"/>
          <w:sz w:val="32"/>
          <w:szCs w:val="32"/>
          <w:lang w:val="en-US" w:eastAsia="zh-CN"/>
        </w:rPr>
        <w:t>%，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主要因为怀化市数据局成立于2024年5月，2024年无年初经费预算。</w:t>
      </w:r>
    </w:p>
    <w:p w14:paraId="611B2D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/>
        <w:jc w:val="both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 xml:space="preserve">    （三）政府采购情况</w:t>
      </w:r>
    </w:p>
    <w:p w14:paraId="5978C2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2025年怀化市数据局</w:t>
      </w:r>
      <w:r>
        <w:rPr>
          <w:rFonts w:hint="eastAsia" w:eastAsia="仿宋_GB2312"/>
          <w:b w:val="0"/>
          <w:bCs w:val="0"/>
          <w:sz w:val="32"/>
          <w:szCs w:val="32"/>
          <w:lang w:eastAsia="zh-CN"/>
        </w:rPr>
        <w:t>部门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政府采购预算总额为0万元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</w:p>
    <w:p w14:paraId="336A53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right="0" w:firstLine="482" w:firstLineChars="150"/>
        <w:jc w:val="both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（四）预算绩效管理情况</w:t>
      </w:r>
    </w:p>
    <w:p w14:paraId="7AA2CA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40" w:firstLineChars="200"/>
        <w:jc w:val="both"/>
        <w:textAlignment w:val="auto"/>
        <w:outlineLvl w:val="9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按照市本级预算绩效管理工作的总体要求，2025年我单位整体支出</w:t>
      </w:r>
      <w:r>
        <w:rPr>
          <w:rFonts w:eastAsia="仿宋_GB2312"/>
          <w:b w:val="0"/>
          <w:bCs w:val="0"/>
          <w:sz w:val="32"/>
          <w:szCs w:val="32"/>
          <w:lang w:val="en-US" w:eastAsia="zh-CN"/>
        </w:rPr>
        <w:t xml:space="preserve"> 267.19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万元，全部实行整体支出绩效目标管理，编报绩效目标的项目</w:t>
      </w:r>
      <w:r>
        <w:rPr>
          <w:rFonts w:eastAsia="仿宋_GB2312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个，涉及项目支出</w:t>
      </w:r>
      <w:r>
        <w:rPr>
          <w:rFonts w:eastAsia="仿宋_GB2312"/>
          <w:sz w:val="32"/>
          <w:szCs w:val="32"/>
          <w:lang w:eastAsia="zh-CN"/>
        </w:rPr>
        <w:t>80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万元，全部实行项目支出绩效目标管理。</w:t>
      </w:r>
    </w:p>
    <w:p w14:paraId="60C8B5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43" w:firstLineChars="200"/>
        <w:jc w:val="both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（五） 国有资产占用情况</w:t>
      </w:r>
    </w:p>
    <w:p w14:paraId="12B346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27" w:firstLineChars="196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1.截至2024年12月31日，本单位无车辆。单位价值50 万元以上通用设备0台（套），单价100 万元以上专用设备0台（套）。</w:t>
      </w:r>
    </w:p>
    <w:p w14:paraId="6CFDF8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27" w:firstLineChars="196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2.2025年，本单位无新增车辆，无新增单价50万元以上通用设备；无新增单价100万元以上的专用设备。</w:t>
      </w:r>
    </w:p>
    <w:p w14:paraId="4AA5B068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right="0" w:firstLine="643" w:firstLineChars="200"/>
        <w:jc w:val="both"/>
        <w:textAlignment w:val="auto"/>
        <w:outlineLvl w:val="9"/>
        <w:rPr>
          <w:rFonts w:hint="eastAsia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eastAsia="楷体_GB2312" w:cs="Times New Roman"/>
          <w:b/>
          <w:bCs/>
          <w:color w:val="auto"/>
          <w:sz w:val="32"/>
          <w:szCs w:val="32"/>
          <w:lang w:val="en-US" w:eastAsia="zh-CN"/>
        </w:rPr>
        <w:t>预算绩效目标说明：</w:t>
      </w:r>
      <w:r>
        <w:rPr>
          <w:rFonts w:hint="eastAsia" w:asci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本部门所有支出实行绩效目标管理。纳入2025年部门整体支出绩效目标的金额为</w:t>
      </w:r>
      <w:r>
        <w:rPr>
          <w:rFonts w:eastAsia="仿宋_GB2312"/>
          <w:color w:val="auto"/>
          <w:sz w:val="32"/>
          <w:szCs w:val="32"/>
          <w:lang w:eastAsia="zh-CN"/>
        </w:rPr>
        <w:t>267.19</w:t>
      </w:r>
      <w:r>
        <w:rPr>
          <w:rFonts w:hint="eastAsia" w:asci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万元，其中，基本支出</w:t>
      </w:r>
      <w:r>
        <w:rPr>
          <w:rFonts w:eastAsia="仿宋_GB2312"/>
          <w:color w:val="auto"/>
          <w:sz w:val="32"/>
          <w:szCs w:val="32"/>
          <w:lang w:eastAsia="zh-CN"/>
        </w:rPr>
        <w:t>187.19</w:t>
      </w:r>
      <w:r>
        <w:rPr>
          <w:rFonts w:hint="eastAsia" w:asci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万元，项目支出</w:t>
      </w:r>
      <w:r>
        <w:rPr>
          <w:rFonts w:eastAsia="仿宋_GB2312"/>
          <w:color w:val="auto"/>
          <w:sz w:val="32"/>
          <w:szCs w:val="32"/>
          <w:lang w:eastAsia="zh-CN"/>
        </w:rPr>
        <w:t>8</w:t>
      </w:r>
      <w:bookmarkStart w:id="0" w:name="_GoBack"/>
      <w:bookmarkEnd w:id="0"/>
      <w:r>
        <w:rPr>
          <w:rFonts w:eastAsia="仿宋_GB2312"/>
          <w:color w:val="auto"/>
          <w:sz w:val="32"/>
          <w:szCs w:val="32"/>
          <w:lang w:eastAsia="zh-CN"/>
        </w:rPr>
        <w:t>0</w:t>
      </w:r>
      <w:r>
        <w:rPr>
          <w:rFonts w:hint="eastAsia" w:asci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万元。具体绩效目标详见报表。详见附件2025年项目支出绩效目标表。</w:t>
      </w:r>
    </w:p>
    <w:p w14:paraId="6B3950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43" w:firstLineChars="200"/>
        <w:jc w:val="both"/>
        <w:textAlignment w:val="auto"/>
        <w:outlineLvl w:val="9"/>
        <w:rPr>
          <w:rFonts w:hint="eastAsia" w:eastAsia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（七）一般性支出情况</w:t>
      </w:r>
    </w:p>
    <w:p w14:paraId="16FD4E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40"/>
        <w:jc w:val="both"/>
        <w:textAlignment w:val="auto"/>
        <w:outlineLvl w:val="9"/>
        <w:rPr>
          <w:rFonts w:hint="eastAsia" w:eastAsia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年本部门无会议费预算。</w:t>
      </w:r>
    </w:p>
    <w:p w14:paraId="76A1DE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40"/>
        <w:jc w:val="both"/>
        <w:textAlignment w:val="auto"/>
        <w:outlineLvl w:val="9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202</w:t>
      </w:r>
      <w:r>
        <w:rPr>
          <w:rFonts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年本部门无培训费预算。</w:t>
      </w:r>
    </w:p>
    <w:p w14:paraId="1DDE1C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40"/>
        <w:jc w:val="both"/>
        <w:textAlignment w:val="auto"/>
        <w:outlineLvl w:val="9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202</w:t>
      </w:r>
      <w:r>
        <w:rPr>
          <w:rFonts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年本部门无举办节庆、晚会、论坛、赛事等预算。</w:t>
      </w:r>
    </w:p>
    <w:p w14:paraId="0BABDE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right="0"/>
        <w:jc w:val="both"/>
        <w:textAlignment w:val="auto"/>
        <w:outlineLvl w:val="9"/>
        <w:rPr>
          <w:rFonts w:hint="eastAsia" w:eastAsia="仿宋_GB2312"/>
          <w:color w:val="auto"/>
          <w:sz w:val="32"/>
          <w:szCs w:val="32"/>
          <w:lang w:eastAsia="zh-CN"/>
        </w:rPr>
      </w:pPr>
    </w:p>
    <w:p w14:paraId="609D95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40" w:firstLineChars="200"/>
        <w:jc w:val="both"/>
        <w:textAlignment w:val="auto"/>
        <w:outlineLvl w:val="9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七、</w:t>
      </w:r>
      <w:r>
        <w:rPr>
          <w:rFonts w:hint="eastAsia" w:eastAsia="黑体"/>
          <w:sz w:val="32"/>
          <w:szCs w:val="32"/>
        </w:rPr>
        <w:t>专业名词解释</w:t>
      </w:r>
    </w:p>
    <w:p w14:paraId="00BE21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43" w:firstLineChars="200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b/>
          <w:bCs/>
          <w:sz w:val="32"/>
          <w:szCs w:val="32"/>
          <w:lang w:val="en-US" w:eastAsia="zh-CN"/>
        </w:rPr>
        <w:t>1.机关运行经费：</w:t>
      </w:r>
      <w:r>
        <w:rPr>
          <w:rFonts w:hint="eastAsia" w:eastAsia="仿宋_GB2312"/>
          <w:sz w:val="32"/>
          <w:szCs w:val="32"/>
          <w:lang w:val="en-US" w:eastAsia="zh-CN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14:paraId="174212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43" w:firstLineChars="200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b/>
          <w:bCs/>
          <w:sz w:val="32"/>
          <w:szCs w:val="32"/>
          <w:lang w:val="en-US" w:eastAsia="zh-CN"/>
        </w:rPr>
        <w:t>2.一般公共预算“三公”经费：</w:t>
      </w:r>
      <w:r>
        <w:rPr>
          <w:rFonts w:hint="eastAsia" w:eastAsia="仿宋_GB2312"/>
          <w:sz w:val="32"/>
          <w:szCs w:val="32"/>
          <w:lang w:val="en-US" w:eastAsia="zh-CN"/>
        </w:rPr>
        <w:t>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14:paraId="4CFDE2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9" w:lineRule="auto"/>
        <w:ind w:left="0" w:right="0" w:firstLine="640" w:firstLineChars="200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兰亭黑_GBK">
    <w:altName w:val="Arial Unicode MS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永中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永中楷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96CFF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B8205">
    <w:pPr>
      <w:pStyle w:val="6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2390" cy="133350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694" cy="133159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0DBCDB07">
                          <w:pPr>
                            <w:pStyle w:val="6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Text Box 1" o:spid="_x0000_s1026" o:spt="1" style="position:absolute;left:0pt;margin-top:0pt;height:10.5pt;width:5.7pt;mso-position-horizontal:center;mso-position-horizontal-relative:margin;mso-wrap-distance-bottom:0pt;mso-wrap-distance-left:0pt;mso-wrap-distance-right:0pt;mso-wrap-distance-top:0pt;mso-wrap-style:none;z-index:251659264;mso-width-relative:page;mso-height-relative:page;" filled="f" stroked="f" coordsize="21600,21600" o:gfxdata="UEsDBAoAAAAAAIdO4kAAAAAAAAAAAAAAAAAEAAAAZHJzL1BLAwQUAAAACACHTuJAyGpc7tEAAAAD&#10;AQAADwAAAGRycy9kb3ducmV2LnhtbE2PzWrDMBCE74W+g9hAb41kU0pwLecQCLSllzh9gI21/qHS&#10;ykhKnL59lV7ay8Iww8y39fbqrLhQiJNnDcVagSDuvJl40PB53D9uQMSEbNB6Jg3fFGHb3N/VWBm/&#10;8IEubRpELuFYoYYxpbmSMnYjOYxrPxNnr/fBYcoyDNIEXHK5s7JU6lk6nDgvjDjTbqTuqz07DfLY&#10;7pdNa4Py72X/Yd9eDz15rR9WhXoBkeia/sJww8/o0GSmkz+zicJqyI+k33vziicQJw1loUA2tfzP&#10;3vwAUEsDBBQAAAAIAIdO4kAGoHYW9QEAAPIDAAAOAAAAZHJzL2Uyb0RvYy54bWytU8tu2zAQvBfo&#10;PxC817KcOq0Fy0FbI0WBogmQ9APWFGUR4Atc2pL79V1Ssh2klxx6IYfkcrgzu1zfDUazowyonK15&#10;OZtzJq1wjbL7mv9+vv/wmTOMYBvQzsqanyTyu837d+veV3LhOqcbGRiRWKx6X/MuRl8VBYpOGsCZ&#10;89LSYeuCgUjLsC+aAD2xG10s5vPboneh8cEJiUi72/GQT4zhLYSubZWQWycORto4sgapIZIk7JRH&#10;vsnZtq0U8aFtUUama05KYx7pEcK7NBabNVT7AL5TYkoB3pLCK00GlKVHL1RbiMAOQf1DZZQIDl0b&#10;Z8KZYhSSHSEV5fyVN08deJm1kNXoL6bj/6MVv46PgamGOoEzC4YK/iyHyL66gZXJnd5jRUFP/jFM&#10;KySYpA5tMGkmEWzIjp4ujiYKQZufFrerj5wJOilvbsrlKlEW17s+YPwunWEJ1DxQvbKNcPyJcQw9&#10;h6SnrLtXWtM+VNqyvuar5WJJ9EB92FL9CRpPWtDuM82L+ESzBezYEagV0GnVjMU3KsokjbLSlqYk&#10;eJSYUBx2Ax0muHPNibyir0OZdi784aynxqm5pX/Cmf5hqS6px84gnMHuDMAKulhzSnSE3+LYiwcf&#10;1L4j3jLnjf7LIZLWbMH17Sk7aoWc7tS2qddernPU9atu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Ialzu0QAAAAMBAAAPAAAAAAAAAAEAIAAAACIAAABkcnMvZG93bnJldi54bWxQSwECFAAUAAAA&#10;CACHTuJABqB2FvUBAADyAwAADgAAAAAAAAABACAAAAAgAQAAZHJzL2Uyb0RvYy54bWxQSwUGAAAA&#10;AAYABgBZAQAAhwUAAAAA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0DBCDB07">
                    <w:pPr>
                      <w:pStyle w:val="6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2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9154E"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21379D"/>
    <w:multiLevelType w:val="singleLevel"/>
    <w:tmpl w:val="2521379D"/>
    <w:lvl w:ilvl="0" w:tentative="0">
      <w:start w:val="6"/>
      <w:numFmt w:val="chineseCounting"/>
      <w:suff w:val="nothing"/>
      <w:lvlText w:val="（%1）"/>
      <w:lvlJc w:val="left"/>
      <w:pPr>
        <w:ind w:left="0" w:firstLine="0"/>
      </w:pPr>
      <w:rPr>
        <w:rFonts w:hint="eastAsia"/>
        <w:b/>
        <w:bCs/>
      </w:rPr>
    </w:lvl>
  </w:abstractNum>
  <w:abstractNum w:abstractNumId="1">
    <w:nsid w:val="4FA37513"/>
    <w:multiLevelType w:val="multilevel"/>
    <w:tmpl w:val="4FA37513"/>
    <w:lvl w:ilvl="0" w:tentative="0">
      <w:start w:val="1"/>
      <w:numFmt w:val="chineseCountingThousand"/>
      <w:lvlText w:val="（%1）"/>
      <w:lvlJc w:val="left"/>
      <w:pPr>
        <w:ind w:left="1574" w:hanging="947"/>
      </w:pPr>
      <w:rPr>
        <w:rFonts w:hint="default" w:ascii="仿宋" w:hAnsi="仿宋"/>
      </w:rPr>
    </w:lvl>
    <w:lvl w:ilvl="1" w:tentative="0">
      <w:start w:val="1"/>
      <w:numFmt w:val="lowerLetter"/>
      <w:lvlText w:val="%2)"/>
      <w:lvlJc w:val="left"/>
      <w:pPr>
        <w:ind w:left="1467" w:hanging="420"/>
      </w:pPr>
    </w:lvl>
    <w:lvl w:ilvl="2" w:tentative="0">
      <w:start w:val="1"/>
      <w:numFmt w:val="lowerRoman"/>
      <w:lvlText w:val="%3."/>
      <w:lvlJc w:val="right"/>
      <w:pPr>
        <w:ind w:left="1887" w:hanging="420"/>
      </w:pPr>
    </w:lvl>
    <w:lvl w:ilvl="3" w:tentative="0">
      <w:start w:val="1"/>
      <w:numFmt w:val="decimal"/>
      <w:lvlText w:val="%4."/>
      <w:lvlJc w:val="left"/>
      <w:pPr>
        <w:ind w:left="2307" w:hanging="420"/>
      </w:pPr>
    </w:lvl>
    <w:lvl w:ilvl="4" w:tentative="0">
      <w:start w:val="1"/>
      <w:numFmt w:val="lowerLetter"/>
      <w:lvlText w:val="%5)"/>
      <w:lvlJc w:val="left"/>
      <w:pPr>
        <w:ind w:left="2727" w:hanging="420"/>
      </w:pPr>
    </w:lvl>
    <w:lvl w:ilvl="5" w:tentative="0">
      <w:start w:val="1"/>
      <w:numFmt w:val="lowerRoman"/>
      <w:lvlText w:val="%6."/>
      <w:lvlJc w:val="right"/>
      <w:pPr>
        <w:ind w:left="3147" w:hanging="420"/>
      </w:pPr>
    </w:lvl>
    <w:lvl w:ilvl="6" w:tentative="0">
      <w:start w:val="1"/>
      <w:numFmt w:val="decimal"/>
      <w:lvlText w:val="%7."/>
      <w:lvlJc w:val="left"/>
      <w:pPr>
        <w:ind w:left="3567" w:hanging="420"/>
      </w:pPr>
    </w:lvl>
    <w:lvl w:ilvl="7" w:tentative="0">
      <w:start w:val="1"/>
      <w:numFmt w:val="lowerLetter"/>
      <w:lvlText w:val="%8)"/>
      <w:lvlJc w:val="left"/>
      <w:pPr>
        <w:ind w:left="3987" w:hanging="420"/>
      </w:pPr>
    </w:lvl>
    <w:lvl w:ilvl="8" w:tentative="0">
      <w:start w:val="1"/>
      <w:numFmt w:val="lowerRoman"/>
      <w:lvlText w:val="%9."/>
      <w:lvlJc w:val="right"/>
      <w:pPr>
        <w:ind w:left="4407" w:hanging="420"/>
      </w:pPr>
    </w:lvl>
  </w:abstractNum>
  <w:abstractNum w:abstractNumId="2">
    <w:nsid w:val="5A7FA2B7"/>
    <w:multiLevelType w:val="singleLevel"/>
    <w:tmpl w:val="5A7FA2B7"/>
    <w:lvl w:ilvl="0" w:tentative="0">
      <w:start w:val="2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3">
    <w:nsid w:val="5A7FA837"/>
    <w:multiLevelType w:val="singleLevel"/>
    <w:tmpl w:val="5A7FA837"/>
    <w:lvl w:ilvl="0" w:tentative="0">
      <w:start w:val="4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BreakWrappedTables/>
    <w:useFELayout/>
    <w:doNotUseIndentAsNumberingTabStop/>
    <w:useAltKinsokuLineBreakRules/>
    <w:splitPgBreakAndParaMark/>
    <w:compatSetting w:name="compatibilityMode" w:uri="http://schemas.microsoft.com/office/word" w:val="11"/>
  </w:compat>
  <w:docVars>
    <w:docVar w:name="commondata" w:val="eyJoZGlkIjoiNjc0NGEzMGUwNWJjMTc3MjYwM2EyOTY0MWE0ZmM0MzEifQ=="/>
  </w:docVars>
  <w:rsids>
    <w:rsidRoot w:val="00000000"/>
    <w:rsid w:val="3A6F37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hAnsi="方正兰亭黑_GBK" w:eastAsia="黑体"/>
      <w:b/>
      <w:bCs/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uiPriority w:val="0"/>
    <w:rPr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character" w:styleId="11">
    <w:name w:val="Strong"/>
    <w:uiPriority w:val="0"/>
    <w:rPr>
      <w:b/>
      <w:bCs/>
    </w:rPr>
  </w:style>
  <w:style w:type="character" w:styleId="12">
    <w:name w:val="page number"/>
    <w:basedOn w:val="10"/>
    <w:uiPriority w:val="0"/>
  </w:style>
  <w:style w:type="character" w:styleId="13">
    <w:name w:val="FollowedHyperlink"/>
    <w:basedOn w:val="10"/>
    <w:qFormat/>
    <w:uiPriority w:val="0"/>
    <w:rPr>
      <w:color w:val="333333"/>
      <w:u w:val="none"/>
    </w:rPr>
  </w:style>
  <w:style w:type="character" w:styleId="14">
    <w:name w:val="Emphasis"/>
    <w:basedOn w:val="10"/>
    <w:uiPriority w:val="0"/>
  </w:style>
  <w:style w:type="character" w:styleId="15">
    <w:name w:val="HTML Definition"/>
    <w:basedOn w:val="10"/>
    <w:qFormat/>
    <w:uiPriority w:val="0"/>
  </w:style>
  <w:style w:type="character" w:styleId="16">
    <w:name w:val="HTML Acronym"/>
    <w:basedOn w:val="10"/>
    <w:uiPriority w:val="0"/>
  </w:style>
  <w:style w:type="character" w:styleId="17">
    <w:name w:val="HTML Variable"/>
    <w:basedOn w:val="10"/>
    <w:qFormat/>
    <w:uiPriority w:val="0"/>
  </w:style>
  <w:style w:type="character" w:styleId="18">
    <w:name w:val="Hyperlink"/>
    <w:basedOn w:val="10"/>
    <w:qFormat/>
    <w:uiPriority w:val="0"/>
    <w:rPr>
      <w:color w:val="333333"/>
      <w:u w:val="none"/>
    </w:rPr>
  </w:style>
  <w:style w:type="character" w:styleId="19">
    <w:name w:val="HTML Code"/>
    <w:basedOn w:val="10"/>
    <w:uiPriority w:val="0"/>
    <w:rPr>
      <w:rFonts w:ascii="Courier New" w:hAnsi="Courier New"/>
      <w:sz w:val="20"/>
    </w:rPr>
  </w:style>
  <w:style w:type="character" w:styleId="20">
    <w:name w:val="HTML Cite"/>
    <w:basedOn w:val="10"/>
    <w:qFormat/>
    <w:uiPriority w:val="0"/>
  </w:style>
  <w:style w:type="character" w:customStyle="1" w:styleId="21">
    <w:name w:val="hj-easyread-speakerprocesser-position-action-icon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/>
        <a:gradFill/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/>
        <a:gradFill/>
      </a:bgFillStyleLst>
    </a:fmtScheme>
  </a:themeElements>
  <a:objectDefaults>
    <a:spDef>
      <a:spPr>
        <a:solidFill>
          <a:srgbClr val="FFFFFF"/>
        </a:solidFill>
        <a:ln w="15875" cap="flat" cmpd="sng">
          <a:solidFill>
            <a:srgbClr val="739CC3"/>
          </a:solidFill>
          <a:prstDash val="solid"/>
          <a:miter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5875" cap="flat" cmpd="sng">
          <a:solidFill>
            <a:srgbClr val="739CC3"/>
          </a:solidFill>
          <a:prstDash val="solid"/>
          <a:miter/>
        </a:ln>
      </a:spPr>
      <a:bodyPr/>
      <a:lstStyle/>
      <a:style>
        <a:lnRef idx="1">
          <a:schemeClr val="accent4">
            <a:shade val="50000"/>
          </a:schemeClr>
        </a:lnRef>
        <a:fillRef idx="0">
          <a:schemeClr val="accent4"/>
        </a:fillRef>
        <a:effectRef idx="0">
          <a:schemeClr val="accent4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微软中国</Company>
  <Pages>7</Pages>
  <Words>2128</Words>
  <Characters>2383</Characters>
  <Lines>137</Lines>
  <Paragraphs>61</Paragraphs>
  <TotalTime>3</TotalTime>
  <ScaleCrop>false</ScaleCrop>
  <LinksUpToDate>false</LinksUpToDate>
  <CharactersWithSpaces>2424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2016-08-17T01:21:00Z</dcterms:created>
  <dc:creator>微软用户</dc:creator>
  <cp:lastModifiedBy>WPS_1621561607</cp:lastModifiedBy>
  <cp:lastPrinted>2022-01-21T06:49:00Z</cp:lastPrinted>
  <dcterms:modified xsi:type="dcterms:W3CDTF">2025-02-05T03:15:17Z</dcterms:modified>
  <dc:title>科学技术部2012年部门预算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eyJoZGlkIjoiMWRkMTc4MmFlNmUxZWVhNzFlZDkxNWE1OWRlZTgxN2QiLCJ1c2VySWQiOiIxMjE0NTQ1Mjc2In0=</vt:lpwstr>
  </property>
  <property fmtid="{D5CDD505-2E9C-101B-9397-08002B2CF9AE}" pid="4" name="ICV">
    <vt:lpwstr>A20EAF9DA46E485E8F9570648AC2452E_12</vt:lpwstr>
  </property>
</Properties>
</file>