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E32EC">
      <w:pPr>
        <w:pStyle w:val="9"/>
        <w:jc w:val="center"/>
        <w:rPr>
          <w:rFonts w:hint="eastAsia" w:ascii="方正小标宋_GBK" w:hAnsi="方正小标宋_GBK" w:eastAsia="方正小标宋_GBK" w:cs="方正小标宋_GBK"/>
          <w:color w:val="auto"/>
          <w:sz w:val="56"/>
          <w:szCs w:val="56"/>
          <w:highlight w:val="none"/>
        </w:rPr>
      </w:pPr>
    </w:p>
    <w:p w14:paraId="659C9D53">
      <w:pPr>
        <w:pStyle w:val="9"/>
        <w:jc w:val="center"/>
        <w:rPr>
          <w:color w:val="auto"/>
          <w:sz w:val="56"/>
          <w:szCs w:val="56"/>
          <w:highlight w:val="none"/>
        </w:rPr>
      </w:pPr>
    </w:p>
    <w:p w14:paraId="107B0219">
      <w:pPr>
        <w:pStyle w:val="9"/>
        <w:jc w:val="center"/>
        <w:rPr>
          <w:color w:val="auto"/>
          <w:sz w:val="32"/>
          <w:szCs w:val="32"/>
          <w:highlight w:val="none"/>
        </w:rPr>
      </w:pPr>
    </w:p>
    <w:p w14:paraId="254008BB">
      <w:pPr>
        <w:pStyle w:val="9"/>
        <w:jc w:val="center"/>
        <w:rPr>
          <w:color w:val="auto"/>
          <w:sz w:val="32"/>
          <w:szCs w:val="32"/>
          <w:highlight w:val="none"/>
        </w:rPr>
      </w:pPr>
    </w:p>
    <w:p w14:paraId="155ED495">
      <w:pPr>
        <w:pStyle w:val="9"/>
        <w:spacing w:line="540" w:lineRule="exact"/>
        <w:jc w:val="center"/>
        <w:rPr>
          <w:color w:val="auto"/>
          <w:sz w:val="56"/>
          <w:szCs w:val="56"/>
          <w:highlight w:val="none"/>
        </w:rPr>
      </w:pPr>
    </w:p>
    <w:p w14:paraId="77356FF6">
      <w:pPr>
        <w:pStyle w:val="9"/>
        <w:spacing w:line="500" w:lineRule="exact"/>
        <w:jc w:val="both"/>
        <w:rPr>
          <w:b/>
          <w:color w:val="auto"/>
          <w:sz w:val="36"/>
          <w:szCs w:val="28"/>
          <w:highlight w:val="none"/>
        </w:rPr>
      </w:pPr>
    </w:p>
    <w:p w14:paraId="4C1DBA8C">
      <w:pPr>
        <w:pStyle w:val="9"/>
        <w:jc w:val="center"/>
        <w:rPr>
          <w:rFonts w:hint="eastAsia" w:ascii="黑体" w:hAnsi="黑体" w:eastAsia="黑体" w:cs="黑体"/>
          <w:color w:val="auto"/>
          <w:sz w:val="84"/>
          <w:szCs w:val="84"/>
          <w:highlight w:val="none"/>
        </w:rPr>
      </w:pPr>
      <w:r>
        <w:rPr>
          <w:rFonts w:hint="eastAsia" w:ascii="黑体" w:hAnsi="黑体" w:eastAsia="黑体" w:cs="黑体"/>
          <w:color w:val="auto"/>
          <w:sz w:val="84"/>
          <w:szCs w:val="84"/>
          <w:highlight w:val="none"/>
        </w:rPr>
        <w:t>202</w:t>
      </w:r>
      <w:r>
        <w:rPr>
          <w:rFonts w:hint="eastAsia" w:ascii="黑体" w:hAnsi="黑体" w:eastAsia="黑体" w:cs="黑体"/>
          <w:color w:val="auto"/>
          <w:sz w:val="84"/>
          <w:szCs w:val="84"/>
          <w:highlight w:val="none"/>
          <w:lang w:val="en-US" w:eastAsia="zh-CN"/>
        </w:rPr>
        <w:t>2</w:t>
      </w:r>
      <w:r>
        <w:rPr>
          <w:rFonts w:hint="eastAsia" w:ascii="黑体" w:hAnsi="黑体" w:eastAsia="黑体" w:cs="黑体"/>
          <w:color w:val="auto"/>
          <w:sz w:val="84"/>
          <w:szCs w:val="84"/>
          <w:highlight w:val="none"/>
        </w:rPr>
        <w:t>年度</w:t>
      </w:r>
    </w:p>
    <w:p w14:paraId="50048690">
      <w:pPr>
        <w:pStyle w:val="9"/>
        <w:jc w:val="center"/>
        <w:rPr>
          <w:rFonts w:hint="default" w:ascii="黑体" w:hAnsi="黑体" w:eastAsia="黑体" w:cs="黑体"/>
          <w:color w:val="auto"/>
          <w:sz w:val="84"/>
          <w:szCs w:val="84"/>
          <w:highlight w:val="none"/>
          <w:lang w:val="en-US" w:eastAsia="zh-CN"/>
        </w:rPr>
      </w:pPr>
      <w:r>
        <w:rPr>
          <w:rFonts w:hint="eastAsia" w:hAnsi="黑体" w:cs="黑体"/>
          <w:color w:val="auto"/>
          <w:sz w:val="84"/>
          <w:szCs w:val="84"/>
          <w:highlight w:val="none"/>
          <w:lang w:eastAsia="zh-CN"/>
        </w:rPr>
        <w:t>怀化市信访局</w:t>
      </w:r>
      <w:r>
        <w:rPr>
          <w:rFonts w:hint="eastAsia" w:ascii="黑体" w:hAnsi="黑体" w:eastAsia="黑体" w:cs="黑体"/>
          <w:color w:val="auto"/>
          <w:sz w:val="84"/>
          <w:szCs w:val="84"/>
          <w:highlight w:val="none"/>
        </w:rPr>
        <w:t>部门决算</w:t>
      </w:r>
      <w:r>
        <w:rPr>
          <w:rFonts w:hint="eastAsia" w:hAnsi="黑体" w:cs="黑体"/>
          <w:color w:val="auto"/>
          <w:sz w:val="84"/>
          <w:szCs w:val="84"/>
          <w:highlight w:val="none"/>
          <w:lang w:val="en-US" w:eastAsia="zh-CN"/>
        </w:rPr>
        <w:t>公开说明</w:t>
      </w:r>
    </w:p>
    <w:p w14:paraId="4154249D">
      <w:pPr>
        <w:pStyle w:val="9"/>
        <w:jc w:val="center"/>
        <w:rPr>
          <w:rFonts w:hint="eastAsia" w:ascii="方正小标宋_GBK" w:hAnsi="方正小标宋_GBK" w:eastAsia="方正小标宋_GBK" w:cs="方正小标宋_GBK"/>
          <w:color w:val="auto"/>
          <w:sz w:val="56"/>
          <w:szCs w:val="56"/>
          <w:highlight w:val="none"/>
        </w:rPr>
      </w:pPr>
    </w:p>
    <w:p w14:paraId="1D00AFFB">
      <w:pPr>
        <w:pStyle w:val="9"/>
        <w:jc w:val="center"/>
        <w:rPr>
          <w:color w:val="auto"/>
          <w:sz w:val="56"/>
          <w:szCs w:val="56"/>
          <w:highlight w:val="none"/>
        </w:rPr>
      </w:pPr>
    </w:p>
    <w:p w14:paraId="36638331">
      <w:pPr>
        <w:pStyle w:val="9"/>
        <w:jc w:val="center"/>
        <w:rPr>
          <w:color w:val="auto"/>
          <w:sz w:val="56"/>
          <w:szCs w:val="56"/>
          <w:highlight w:val="none"/>
        </w:rPr>
      </w:pPr>
    </w:p>
    <w:p w14:paraId="4DC3EA1B">
      <w:pPr>
        <w:pStyle w:val="9"/>
        <w:jc w:val="center"/>
        <w:rPr>
          <w:color w:val="auto"/>
          <w:sz w:val="56"/>
          <w:szCs w:val="56"/>
          <w:highlight w:val="none"/>
        </w:rPr>
      </w:pPr>
    </w:p>
    <w:p w14:paraId="30B389A7">
      <w:pPr>
        <w:pStyle w:val="9"/>
        <w:jc w:val="center"/>
        <w:rPr>
          <w:color w:val="auto"/>
          <w:sz w:val="32"/>
          <w:szCs w:val="32"/>
          <w:highlight w:val="none"/>
        </w:rPr>
      </w:pPr>
    </w:p>
    <w:p w14:paraId="2D8C5ED9">
      <w:pPr>
        <w:pStyle w:val="9"/>
        <w:jc w:val="center"/>
        <w:rPr>
          <w:color w:val="auto"/>
          <w:sz w:val="32"/>
          <w:szCs w:val="32"/>
          <w:highlight w:val="none"/>
        </w:rPr>
      </w:pPr>
    </w:p>
    <w:p w14:paraId="643B3B26">
      <w:pPr>
        <w:pStyle w:val="9"/>
        <w:spacing w:line="540" w:lineRule="exact"/>
        <w:jc w:val="both"/>
        <w:rPr>
          <w:color w:val="auto"/>
          <w:sz w:val="56"/>
          <w:szCs w:val="56"/>
          <w:highlight w:val="none"/>
        </w:rPr>
      </w:pPr>
    </w:p>
    <w:p w14:paraId="47311DC4">
      <w:pPr>
        <w:pStyle w:val="9"/>
        <w:spacing w:line="500" w:lineRule="exact"/>
        <w:jc w:val="both"/>
        <w:rPr>
          <w:b/>
          <w:color w:val="auto"/>
          <w:sz w:val="36"/>
          <w:szCs w:val="28"/>
          <w:highlight w:val="none"/>
        </w:rPr>
      </w:pPr>
    </w:p>
    <w:p w14:paraId="4D995257">
      <w:pPr>
        <w:rPr>
          <w:rFonts w:hint="eastAsia" w:ascii="仿宋_GB2312" w:hAnsi="仿宋" w:eastAsia="仿宋_GB2312" w:cs="仿宋"/>
          <w:b/>
          <w:color w:val="auto"/>
          <w:sz w:val="36"/>
          <w:szCs w:val="28"/>
          <w:highlight w:val="none"/>
        </w:rPr>
      </w:pPr>
      <w:r>
        <w:rPr>
          <w:rFonts w:hint="eastAsia" w:ascii="仿宋_GB2312" w:hAnsi="仿宋" w:eastAsia="仿宋_GB2312" w:cs="仿宋"/>
          <w:b/>
          <w:color w:val="auto"/>
          <w:sz w:val="36"/>
          <w:szCs w:val="28"/>
          <w:highlight w:val="none"/>
        </w:rPr>
        <w:br w:type="page"/>
      </w:r>
    </w:p>
    <w:p w14:paraId="6095DE60">
      <w:pPr>
        <w:pStyle w:val="9"/>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 w:eastAsia="仿宋_GB2312" w:cs="仿宋"/>
          <w:b/>
          <w:color w:val="auto"/>
          <w:sz w:val="36"/>
          <w:szCs w:val="28"/>
          <w:highlight w:val="none"/>
        </w:rPr>
      </w:pPr>
      <w:r>
        <w:rPr>
          <w:rFonts w:hint="eastAsia" w:ascii="仿宋_GB2312" w:hAnsi="仿宋" w:eastAsia="仿宋_GB2312" w:cs="仿宋"/>
          <w:b/>
          <w:color w:val="auto"/>
          <w:sz w:val="36"/>
          <w:szCs w:val="28"/>
          <w:highlight w:val="none"/>
        </w:rPr>
        <w:t>目录</w:t>
      </w:r>
    </w:p>
    <w:p w14:paraId="4C07EE9E">
      <w:pPr>
        <w:pStyle w:val="9"/>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 w:eastAsia="仿宋_GB2312" w:cs="仿宋"/>
          <w:b/>
          <w:color w:val="auto"/>
          <w:sz w:val="36"/>
          <w:szCs w:val="28"/>
          <w:highlight w:val="none"/>
        </w:rPr>
      </w:pPr>
    </w:p>
    <w:p w14:paraId="2014F8E6">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color w:val="auto"/>
          <w:sz w:val="32"/>
          <w:szCs w:val="32"/>
          <w:highlight w:val="none"/>
        </w:rPr>
      </w:pPr>
      <w:r>
        <w:rPr>
          <w:rFonts w:hint="eastAsia" w:ascii="仿宋_GB2312" w:hAnsi="黑体" w:eastAsia="仿宋_GB2312"/>
          <w:b/>
          <w:bCs w:val="0"/>
          <w:color w:val="auto"/>
          <w:sz w:val="32"/>
          <w:szCs w:val="32"/>
          <w:highlight w:val="none"/>
        </w:rPr>
        <w:t>第一部分</w:t>
      </w:r>
      <w:r>
        <w:rPr>
          <w:rFonts w:hint="eastAsia" w:ascii="仿宋_GB2312" w:hAnsi="黑体" w:eastAsia="仿宋_GB2312"/>
          <w:b/>
          <w:bCs w:val="0"/>
          <w:color w:val="auto"/>
          <w:sz w:val="32"/>
          <w:szCs w:val="32"/>
          <w:highlight w:val="none"/>
          <w:lang w:eastAsia="zh-CN"/>
        </w:rPr>
        <w:t>怀化市信访局</w:t>
      </w:r>
      <w:r>
        <w:rPr>
          <w:rFonts w:hint="eastAsia" w:ascii="仿宋_GB2312" w:hAnsi="黑体" w:eastAsia="仿宋_GB2312"/>
          <w:b/>
          <w:bCs w:val="0"/>
          <w:color w:val="auto"/>
          <w:sz w:val="32"/>
          <w:szCs w:val="32"/>
          <w:highlight w:val="none"/>
        </w:rPr>
        <w:t>部门概况</w:t>
      </w:r>
    </w:p>
    <w:p w14:paraId="5A509DE4">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一、部门职责</w:t>
      </w:r>
    </w:p>
    <w:p w14:paraId="3F4EBDC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二、机构设置</w:t>
      </w:r>
    </w:p>
    <w:p w14:paraId="5EF39247">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color w:val="auto"/>
          <w:sz w:val="32"/>
          <w:szCs w:val="32"/>
          <w:highlight w:val="none"/>
        </w:rPr>
      </w:pPr>
      <w:r>
        <w:rPr>
          <w:rFonts w:hint="eastAsia" w:ascii="仿宋_GB2312" w:hAnsi="黑体" w:eastAsia="仿宋_GB2312"/>
          <w:b/>
          <w:bCs w:val="0"/>
          <w:color w:val="auto"/>
          <w:sz w:val="32"/>
          <w:szCs w:val="32"/>
          <w:highlight w:val="none"/>
        </w:rPr>
        <w:t>第二部分部门决算表</w:t>
      </w:r>
    </w:p>
    <w:p w14:paraId="31942E6B">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一、收入支出决算总表</w:t>
      </w:r>
    </w:p>
    <w:p w14:paraId="4BF2987D">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二、收入决算表</w:t>
      </w:r>
    </w:p>
    <w:p w14:paraId="12BA8C3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三、支出决算表</w:t>
      </w:r>
    </w:p>
    <w:p w14:paraId="76041C95">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四、财政拨款收入支出决算总表</w:t>
      </w:r>
    </w:p>
    <w:p w14:paraId="251471CD">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五、一般公共预算财政拨款支出决算表</w:t>
      </w:r>
    </w:p>
    <w:p w14:paraId="25C2FE0A">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六、一般公共预算财政拨款基本支出决算明细表</w:t>
      </w:r>
    </w:p>
    <w:p w14:paraId="2FF12F4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七、政府性基金预算财政拨款收入支出决算表</w:t>
      </w:r>
    </w:p>
    <w:p w14:paraId="0C237548">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八、国有资本经营预算财政拨款支出决算表</w:t>
      </w:r>
    </w:p>
    <w:p w14:paraId="4616FA2D">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九、财政拨款“三公”经费支出决算表</w:t>
      </w:r>
    </w:p>
    <w:p w14:paraId="610C03CE">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color w:val="auto"/>
          <w:sz w:val="32"/>
          <w:szCs w:val="32"/>
          <w:highlight w:val="none"/>
        </w:rPr>
      </w:pPr>
      <w:r>
        <w:rPr>
          <w:rFonts w:hint="eastAsia" w:ascii="仿宋_GB2312" w:hAnsi="黑体" w:eastAsia="仿宋_GB2312"/>
          <w:b/>
          <w:bCs w:val="0"/>
          <w:color w:val="auto"/>
          <w:sz w:val="32"/>
          <w:szCs w:val="32"/>
          <w:highlight w:val="none"/>
        </w:rPr>
        <w:t>第三部分部门决算情况说明</w:t>
      </w:r>
    </w:p>
    <w:p w14:paraId="1DDDC693">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一、收入支出决算总体情况说明</w:t>
      </w:r>
    </w:p>
    <w:p w14:paraId="31FF369A">
      <w:pPr>
        <w:keepNext w:val="0"/>
        <w:keepLines w:val="0"/>
        <w:pageBreakBefore w:val="0"/>
        <w:widowControl w:val="0"/>
        <w:kinsoku/>
        <w:wordWrap/>
        <w:overflowPunct/>
        <w:topLinePunct w:val="0"/>
        <w:bidi w:val="0"/>
        <w:snapToGrid/>
        <w:spacing w:line="600" w:lineRule="exact"/>
        <w:ind w:firstLine="800" w:firstLineChars="25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二、收入决算情况说明</w:t>
      </w:r>
    </w:p>
    <w:p w14:paraId="00D89CEB">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三、支出决算情况说明</w:t>
      </w:r>
    </w:p>
    <w:p w14:paraId="2D893484">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四、财政拨款收入支出决算总体情况说明</w:t>
      </w:r>
    </w:p>
    <w:p w14:paraId="34ACB38B">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五、一般公共预算财政拨款支出决算情况说明</w:t>
      </w:r>
    </w:p>
    <w:p w14:paraId="0887AB0E">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六、一般公共预算财政拨款基本支出决算情况说明</w:t>
      </w:r>
    </w:p>
    <w:p w14:paraId="7502291D">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七、一般公共预算财政拨款三公经费支出决算情况说明</w:t>
      </w:r>
    </w:p>
    <w:p w14:paraId="74BF9466">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八、政府性基金预算收入支出决算情况说明</w:t>
      </w:r>
    </w:p>
    <w:p w14:paraId="55275BF6">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九、国有资本经营预算财政拨款支出决算情况说明</w:t>
      </w:r>
    </w:p>
    <w:p w14:paraId="181AE1F6">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十、关于机关运行经费支出说明</w:t>
      </w:r>
    </w:p>
    <w:p w14:paraId="26DD326E">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十一、一般性支出情况说明</w:t>
      </w:r>
    </w:p>
    <w:p w14:paraId="7F3C6050">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十二、关于政府采购支出说明</w:t>
      </w:r>
    </w:p>
    <w:p w14:paraId="4C1DBF92">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十三、关于国有资产占用情况说明</w:t>
      </w:r>
    </w:p>
    <w:p w14:paraId="239B8F04">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十四、关于预算绩效情况的说明</w:t>
      </w:r>
    </w:p>
    <w:p w14:paraId="3922FECF">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color w:val="auto"/>
          <w:sz w:val="32"/>
          <w:szCs w:val="32"/>
          <w:highlight w:val="none"/>
        </w:rPr>
      </w:pPr>
      <w:r>
        <w:rPr>
          <w:rFonts w:hint="eastAsia" w:ascii="仿宋_GB2312" w:hAnsi="黑体" w:eastAsia="仿宋_GB2312"/>
          <w:b/>
          <w:bCs w:val="0"/>
          <w:color w:val="auto"/>
          <w:sz w:val="32"/>
          <w:szCs w:val="32"/>
          <w:highlight w:val="none"/>
        </w:rPr>
        <w:t>第四部分名词解释</w:t>
      </w:r>
    </w:p>
    <w:p w14:paraId="7EF30E9B">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color w:val="auto"/>
          <w:sz w:val="32"/>
          <w:szCs w:val="32"/>
          <w:highlight w:val="none"/>
        </w:rPr>
      </w:pPr>
      <w:r>
        <w:rPr>
          <w:rFonts w:hint="eastAsia" w:ascii="仿宋_GB2312" w:hAnsi="黑体" w:eastAsia="仿宋_GB2312"/>
          <w:b/>
          <w:bCs w:val="0"/>
          <w:color w:val="auto"/>
          <w:sz w:val="32"/>
          <w:szCs w:val="32"/>
          <w:highlight w:val="none"/>
        </w:rPr>
        <w:t>第五部分附件</w:t>
      </w:r>
    </w:p>
    <w:p w14:paraId="03A69849">
      <w:pPr>
        <w:jc w:val="center"/>
        <w:rPr>
          <w:color w:val="auto"/>
          <w:sz w:val="72"/>
          <w:szCs w:val="72"/>
          <w:highlight w:val="none"/>
        </w:rPr>
      </w:pPr>
    </w:p>
    <w:p w14:paraId="274BC143">
      <w:pPr>
        <w:jc w:val="center"/>
        <w:rPr>
          <w:color w:val="auto"/>
          <w:sz w:val="72"/>
          <w:szCs w:val="72"/>
          <w:highlight w:val="none"/>
        </w:rPr>
      </w:pPr>
    </w:p>
    <w:p w14:paraId="77DD5C07">
      <w:pPr>
        <w:jc w:val="both"/>
        <w:rPr>
          <w:color w:val="auto"/>
          <w:sz w:val="72"/>
          <w:szCs w:val="72"/>
          <w:highlight w:val="none"/>
        </w:rPr>
      </w:pPr>
    </w:p>
    <w:p w14:paraId="44120EF0">
      <w:pPr>
        <w:rPr>
          <w:rFonts w:hint="eastAsia" w:ascii="方正小标宋_GBK" w:hAnsi="方正小标宋_GBK" w:eastAsia="方正小标宋_GBK" w:cs="方正小标宋_GBK"/>
          <w:color w:val="auto"/>
          <w:sz w:val="72"/>
          <w:szCs w:val="72"/>
          <w:highlight w:val="none"/>
        </w:rPr>
      </w:pPr>
    </w:p>
    <w:p w14:paraId="4209BC77">
      <w:pPr>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rPr>
        <w:br w:type="page"/>
      </w:r>
    </w:p>
    <w:p w14:paraId="6343BF91">
      <w:pPr>
        <w:pStyle w:val="9"/>
        <w:jc w:val="center"/>
        <w:rPr>
          <w:rFonts w:hint="eastAsia" w:ascii="黑体" w:hAnsi="黑体" w:eastAsia="黑体" w:cs="黑体"/>
          <w:color w:val="auto"/>
          <w:sz w:val="44"/>
          <w:szCs w:val="44"/>
          <w:highlight w:val="none"/>
          <w:lang w:eastAsia="zh-CN"/>
        </w:rPr>
      </w:pPr>
      <w:r>
        <w:rPr>
          <w:rFonts w:hint="eastAsia" w:ascii="黑体" w:hAnsi="黑体" w:eastAsia="黑体" w:cs="黑体"/>
          <w:color w:val="auto"/>
          <w:sz w:val="44"/>
          <w:szCs w:val="44"/>
          <w:highlight w:val="none"/>
        </w:rPr>
        <w:t>第一部分</w:t>
      </w:r>
    </w:p>
    <w:p w14:paraId="5EB24F65">
      <w:pPr>
        <w:pStyle w:val="9"/>
        <w:jc w:val="center"/>
        <w:rPr>
          <w:color w:val="auto"/>
          <w:sz w:val="72"/>
          <w:szCs w:val="72"/>
          <w:highlight w:val="none"/>
        </w:rPr>
      </w:pPr>
      <w:r>
        <w:rPr>
          <w:rFonts w:hint="eastAsia" w:hAnsi="黑体" w:cs="黑体"/>
          <w:color w:val="auto"/>
          <w:sz w:val="44"/>
          <w:szCs w:val="44"/>
          <w:highlight w:val="none"/>
          <w:lang w:eastAsia="zh-CN"/>
        </w:rPr>
        <w:t>怀化市信访局</w:t>
      </w:r>
      <w:r>
        <w:rPr>
          <w:rFonts w:hint="eastAsia" w:ascii="黑体" w:hAnsi="黑体" w:eastAsia="黑体" w:cs="黑体"/>
          <w:color w:val="auto"/>
          <w:sz w:val="44"/>
          <w:szCs w:val="44"/>
          <w:highlight w:val="none"/>
        </w:rPr>
        <w:t>概况</w:t>
      </w:r>
    </w:p>
    <w:p w14:paraId="2079506A">
      <w:pPr>
        <w:pStyle w:val="10"/>
        <w:numPr>
          <w:ilvl w:val="0"/>
          <w:numId w:val="0"/>
        </w:numPr>
        <w:ind w:leftChars="0"/>
        <w:jc w:val="left"/>
        <w:rPr>
          <w:rFonts w:hint="eastAsia" w:ascii="黑体" w:hAnsi="黑体" w:eastAsia="黑体" w:cs="黑体"/>
          <w:b w:val="0"/>
          <w:bCs w:val="0"/>
          <w:color w:val="auto"/>
          <w:sz w:val="32"/>
          <w:szCs w:val="32"/>
          <w:highlight w:val="none"/>
          <w:lang w:val="en-US" w:eastAsia="zh-CN"/>
        </w:rPr>
      </w:pPr>
    </w:p>
    <w:p w14:paraId="0B3B57EF">
      <w:pPr>
        <w:pStyle w:val="10"/>
        <w:keepNext w:val="0"/>
        <w:keepLines w:val="0"/>
        <w:pageBreakBefore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一、</w:t>
      </w:r>
      <w:r>
        <w:rPr>
          <w:rFonts w:hint="eastAsia" w:ascii="黑体" w:hAnsi="黑体" w:eastAsia="黑体" w:cs="黑体"/>
          <w:b w:val="0"/>
          <w:bCs w:val="0"/>
          <w:color w:val="auto"/>
          <w:sz w:val="32"/>
          <w:szCs w:val="32"/>
          <w:highlight w:val="none"/>
        </w:rPr>
        <w:t>部门职责</w:t>
      </w:r>
    </w:p>
    <w:p w14:paraId="65451693">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rPr>
        <w:t>1、负责处理人民群众给市委、市人民政府的来信，接待群众来访，为领导同志接待上访群众做好组织服务工作；综合分析信访信息，及时、准确地向市委、市人民政府领导同志反映来信来访中提出的重要建议、意见和问题，保证信访渠道畅通。</w:t>
      </w:r>
    </w:p>
    <w:p w14:paraId="680600C1">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rPr>
        <w:t>2、承办上级信访部门和市委、市政府领导同志交办的信访事项，督促检查领导同志批示件的落实情况；向县（市、区）和市直部门交办信访事项，督促检查重要信访事项的处理和落实。</w:t>
      </w:r>
    </w:p>
    <w:p w14:paraId="3C3A6A1C">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rPr>
        <w:t>3、协调处理跨县（市、区）、跨部门的重大信访问题；协调处理群众集体来怀、赴省、赴京上访和异常、突发性信访事件；督促、协调市直各部门和县（市、区）的信访工作。</w:t>
      </w:r>
    </w:p>
    <w:p w14:paraId="281DCC43">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rPr>
        <w:t>4、指导全市信访业务，总结推广信访工作经验，提出改进和加强信访工作的意见和建议。</w:t>
      </w:r>
    </w:p>
    <w:p w14:paraId="4F266487">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rPr>
        <w:t>5、了解并掌握全市信访工作队伍建设情况，提出加强信访队伍建设措施；组织信访干部的培训；指导信访部门办公自动化建设。</w:t>
      </w:r>
    </w:p>
    <w:p w14:paraId="5A03B4DB">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rPr>
        <w:t>6、负责信访工作的调研宣传和信息报送等工作。</w:t>
      </w:r>
    </w:p>
    <w:p w14:paraId="0F871C2A">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0" w:firstLineChars="200"/>
        <w:jc w:val="left"/>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7、承办市委、市人民政府及市委办公室、市人民政府办公室交办的其他事项。</w:t>
      </w:r>
    </w:p>
    <w:p w14:paraId="2604CC4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二、机构设置及决算单位构成</w:t>
      </w:r>
    </w:p>
    <w:p w14:paraId="6E29E55A">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3" w:firstLineChars="200"/>
        <w:jc w:val="left"/>
        <w:textAlignment w:val="auto"/>
        <w:rPr>
          <w:rFonts w:hint="eastAsia" w:ascii="仿宋" w:hAnsi="仿宋" w:eastAsia="仿宋" w:cs="仿宋"/>
          <w:bCs/>
          <w:color w:val="auto"/>
          <w:kern w:val="0"/>
          <w:sz w:val="32"/>
          <w:szCs w:val="32"/>
          <w:highlight w:val="none"/>
          <w:lang w:eastAsia="zh-CN"/>
        </w:rPr>
      </w:pPr>
      <w:r>
        <w:rPr>
          <w:rFonts w:hint="eastAsia" w:ascii="仿宋" w:hAnsi="仿宋" w:eastAsia="仿宋" w:cs="仿宋"/>
          <w:b/>
          <w:bCs w:val="0"/>
          <w:color w:val="auto"/>
          <w:kern w:val="0"/>
          <w:sz w:val="32"/>
          <w:szCs w:val="32"/>
          <w:highlight w:val="none"/>
        </w:rPr>
        <w:t>（一）内设机构设置</w:t>
      </w:r>
      <w:r>
        <w:rPr>
          <w:rFonts w:hint="eastAsia" w:ascii="仿宋" w:hAnsi="仿宋" w:eastAsia="仿宋" w:cs="仿宋"/>
          <w:b/>
          <w:bCs w:val="0"/>
          <w:color w:val="auto"/>
          <w:kern w:val="0"/>
          <w:sz w:val="32"/>
          <w:szCs w:val="32"/>
          <w:highlight w:val="none"/>
          <w:lang w:eastAsia="zh-CN"/>
        </w:rPr>
        <w:t>：</w:t>
      </w:r>
      <w:r>
        <w:rPr>
          <w:rFonts w:hint="eastAsia" w:ascii="仿宋" w:hAnsi="仿宋" w:eastAsia="仿宋" w:cs="仿宋"/>
          <w:color w:val="auto"/>
          <w:kern w:val="0"/>
          <w:sz w:val="32"/>
          <w:szCs w:val="32"/>
          <w:highlight w:val="none"/>
        </w:rPr>
        <w:t>信访局作为一级部门预算单位，内设科室为：办公室、办信科、</w:t>
      </w:r>
      <w:r>
        <w:rPr>
          <w:rFonts w:hint="eastAsia" w:ascii="仿宋" w:hAnsi="仿宋" w:eastAsia="仿宋" w:cs="仿宋"/>
          <w:color w:val="auto"/>
          <w:kern w:val="0"/>
          <w:sz w:val="32"/>
          <w:szCs w:val="32"/>
          <w:highlight w:val="none"/>
          <w:lang w:val="en-US" w:eastAsia="zh-CN"/>
        </w:rPr>
        <w:t>接访一</w:t>
      </w:r>
      <w:r>
        <w:rPr>
          <w:rFonts w:hint="eastAsia" w:ascii="仿宋" w:hAnsi="仿宋" w:eastAsia="仿宋" w:cs="仿宋"/>
          <w:color w:val="auto"/>
          <w:kern w:val="0"/>
          <w:sz w:val="32"/>
          <w:szCs w:val="32"/>
          <w:highlight w:val="none"/>
        </w:rPr>
        <w:t>科、</w:t>
      </w:r>
      <w:r>
        <w:rPr>
          <w:rFonts w:hint="eastAsia" w:ascii="仿宋" w:hAnsi="仿宋" w:eastAsia="仿宋" w:cs="仿宋"/>
          <w:color w:val="auto"/>
          <w:kern w:val="0"/>
          <w:sz w:val="32"/>
          <w:szCs w:val="32"/>
          <w:highlight w:val="none"/>
          <w:lang w:val="en-US" w:eastAsia="zh-CN"/>
        </w:rPr>
        <w:t>政策法规</w:t>
      </w:r>
      <w:r>
        <w:rPr>
          <w:rFonts w:hint="eastAsia" w:ascii="仿宋" w:hAnsi="仿宋" w:eastAsia="仿宋" w:cs="仿宋"/>
          <w:color w:val="auto"/>
          <w:kern w:val="0"/>
          <w:sz w:val="32"/>
          <w:szCs w:val="32"/>
          <w:highlight w:val="none"/>
        </w:rPr>
        <w:t>科、综合督查科、驻京劝返科和</w:t>
      </w:r>
      <w:r>
        <w:rPr>
          <w:rFonts w:hint="eastAsia" w:ascii="仿宋" w:hAnsi="仿宋" w:eastAsia="仿宋" w:cs="仿宋"/>
          <w:color w:val="auto"/>
          <w:kern w:val="0"/>
          <w:sz w:val="32"/>
          <w:szCs w:val="32"/>
          <w:highlight w:val="none"/>
          <w:lang w:val="en-US" w:eastAsia="zh-CN"/>
        </w:rPr>
        <w:t>接访二</w:t>
      </w:r>
      <w:r>
        <w:rPr>
          <w:rFonts w:hint="eastAsia" w:ascii="仿宋" w:hAnsi="仿宋" w:eastAsia="仿宋" w:cs="仿宋"/>
          <w:color w:val="auto"/>
          <w:kern w:val="0"/>
          <w:sz w:val="32"/>
          <w:szCs w:val="32"/>
          <w:highlight w:val="none"/>
        </w:rPr>
        <w:t>科7个职能科室。怀化市信访局是一个全额拨款的行政单位，到目前为止，现有编制2</w:t>
      </w:r>
      <w:r>
        <w:rPr>
          <w:rFonts w:hint="eastAsia" w:ascii="仿宋" w:hAnsi="仿宋" w:eastAsia="仿宋" w:cs="仿宋"/>
          <w:color w:val="auto"/>
          <w:kern w:val="0"/>
          <w:sz w:val="32"/>
          <w:szCs w:val="32"/>
          <w:highlight w:val="none"/>
          <w:lang w:val="en-US" w:eastAsia="zh-CN"/>
        </w:rPr>
        <w:t>7</w:t>
      </w:r>
      <w:r>
        <w:rPr>
          <w:rFonts w:hint="eastAsia" w:ascii="仿宋" w:hAnsi="仿宋" w:eastAsia="仿宋" w:cs="仿宋"/>
          <w:color w:val="auto"/>
          <w:kern w:val="0"/>
          <w:sz w:val="32"/>
          <w:szCs w:val="32"/>
          <w:highlight w:val="none"/>
        </w:rPr>
        <w:t>名，其中行政编制1</w:t>
      </w:r>
      <w:r>
        <w:rPr>
          <w:rFonts w:hint="eastAsia" w:ascii="仿宋" w:hAnsi="仿宋" w:eastAsia="仿宋" w:cs="仿宋"/>
          <w:color w:val="auto"/>
          <w:kern w:val="0"/>
          <w:sz w:val="32"/>
          <w:szCs w:val="32"/>
          <w:highlight w:val="none"/>
          <w:lang w:val="en-US" w:eastAsia="zh-CN"/>
        </w:rPr>
        <w:t>9</w:t>
      </w:r>
      <w:r>
        <w:rPr>
          <w:rFonts w:hint="eastAsia" w:ascii="仿宋" w:hAnsi="仿宋" w:eastAsia="仿宋" w:cs="仿宋"/>
          <w:color w:val="auto"/>
          <w:kern w:val="0"/>
          <w:sz w:val="32"/>
          <w:szCs w:val="32"/>
          <w:highlight w:val="none"/>
        </w:rPr>
        <w:t>名，全额拨款事业编制8名。现有小车2台。</w:t>
      </w:r>
    </w:p>
    <w:p w14:paraId="6A1F6D4F">
      <w:pPr>
        <w:keepNext w:val="0"/>
        <w:keepLines w:val="0"/>
        <w:pageBreakBefore w:val="0"/>
        <w:widowControl/>
        <w:suppressLineNumbers w:val="0"/>
        <w:kinsoku/>
        <w:wordWrap/>
        <w:overflowPunct/>
        <w:topLinePunct w:val="0"/>
        <w:autoSpaceDE/>
        <w:autoSpaceDN/>
        <w:bidi w:val="0"/>
        <w:adjustRightInd/>
        <w:snapToGrid/>
        <w:spacing w:afterAutospacing="0" w:line="600" w:lineRule="exact"/>
        <w:ind w:left="0" w:firstLine="643" w:firstLineChars="200"/>
        <w:textAlignment w:val="auto"/>
        <w:rPr>
          <w:rFonts w:hint="eastAsia" w:ascii="仿宋" w:hAnsi="仿宋" w:eastAsia="仿宋" w:cs="仿宋"/>
          <w:bCs/>
          <w:color w:val="auto"/>
          <w:kern w:val="0"/>
          <w:sz w:val="32"/>
          <w:szCs w:val="32"/>
          <w:highlight w:val="none"/>
        </w:rPr>
      </w:pPr>
      <w:r>
        <w:rPr>
          <w:rFonts w:hint="eastAsia" w:ascii="仿宋" w:hAnsi="仿宋" w:eastAsia="仿宋" w:cs="仿宋"/>
          <w:b/>
          <w:bCs w:val="0"/>
          <w:color w:val="auto"/>
          <w:kern w:val="0"/>
          <w:sz w:val="32"/>
          <w:szCs w:val="32"/>
          <w:highlight w:val="none"/>
        </w:rPr>
        <w:t>（二）决算单位构成</w:t>
      </w:r>
      <w:r>
        <w:rPr>
          <w:rFonts w:hint="eastAsia" w:ascii="仿宋" w:hAnsi="仿宋" w:eastAsia="仿宋" w:cs="仿宋"/>
          <w:b/>
          <w:bCs w:val="0"/>
          <w:color w:val="auto"/>
          <w:kern w:val="0"/>
          <w:sz w:val="32"/>
          <w:szCs w:val="32"/>
          <w:highlight w:val="none"/>
          <w:lang w:eastAsia="zh-CN"/>
        </w:rPr>
        <w:t>：</w:t>
      </w:r>
      <w:r>
        <w:rPr>
          <w:rFonts w:hint="eastAsia" w:ascii="仿宋" w:hAnsi="仿宋" w:eastAsia="仿宋" w:cs="仿宋"/>
          <w:color w:val="auto"/>
          <w:kern w:val="0"/>
          <w:sz w:val="32"/>
          <w:szCs w:val="32"/>
          <w:highlight w:val="none"/>
        </w:rPr>
        <w:t>怀化市信访局202</w:t>
      </w:r>
      <w:r>
        <w:rPr>
          <w:rFonts w:hint="eastAsia" w:ascii="仿宋" w:hAnsi="仿宋" w:eastAsia="仿宋" w:cs="仿宋"/>
          <w:color w:val="auto"/>
          <w:kern w:val="0"/>
          <w:sz w:val="32"/>
          <w:szCs w:val="32"/>
          <w:highlight w:val="none"/>
          <w:lang w:val="en-US" w:eastAsia="zh-CN"/>
        </w:rPr>
        <w:t>2</w:t>
      </w:r>
      <w:r>
        <w:rPr>
          <w:rFonts w:hint="eastAsia" w:ascii="仿宋" w:hAnsi="仿宋" w:eastAsia="仿宋" w:cs="仿宋"/>
          <w:color w:val="auto"/>
          <w:kern w:val="0"/>
          <w:sz w:val="32"/>
          <w:szCs w:val="32"/>
          <w:highlight w:val="none"/>
        </w:rPr>
        <w:t>年部门决算汇总公开单位构成包括：怀化市信访局市本级。</w:t>
      </w:r>
    </w:p>
    <w:p w14:paraId="1C534126">
      <w:pPr>
        <w:jc w:val="left"/>
        <w:rPr>
          <w:rFonts w:ascii="仿宋_GB2312" w:eastAsia="仿宋_GB2312" w:hAnsiTheme="minorEastAsia"/>
          <w:color w:val="auto"/>
          <w:sz w:val="28"/>
          <w:szCs w:val="32"/>
          <w:highlight w:val="none"/>
        </w:rPr>
      </w:pPr>
    </w:p>
    <w:p w14:paraId="6B5D9F17">
      <w:pPr>
        <w:jc w:val="center"/>
        <w:rPr>
          <w:color w:val="auto"/>
          <w:sz w:val="72"/>
          <w:szCs w:val="72"/>
          <w:highlight w:val="none"/>
        </w:rPr>
      </w:pPr>
    </w:p>
    <w:p w14:paraId="4EEC13FF">
      <w:pPr>
        <w:pStyle w:val="9"/>
        <w:jc w:val="center"/>
        <w:rPr>
          <w:rFonts w:hint="eastAsia" w:ascii="方正小标宋_GBK" w:hAnsi="方正小标宋_GBK" w:eastAsia="方正小标宋_GBK" w:cs="方正小标宋_GBK"/>
          <w:color w:val="auto"/>
          <w:sz w:val="84"/>
          <w:szCs w:val="84"/>
          <w:highlight w:val="none"/>
        </w:rPr>
      </w:pPr>
    </w:p>
    <w:p w14:paraId="636ADD01">
      <w:pPr>
        <w:pStyle w:val="9"/>
        <w:jc w:val="center"/>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rPr>
        <w:t>第二部分</w:t>
      </w:r>
    </w:p>
    <w:p w14:paraId="33F8A906">
      <w:pPr>
        <w:pStyle w:val="9"/>
        <w:jc w:val="center"/>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rPr>
        <w:t>部门决算表</w:t>
      </w:r>
    </w:p>
    <w:p w14:paraId="57814105">
      <w:pPr>
        <w:pStyle w:val="9"/>
        <w:jc w:val="center"/>
        <w:rPr>
          <w:rFonts w:hint="eastAsia" w:ascii="黑体" w:hAnsi="黑体" w:eastAsia="黑体" w:cs="黑体"/>
          <w:color w:val="auto"/>
          <w:sz w:val="44"/>
          <w:szCs w:val="44"/>
          <w:highlight w:val="none"/>
          <w:lang w:eastAsia="zh-CN"/>
        </w:rPr>
      </w:pPr>
      <w:r>
        <w:rPr>
          <w:rFonts w:hint="eastAsia" w:ascii="黑体" w:hAnsi="黑体" w:eastAsia="黑体" w:cs="黑体"/>
          <w:color w:val="auto"/>
          <w:sz w:val="44"/>
          <w:szCs w:val="44"/>
          <w:highlight w:val="none"/>
          <w:lang w:eastAsia="zh-CN"/>
        </w:rPr>
        <w:t>（</w:t>
      </w:r>
      <w:r>
        <w:rPr>
          <w:rFonts w:hint="eastAsia" w:ascii="黑体" w:hAnsi="黑体" w:eastAsia="黑体" w:cs="黑体"/>
          <w:color w:val="auto"/>
          <w:sz w:val="44"/>
          <w:szCs w:val="44"/>
          <w:highlight w:val="none"/>
          <w:lang w:val="en-US" w:eastAsia="zh-CN"/>
        </w:rPr>
        <w:t>见附件1</w:t>
      </w:r>
      <w:r>
        <w:rPr>
          <w:rFonts w:hint="eastAsia" w:ascii="黑体" w:hAnsi="黑体" w:eastAsia="黑体" w:cs="黑体"/>
          <w:color w:val="auto"/>
          <w:sz w:val="44"/>
          <w:szCs w:val="44"/>
          <w:highlight w:val="none"/>
          <w:lang w:eastAsia="zh-CN"/>
        </w:rPr>
        <w:t>）</w:t>
      </w:r>
    </w:p>
    <w:p w14:paraId="02FE8433">
      <w:pPr>
        <w:pStyle w:val="9"/>
        <w:jc w:val="center"/>
        <w:rPr>
          <w:color w:val="auto"/>
          <w:sz w:val="72"/>
          <w:szCs w:val="72"/>
          <w:highlight w:val="none"/>
        </w:rPr>
      </w:pPr>
    </w:p>
    <w:p w14:paraId="3D2CEC75">
      <w:pPr>
        <w:jc w:val="center"/>
        <w:rPr>
          <w:color w:val="auto"/>
          <w:sz w:val="72"/>
          <w:szCs w:val="72"/>
          <w:highlight w:val="none"/>
        </w:rPr>
      </w:pPr>
    </w:p>
    <w:p w14:paraId="02CB9D6A">
      <w:pPr>
        <w:jc w:val="center"/>
        <w:rPr>
          <w:color w:val="auto"/>
          <w:sz w:val="72"/>
          <w:szCs w:val="72"/>
          <w:highlight w:val="none"/>
        </w:rPr>
      </w:pPr>
    </w:p>
    <w:p w14:paraId="3BD82226">
      <w:pPr>
        <w:jc w:val="center"/>
        <w:rPr>
          <w:color w:val="auto"/>
          <w:sz w:val="72"/>
          <w:szCs w:val="72"/>
          <w:highlight w:val="none"/>
        </w:rPr>
      </w:pPr>
    </w:p>
    <w:p w14:paraId="31D52F46">
      <w:pPr>
        <w:jc w:val="center"/>
        <w:rPr>
          <w:color w:val="auto"/>
          <w:sz w:val="72"/>
          <w:szCs w:val="72"/>
          <w:highlight w:val="none"/>
        </w:rPr>
      </w:pPr>
    </w:p>
    <w:p w14:paraId="7E72756C">
      <w:pPr>
        <w:jc w:val="center"/>
        <w:rPr>
          <w:color w:val="auto"/>
          <w:sz w:val="72"/>
          <w:szCs w:val="72"/>
          <w:highlight w:val="none"/>
        </w:rPr>
      </w:pPr>
    </w:p>
    <w:p w14:paraId="74E0C9DF">
      <w:pPr>
        <w:jc w:val="left"/>
        <w:rPr>
          <w:color w:val="auto"/>
          <w:sz w:val="32"/>
          <w:szCs w:val="32"/>
          <w:highlight w:val="none"/>
        </w:rPr>
      </w:pPr>
    </w:p>
    <w:p w14:paraId="4EE43C75">
      <w:pPr>
        <w:jc w:val="left"/>
        <w:rPr>
          <w:rFonts w:asciiTheme="minorEastAsia" w:hAnsiTheme="minorEastAsia"/>
          <w:color w:val="auto"/>
          <w:sz w:val="32"/>
          <w:szCs w:val="32"/>
          <w:highlight w:val="none"/>
        </w:rPr>
        <w:sectPr>
          <w:pgSz w:w="11906" w:h="16838"/>
          <w:pgMar w:top="720" w:right="720" w:bottom="720" w:left="720" w:header="851" w:footer="992" w:gutter="0"/>
          <w:cols w:space="425" w:num="1"/>
          <w:docGrid w:type="lines" w:linePitch="312" w:charSpace="0"/>
        </w:sectPr>
      </w:pPr>
    </w:p>
    <w:p w14:paraId="15165288">
      <w:pPr>
        <w:autoSpaceDE w:val="0"/>
        <w:autoSpaceDN w:val="0"/>
        <w:adjustRightInd w:val="0"/>
        <w:ind w:left="315" w:leftChars="150"/>
        <w:jc w:val="left"/>
        <w:rPr>
          <w:rFonts w:ascii="宋体" w:eastAsia="宋体" w:cs="宋体"/>
          <w:color w:val="auto"/>
          <w:kern w:val="0"/>
          <w:sz w:val="24"/>
          <w:szCs w:val="24"/>
          <w:highlight w:val="none"/>
        </w:rPr>
      </w:pPr>
    </w:p>
    <w:p w14:paraId="5A2AC6DD">
      <w:pPr>
        <w:pStyle w:val="9"/>
        <w:jc w:val="center"/>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rPr>
        <w:t>第三部分</w:t>
      </w:r>
    </w:p>
    <w:p w14:paraId="5FBFBC93">
      <w:pPr>
        <w:pStyle w:val="9"/>
        <w:jc w:val="center"/>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rPr>
        <w:t>202</w:t>
      </w:r>
      <w:r>
        <w:rPr>
          <w:rFonts w:hint="eastAsia" w:ascii="黑体" w:hAnsi="黑体" w:eastAsia="黑体" w:cs="黑体"/>
          <w:color w:val="auto"/>
          <w:sz w:val="44"/>
          <w:szCs w:val="44"/>
          <w:highlight w:val="none"/>
          <w:lang w:val="en-US" w:eastAsia="zh-CN"/>
        </w:rPr>
        <w:t>2</w:t>
      </w:r>
      <w:r>
        <w:rPr>
          <w:rFonts w:hint="eastAsia" w:ascii="黑体" w:hAnsi="黑体" w:eastAsia="黑体" w:cs="黑体"/>
          <w:color w:val="auto"/>
          <w:sz w:val="44"/>
          <w:szCs w:val="44"/>
          <w:highlight w:val="none"/>
        </w:rPr>
        <w:t>年度部门决算情况说明</w:t>
      </w:r>
    </w:p>
    <w:p w14:paraId="1C650F02">
      <w:pPr>
        <w:widowControl/>
        <w:jc w:val="left"/>
        <w:rPr>
          <w:rFonts w:asciiTheme="minorEastAsia" w:hAnsiTheme="minorEastAsia" w:eastAsiaTheme="minorEastAsia"/>
          <w:color w:val="auto"/>
          <w:sz w:val="32"/>
          <w:szCs w:val="32"/>
          <w:highlight w:val="none"/>
        </w:rPr>
      </w:pPr>
    </w:p>
    <w:p w14:paraId="59B06A5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6C312DE3">
      <w:pPr>
        <w:pStyle w:val="9"/>
        <w:keepNext w:val="0"/>
        <w:keepLines w:val="0"/>
        <w:pageBreakBefore w:val="0"/>
        <w:kinsoku/>
        <w:wordWrap/>
        <w:overflowPunct/>
        <w:topLinePunct w:val="0"/>
        <w:bidi w:val="0"/>
        <w:snapToGrid/>
        <w:spacing w:afterAutospacing="0"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年度收、支总计</w:t>
      </w:r>
      <w:r>
        <w:rPr>
          <w:rFonts w:hint="eastAsia" w:ascii="仿宋" w:hAnsi="仿宋" w:eastAsia="仿宋" w:cs="仿宋"/>
          <w:color w:val="auto"/>
          <w:sz w:val="32"/>
          <w:szCs w:val="32"/>
          <w:highlight w:val="none"/>
        </w:rPr>
        <w:t>均为</w:t>
      </w:r>
      <w:r>
        <w:rPr>
          <w:rFonts w:hint="eastAsia" w:ascii="Times New Roman" w:hAnsi="Times New Roman" w:eastAsia="仿宋_GB2312"/>
          <w:color w:val="auto"/>
          <w:sz w:val="32"/>
          <w:szCs w:val="32"/>
          <w:highlight w:val="none"/>
          <w:lang w:val="en-US" w:eastAsia="zh-CN"/>
        </w:rPr>
        <w:t>876.74</w:t>
      </w:r>
      <w:r>
        <w:rPr>
          <w:rFonts w:hint="eastAsia" w:ascii="Times New Roman" w:hAnsi="Times New Roman" w:eastAsia="仿宋_GB2312"/>
          <w:color w:val="auto"/>
          <w:sz w:val="32"/>
          <w:szCs w:val="32"/>
          <w:highlight w:val="none"/>
        </w:rPr>
        <w:t>万元。与上年相比，减少</w:t>
      </w:r>
      <w:r>
        <w:rPr>
          <w:rFonts w:hint="eastAsia" w:ascii="Times New Roman" w:hAnsi="Times New Roman" w:eastAsia="仿宋_GB2312"/>
          <w:color w:val="auto"/>
          <w:sz w:val="32"/>
          <w:szCs w:val="32"/>
          <w:highlight w:val="none"/>
          <w:lang w:val="en-US" w:eastAsia="zh-CN"/>
        </w:rPr>
        <w:t>121.50</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12.17</w:t>
      </w:r>
      <w:r>
        <w:rPr>
          <w:rFonts w:hint="eastAsia" w:ascii="Times New Roman" w:hAnsi="Times New Roman" w:eastAsia="仿宋_GB2312"/>
          <w:color w:val="auto"/>
          <w:sz w:val="32"/>
          <w:szCs w:val="32"/>
          <w:highlight w:val="none"/>
        </w:rPr>
        <w:t>%，主要是因为</w:t>
      </w:r>
      <w:r>
        <w:rPr>
          <w:rFonts w:hint="eastAsia" w:ascii="仿宋" w:hAnsi="仿宋" w:eastAsia="仿宋" w:cs="仿宋"/>
          <w:color w:val="auto"/>
          <w:sz w:val="32"/>
          <w:szCs w:val="32"/>
          <w:highlight w:val="none"/>
        </w:rPr>
        <w:t>因为</w:t>
      </w:r>
      <w:r>
        <w:rPr>
          <w:rFonts w:hint="eastAsia" w:ascii="仿宋" w:hAnsi="仿宋" w:eastAsia="仿宋" w:cs="仿宋"/>
          <w:color w:val="auto"/>
          <w:sz w:val="32"/>
          <w:szCs w:val="32"/>
          <w:highlight w:val="none"/>
          <w:lang w:val="en-US" w:eastAsia="zh-CN"/>
        </w:rPr>
        <w:t>缩减开支，厉行节俭。</w:t>
      </w:r>
    </w:p>
    <w:p w14:paraId="0695C2BB">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4710009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年度收入合计</w:t>
      </w:r>
      <w:r>
        <w:rPr>
          <w:rFonts w:hint="eastAsia" w:ascii="Times New Roman" w:hAnsi="Times New Roman" w:eastAsia="仿宋_GB2312"/>
          <w:color w:val="auto"/>
          <w:sz w:val="32"/>
          <w:szCs w:val="32"/>
          <w:highlight w:val="none"/>
          <w:lang w:val="en-US" w:eastAsia="zh-CN"/>
        </w:rPr>
        <w:t>876.74</w:t>
      </w:r>
      <w:r>
        <w:rPr>
          <w:rFonts w:hint="eastAsia" w:ascii="Times New Roman" w:hAnsi="Times New Roman" w:eastAsia="仿宋_GB2312"/>
          <w:color w:val="auto"/>
          <w:sz w:val="32"/>
          <w:szCs w:val="32"/>
          <w:highlight w:val="none"/>
        </w:rPr>
        <w:t>万元，其中：财政拨款收入</w:t>
      </w:r>
      <w:r>
        <w:rPr>
          <w:rFonts w:hint="eastAsia" w:ascii="Times New Roman" w:hAnsi="Times New Roman" w:eastAsia="仿宋_GB2312"/>
          <w:color w:val="auto"/>
          <w:sz w:val="32"/>
          <w:szCs w:val="32"/>
          <w:highlight w:val="none"/>
          <w:lang w:val="en-US" w:eastAsia="zh-CN"/>
        </w:rPr>
        <w:t>798.13</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91.03</w:t>
      </w:r>
      <w:r>
        <w:rPr>
          <w:rFonts w:hint="eastAsia" w:ascii="Times New Roman" w:hAnsi="Times New Roman" w:eastAsia="仿宋_GB2312"/>
          <w:color w:val="auto"/>
          <w:sz w:val="32"/>
          <w:szCs w:val="32"/>
          <w:highlight w:val="none"/>
        </w:rPr>
        <w:t>%；其他收入</w:t>
      </w:r>
      <w:r>
        <w:rPr>
          <w:rFonts w:hint="eastAsia" w:ascii="Times New Roman" w:hAnsi="Times New Roman" w:eastAsia="仿宋_GB2312"/>
          <w:color w:val="auto"/>
          <w:sz w:val="32"/>
          <w:szCs w:val="32"/>
          <w:highlight w:val="none"/>
          <w:lang w:val="en-US" w:eastAsia="zh-CN"/>
        </w:rPr>
        <w:t>78.62</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8.97</w:t>
      </w:r>
      <w:r>
        <w:rPr>
          <w:rFonts w:hint="eastAsia" w:ascii="Times New Roman" w:hAnsi="Times New Roman" w:eastAsia="仿宋_GB2312"/>
          <w:color w:val="auto"/>
          <w:sz w:val="32"/>
          <w:szCs w:val="32"/>
          <w:highlight w:val="none"/>
        </w:rPr>
        <w:t>%。</w:t>
      </w:r>
    </w:p>
    <w:p w14:paraId="39AEB73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02AA9C3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年度支出合计</w:t>
      </w:r>
      <w:r>
        <w:rPr>
          <w:rFonts w:hint="eastAsia" w:ascii="Times New Roman" w:hAnsi="Times New Roman" w:eastAsia="仿宋_GB2312"/>
          <w:color w:val="auto"/>
          <w:sz w:val="32"/>
          <w:szCs w:val="32"/>
          <w:highlight w:val="none"/>
          <w:lang w:val="en-US" w:eastAsia="zh-CN"/>
        </w:rPr>
        <w:t>876.74</w:t>
      </w:r>
      <w:r>
        <w:rPr>
          <w:rFonts w:hint="eastAsia" w:ascii="Times New Roman" w:hAnsi="Times New Roman" w:eastAsia="仿宋_GB2312"/>
          <w:color w:val="auto"/>
          <w:sz w:val="32"/>
          <w:szCs w:val="32"/>
          <w:highlight w:val="none"/>
        </w:rPr>
        <w:t>万元，其中：基本支出</w:t>
      </w:r>
      <w:r>
        <w:rPr>
          <w:rFonts w:hint="eastAsia" w:ascii="Times New Roman" w:hAnsi="Times New Roman" w:eastAsia="仿宋_GB2312"/>
          <w:color w:val="auto"/>
          <w:sz w:val="32"/>
          <w:szCs w:val="32"/>
          <w:highlight w:val="none"/>
          <w:lang w:val="en-US" w:eastAsia="zh-CN"/>
        </w:rPr>
        <w:t>669.89</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76.74</w:t>
      </w:r>
      <w:r>
        <w:rPr>
          <w:rFonts w:hint="eastAsia" w:ascii="Times New Roman" w:hAnsi="Times New Roman" w:eastAsia="仿宋_GB2312"/>
          <w:color w:val="auto"/>
          <w:sz w:val="32"/>
          <w:szCs w:val="32"/>
          <w:highlight w:val="none"/>
        </w:rPr>
        <w:t>%；项目支出</w:t>
      </w:r>
      <w:r>
        <w:rPr>
          <w:rFonts w:hint="eastAsia" w:ascii="Times New Roman" w:hAnsi="Times New Roman" w:eastAsia="仿宋_GB2312"/>
          <w:color w:val="auto"/>
          <w:sz w:val="32"/>
          <w:szCs w:val="32"/>
          <w:highlight w:val="none"/>
          <w:lang w:val="en-US" w:eastAsia="zh-CN"/>
        </w:rPr>
        <w:t>203</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23.26</w:t>
      </w:r>
      <w:r>
        <w:rPr>
          <w:rFonts w:hint="eastAsia" w:ascii="Times New Roman" w:hAnsi="Times New Roman" w:eastAsia="仿宋_GB2312"/>
          <w:color w:val="auto"/>
          <w:sz w:val="32"/>
          <w:szCs w:val="32"/>
          <w:highlight w:val="none"/>
        </w:rPr>
        <w:t>%。</w:t>
      </w:r>
    </w:p>
    <w:p w14:paraId="4B3C379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5E365E3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年度财政拨款收、支总计</w:t>
      </w:r>
      <w:r>
        <w:rPr>
          <w:rFonts w:hint="eastAsia" w:ascii="仿宋" w:hAnsi="仿宋" w:eastAsia="仿宋" w:cs="仿宋"/>
          <w:color w:val="auto"/>
          <w:sz w:val="32"/>
          <w:szCs w:val="32"/>
          <w:highlight w:val="none"/>
        </w:rPr>
        <w:t>均为</w:t>
      </w:r>
      <w:r>
        <w:rPr>
          <w:rFonts w:hint="eastAsia" w:ascii="Times New Roman" w:hAnsi="Times New Roman" w:eastAsia="仿宋_GB2312"/>
          <w:color w:val="auto"/>
          <w:sz w:val="32"/>
          <w:szCs w:val="32"/>
          <w:highlight w:val="none"/>
          <w:lang w:val="en-US" w:eastAsia="zh-CN"/>
        </w:rPr>
        <w:t>798.13</w:t>
      </w:r>
      <w:r>
        <w:rPr>
          <w:rFonts w:hint="eastAsia" w:ascii="Times New Roman" w:hAnsi="Times New Roman" w:eastAsia="仿宋_GB2312"/>
          <w:color w:val="auto"/>
          <w:sz w:val="32"/>
          <w:szCs w:val="32"/>
          <w:highlight w:val="none"/>
        </w:rPr>
        <w:t>万元，与上年相比，增加</w:t>
      </w:r>
      <w:r>
        <w:rPr>
          <w:rFonts w:hint="eastAsia" w:ascii="Times New Roman" w:hAnsi="Times New Roman" w:eastAsia="仿宋_GB2312"/>
          <w:color w:val="auto"/>
          <w:sz w:val="32"/>
          <w:szCs w:val="32"/>
          <w:highlight w:val="none"/>
          <w:lang w:val="en-US" w:eastAsia="zh-CN"/>
        </w:rPr>
        <w:t>46.89</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6.24</w:t>
      </w:r>
      <w:r>
        <w:rPr>
          <w:rFonts w:hint="eastAsia" w:ascii="Times New Roman" w:hAnsi="Times New Roman" w:eastAsia="仿宋_GB2312"/>
          <w:color w:val="auto"/>
          <w:sz w:val="32"/>
          <w:szCs w:val="32"/>
          <w:highlight w:val="none"/>
        </w:rPr>
        <w:t>%，主要是因为</w:t>
      </w:r>
      <w:r>
        <w:rPr>
          <w:rFonts w:hint="eastAsia" w:ascii="仿宋" w:hAnsi="仿宋" w:eastAsia="仿宋" w:cs="仿宋"/>
          <w:color w:val="auto"/>
          <w:sz w:val="32"/>
          <w:szCs w:val="32"/>
          <w:highlight w:val="none"/>
          <w:lang w:val="en-US" w:eastAsia="zh-CN"/>
        </w:rPr>
        <w:t>增加驻京劝返办工作经费60万元。</w:t>
      </w:r>
    </w:p>
    <w:p w14:paraId="2CD1DF5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5087C9B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（一）财政拨款支出决算总体情况</w:t>
      </w:r>
    </w:p>
    <w:p w14:paraId="762BFA1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lang w:val="en-US" w:eastAsia="zh-CN"/>
        </w:rPr>
        <w:t>798.13</w:t>
      </w:r>
      <w:r>
        <w:rPr>
          <w:rFonts w:hint="eastAsia" w:ascii="Times New Roman" w:hAnsi="Times New Roman" w:eastAsia="仿宋_GB2312"/>
          <w:color w:val="auto"/>
          <w:sz w:val="32"/>
          <w:szCs w:val="32"/>
          <w:highlight w:val="none"/>
        </w:rPr>
        <w:t>万元，占本年支出合计的</w:t>
      </w:r>
      <w:r>
        <w:rPr>
          <w:rFonts w:hint="eastAsia" w:ascii="Times New Roman" w:hAnsi="Times New Roman" w:eastAsia="仿宋_GB2312"/>
          <w:color w:val="auto"/>
          <w:sz w:val="32"/>
          <w:szCs w:val="32"/>
          <w:highlight w:val="none"/>
          <w:lang w:val="en-US" w:eastAsia="zh-CN"/>
        </w:rPr>
        <w:t>91.03</w:t>
      </w:r>
      <w:r>
        <w:rPr>
          <w:rFonts w:hint="eastAsia" w:ascii="Times New Roman" w:hAnsi="Times New Roman" w:eastAsia="仿宋_GB2312"/>
          <w:color w:val="auto"/>
          <w:sz w:val="32"/>
          <w:szCs w:val="32"/>
          <w:highlight w:val="none"/>
        </w:rPr>
        <w:t>%，与上年相比，财政拨款支出增加</w:t>
      </w:r>
      <w:r>
        <w:rPr>
          <w:rFonts w:hint="eastAsia" w:ascii="Times New Roman" w:hAnsi="Times New Roman" w:eastAsia="仿宋_GB2312"/>
          <w:color w:val="auto"/>
          <w:sz w:val="32"/>
          <w:szCs w:val="32"/>
          <w:highlight w:val="none"/>
          <w:lang w:val="en-US" w:eastAsia="zh-CN"/>
        </w:rPr>
        <w:t>46.89</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6.24</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lang w:val="en-US" w:eastAsia="zh-CN"/>
        </w:rPr>
        <w:t>增加驻京劝返办工作经费60万元。</w:t>
      </w:r>
    </w:p>
    <w:p w14:paraId="7AEC10C9">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（二）财政拨款支出决算结构情况</w:t>
      </w:r>
    </w:p>
    <w:p w14:paraId="2F765401">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lang w:val="en-US" w:eastAsia="zh-CN"/>
        </w:rPr>
        <w:t>798.13</w:t>
      </w:r>
      <w:r>
        <w:rPr>
          <w:rFonts w:hint="eastAsia" w:ascii="Times New Roman" w:hAnsi="Times New Roman" w:eastAsia="仿宋_GB2312"/>
          <w:color w:val="auto"/>
          <w:sz w:val="32"/>
          <w:szCs w:val="32"/>
          <w:highlight w:val="none"/>
        </w:rPr>
        <w:t>万元，主要用于以下方面：一般公共服务（类）支出</w:t>
      </w:r>
      <w:r>
        <w:rPr>
          <w:rFonts w:hint="eastAsia" w:ascii="Times New Roman" w:hAnsi="Times New Roman" w:eastAsia="仿宋_GB2312"/>
          <w:color w:val="auto"/>
          <w:sz w:val="32"/>
          <w:szCs w:val="32"/>
          <w:highlight w:val="none"/>
          <w:lang w:val="en-US" w:eastAsia="zh-CN"/>
        </w:rPr>
        <w:t>741.17</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92.86</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社会保障和就业</w:t>
      </w:r>
      <w:r>
        <w:rPr>
          <w:rFonts w:hint="eastAsia" w:ascii="Times New Roman" w:hAnsi="Times New Roman" w:eastAsia="仿宋_GB2312"/>
          <w:color w:val="auto"/>
          <w:sz w:val="32"/>
          <w:szCs w:val="32"/>
          <w:highlight w:val="none"/>
        </w:rPr>
        <w:t>（类）支出</w:t>
      </w:r>
      <w:r>
        <w:rPr>
          <w:rFonts w:hint="eastAsia" w:ascii="Times New Roman" w:hAnsi="Times New Roman" w:eastAsia="仿宋_GB2312"/>
          <w:color w:val="auto"/>
          <w:sz w:val="32"/>
          <w:szCs w:val="32"/>
          <w:highlight w:val="none"/>
          <w:lang w:val="en-US" w:eastAsia="zh-CN"/>
        </w:rPr>
        <w:t>41.57</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5.21</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卫生健康支出15.39万元，占1.93%</w:t>
      </w:r>
      <w:r>
        <w:rPr>
          <w:rFonts w:hint="eastAsia" w:ascii="Times New Roman" w:hAnsi="Times New Roman" w:eastAsia="仿宋_GB2312"/>
          <w:color w:val="auto"/>
          <w:sz w:val="32"/>
          <w:szCs w:val="32"/>
          <w:highlight w:val="none"/>
          <w:lang w:eastAsia="zh-CN"/>
        </w:rPr>
        <w:t>。</w:t>
      </w:r>
    </w:p>
    <w:p w14:paraId="55C722BA">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（三）财政拨款支出决算具体情况</w:t>
      </w:r>
    </w:p>
    <w:p w14:paraId="67B8812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年度财政拨款支出年初预算数为</w:t>
      </w:r>
      <w:r>
        <w:rPr>
          <w:rFonts w:hint="eastAsia" w:ascii="Times New Roman" w:hAnsi="Times New Roman" w:eastAsia="仿宋_GB2312"/>
          <w:color w:val="auto"/>
          <w:sz w:val="32"/>
          <w:szCs w:val="32"/>
          <w:highlight w:val="none"/>
          <w:lang w:val="en-US" w:eastAsia="zh-CN"/>
        </w:rPr>
        <w:t>701.72</w:t>
      </w:r>
      <w:r>
        <w:rPr>
          <w:rFonts w:hint="eastAsia" w:ascii="Times New Roman" w:hAnsi="Times New Roman" w:eastAsia="仿宋_GB2312"/>
          <w:color w:val="auto"/>
          <w:sz w:val="32"/>
          <w:szCs w:val="32"/>
          <w:highlight w:val="none"/>
        </w:rPr>
        <w:t>万元，支出决算数为</w:t>
      </w:r>
      <w:r>
        <w:rPr>
          <w:rFonts w:hint="eastAsia" w:ascii="Times New Roman" w:hAnsi="Times New Roman" w:eastAsia="仿宋_GB2312"/>
          <w:color w:val="auto"/>
          <w:sz w:val="32"/>
          <w:szCs w:val="32"/>
          <w:highlight w:val="none"/>
          <w:lang w:val="en-US" w:eastAsia="zh-CN"/>
        </w:rPr>
        <w:t>798.13</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114</w:t>
      </w:r>
      <w:r>
        <w:rPr>
          <w:rFonts w:hint="eastAsia" w:ascii="Times New Roman" w:hAnsi="Times New Roman" w:eastAsia="仿宋_GB2312"/>
          <w:color w:val="auto"/>
          <w:sz w:val="32"/>
          <w:szCs w:val="32"/>
          <w:highlight w:val="none"/>
        </w:rPr>
        <w:t>%，其中：</w:t>
      </w:r>
    </w:p>
    <w:p w14:paraId="0258B18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1、一般公共服务支出（类）</w:t>
      </w:r>
      <w:r>
        <w:rPr>
          <w:rFonts w:hint="eastAsia" w:ascii="Times New Roman" w:hAnsi="Times New Roman" w:eastAsia="仿宋_GB2312"/>
          <w:color w:val="auto"/>
          <w:sz w:val="32"/>
          <w:szCs w:val="32"/>
          <w:highlight w:val="none"/>
          <w:lang w:val="en-US" w:eastAsia="zh-CN"/>
        </w:rPr>
        <w:t>政府办公厅（室）及相关机构事务</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val="en-US" w:eastAsia="zh-CN"/>
        </w:rPr>
        <w:t>行政运行</w:t>
      </w:r>
      <w:r>
        <w:rPr>
          <w:rFonts w:hint="eastAsia" w:ascii="Times New Roman" w:hAnsi="Times New Roman" w:eastAsia="仿宋_GB2312"/>
          <w:color w:val="auto"/>
          <w:sz w:val="32"/>
          <w:szCs w:val="32"/>
          <w:highlight w:val="none"/>
        </w:rPr>
        <w:t>（项）。</w:t>
      </w:r>
    </w:p>
    <w:p w14:paraId="74FCB02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639.76</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671.06</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104.89</w:t>
      </w:r>
      <w:r>
        <w:rPr>
          <w:rFonts w:hint="eastAsia" w:ascii="Times New Roman" w:hAnsi="Times New Roman" w:eastAsia="仿宋_GB2312"/>
          <w:color w:val="auto"/>
          <w:sz w:val="32"/>
          <w:szCs w:val="32"/>
          <w:highlight w:val="none"/>
        </w:rPr>
        <w:t>%，决算数大于年初预算数的主要原因是：本年</w:t>
      </w:r>
      <w:r>
        <w:rPr>
          <w:rFonts w:hint="eastAsia" w:ascii="Times New Roman" w:hAnsi="Times New Roman" w:eastAsia="仿宋_GB2312"/>
          <w:color w:val="auto"/>
          <w:sz w:val="32"/>
          <w:szCs w:val="32"/>
          <w:highlight w:val="none"/>
          <w:lang w:val="en-US" w:eastAsia="zh-CN"/>
        </w:rPr>
        <w:t>增加了驻京维稳劝返办公室的</w:t>
      </w:r>
      <w:r>
        <w:rPr>
          <w:rFonts w:hint="eastAsia" w:ascii="Times New Roman" w:hAnsi="Times New Roman" w:eastAsia="仿宋_GB2312"/>
          <w:color w:val="auto"/>
          <w:sz w:val="32"/>
          <w:szCs w:val="32"/>
          <w:highlight w:val="none"/>
        </w:rPr>
        <w:t>工作经费。</w:t>
      </w:r>
    </w:p>
    <w:p w14:paraId="33EFD05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一般公共服务支出</w:t>
      </w:r>
      <w:r>
        <w:rPr>
          <w:rFonts w:hint="eastAsia" w:ascii="Times New Roman" w:hAnsi="Times New Roman" w:eastAsia="仿宋_GB2312"/>
          <w:color w:val="auto"/>
          <w:sz w:val="32"/>
          <w:szCs w:val="32"/>
          <w:highlight w:val="none"/>
        </w:rPr>
        <w:t>（类）</w:t>
      </w:r>
      <w:r>
        <w:rPr>
          <w:rFonts w:hint="eastAsia" w:ascii="Times New Roman" w:hAnsi="Times New Roman" w:eastAsia="仿宋_GB2312"/>
          <w:color w:val="auto"/>
          <w:sz w:val="32"/>
          <w:szCs w:val="32"/>
          <w:highlight w:val="none"/>
          <w:lang w:val="en-US" w:eastAsia="zh-CN"/>
        </w:rPr>
        <w:t>政府办公厅（室）及相关机构事务</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val="en-US" w:eastAsia="zh-CN"/>
        </w:rPr>
        <w:t>信访事务</w:t>
      </w:r>
      <w:r>
        <w:rPr>
          <w:rFonts w:hint="eastAsia" w:ascii="Times New Roman" w:hAnsi="Times New Roman" w:eastAsia="仿宋_GB2312"/>
          <w:color w:val="auto"/>
          <w:sz w:val="32"/>
          <w:szCs w:val="32"/>
          <w:highlight w:val="none"/>
        </w:rPr>
        <w:t>（项）。年初预算为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70.11</w:t>
      </w:r>
      <w:r>
        <w:rPr>
          <w:rFonts w:hint="eastAsia" w:ascii="Times New Roman" w:hAnsi="Times New Roman" w:eastAsia="仿宋_GB2312"/>
          <w:color w:val="auto"/>
          <w:sz w:val="32"/>
          <w:szCs w:val="32"/>
          <w:highlight w:val="none"/>
        </w:rPr>
        <w:t>万元，决算数大于年初预算数的主要原因是：</w:t>
      </w:r>
      <w:r>
        <w:rPr>
          <w:rFonts w:hint="eastAsia" w:ascii="Times New Roman" w:hAnsi="Times New Roman" w:eastAsia="仿宋_GB2312"/>
          <w:color w:val="auto"/>
          <w:sz w:val="32"/>
          <w:szCs w:val="32"/>
          <w:highlight w:val="none"/>
          <w:lang w:val="en-US" w:eastAsia="zh-CN"/>
        </w:rPr>
        <w:t>全国特护期增多，导致增加相应的开支。</w:t>
      </w:r>
    </w:p>
    <w:p w14:paraId="41119B8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社会保障和就业支出（类）行政事业单位养老支出（款）机关事业单位基本养老保险缴费支出（项）</w:t>
      </w:r>
      <w:r>
        <w:rPr>
          <w:rFonts w:hint="eastAsia" w:ascii="Times New Roman" w:hAnsi="Times New Roman" w:eastAsia="仿宋_GB2312"/>
          <w:color w:val="auto"/>
          <w:sz w:val="32"/>
          <w:szCs w:val="32"/>
          <w:highlight w:val="none"/>
        </w:rPr>
        <w:t>。</w:t>
      </w:r>
    </w:p>
    <w:p w14:paraId="1E062FD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28.76</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28.76</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等</w:t>
      </w:r>
      <w:r>
        <w:rPr>
          <w:rFonts w:hint="eastAsia" w:ascii="Times New Roman" w:hAnsi="Times New Roman" w:eastAsia="仿宋_GB2312"/>
          <w:color w:val="auto"/>
          <w:sz w:val="32"/>
          <w:szCs w:val="32"/>
          <w:highlight w:val="none"/>
        </w:rPr>
        <w:t>于年初预算数的主要原因是：</w:t>
      </w:r>
      <w:r>
        <w:rPr>
          <w:rFonts w:hint="eastAsia" w:ascii="Times New Roman" w:hAnsi="Times New Roman" w:eastAsia="仿宋_GB2312"/>
          <w:color w:val="auto"/>
          <w:sz w:val="32"/>
          <w:szCs w:val="32"/>
          <w:highlight w:val="none"/>
          <w:lang w:val="en-US" w:eastAsia="zh-CN"/>
        </w:rPr>
        <w:t>严格按预算执行。</w:t>
      </w:r>
    </w:p>
    <w:p w14:paraId="724BEFE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社会保障和就业支出（类）行政事业单位养老支出（款）其他行政事业单位养老支出（项）</w:t>
      </w:r>
      <w:r>
        <w:rPr>
          <w:rFonts w:hint="eastAsia" w:ascii="Times New Roman" w:hAnsi="Times New Roman" w:eastAsia="仿宋_GB2312"/>
          <w:color w:val="auto"/>
          <w:sz w:val="32"/>
          <w:szCs w:val="32"/>
          <w:highlight w:val="none"/>
        </w:rPr>
        <w:t>。</w:t>
      </w:r>
    </w:p>
    <w:p w14:paraId="5EF4E16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12.81</w:t>
      </w:r>
      <w:r>
        <w:rPr>
          <w:rFonts w:hint="eastAsia" w:ascii="Times New Roman" w:hAnsi="Times New Roman" w:eastAsia="仿宋_GB2312"/>
          <w:color w:val="auto"/>
          <w:sz w:val="32"/>
          <w:szCs w:val="32"/>
          <w:highlight w:val="none"/>
        </w:rPr>
        <w:t>万元，决算数</w:t>
      </w:r>
      <w:r>
        <w:rPr>
          <w:rFonts w:hint="eastAsia" w:ascii="Times New Roman" w:hAnsi="Times New Roman" w:eastAsia="仿宋_GB2312"/>
          <w:color w:val="auto"/>
          <w:sz w:val="32"/>
          <w:szCs w:val="32"/>
          <w:highlight w:val="none"/>
          <w:lang w:val="en-US" w:eastAsia="zh-CN"/>
        </w:rPr>
        <w:t>大</w:t>
      </w:r>
      <w:r>
        <w:rPr>
          <w:rFonts w:hint="eastAsia" w:ascii="Times New Roman" w:hAnsi="Times New Roman" w:eastAsia="仿宋_GB2312"/>
          <w:color w:val="auto"/>
          <w:sz w:val="32"/>
          <w:szCs w:val="32"/>
          <w:highlight w:val="none"/>
        </w:rPr>
        <w:t>于年初预算数的主要原因是：本年</w:t>
      </w:r>
      <w:r>
        <w:rPr>
          <w:rFonts w:hint="eastAsia" w:ascii="Times New Roman" w:hAnsi="Times New Roman" w:eastAsia="仿宋_GB2312"/>
          <w:color w:val="auto"/>
          <w:sz w:val="32"/>
          <w:szCs w:val="32"/>
          <w:highlight w:val="none"/>
          <w:lang w:val="en-US" w:eastAsia="zh-CN"/>
        </w:rPr>
        <w:t>增加了机关事业单位基本养老保险缴费和其他行政事业单位养老支出。</w:t>
      </w:r>
    </w:p>
    <w:p w14:paraId="709717D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卫生健康支出（类）公共卫生（款）突发公共卫生事件应急处理（项）</w:t>
      </w:r>
      <w:r>
        <w:rPr>
          <w:rFonts w:hint="eastAsia" w:ascii="Times New Roman" w:hAnsi="Times New Roman" w:eastAsia="仿宋_GB2312"/>
          <w:color w:val="auto"/>
          <w:sz w:val="32"/>
          <w:szCs w:val="32"/>
          <w:highlight w:val="none"/>
        </w:rPr>
        <w:t>。</w:t>
      </w:r>
    </w:p>
    <w:p w14:paraId="53C5CF2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1.56</w:t>
      </w:r>
      <w:r>
        <w:rPr>
          <w:rFonts w:hint="eastAsia" w:ascii="Times New Roman" w:hAnsi="Times New Roman" w:eastAsia="仿宋_GB2312"/>
          <w:color w:val="auto"/>
          <w:sz w:val="32"/>
          <w:szCs w:val="32"/>
          <w:highlight w:val="none"/>
        </w:rPr>
        <w:t>万元，决算数</w:t>
      </w:r>
      <w:r>
        <w:rPr>
          <w:rFonts w:hint="eastAsia" w:ascii="Times New Roman" w:hAnsi="Times New Roman" w:eastAsia="仿宋_GB2312"/>
          <w:color w:val="auto"/>
          <w:sz w:val="32"/>
          <w:szCs w:val="32"/>
          <w:highlight w:val="none"/>
          <w:lang w:val="en-US" w:eastAsia="zh-CN"/>
        </w:rPr>
        <w:t>大</w:t>
      </w:r>
      <w:r>
        <w:rPr>
          <w:rFonts w:hint="eastAsia" w:ascii="Times New Roman" w:hAnsi="Times New Roman" w:eastAsia="仿宋_GB2312"/>
          <w:color w:val="auto"/>
          <w:sz w:val="32"/>
          <w:szCs w:val="32"/>
          <w:highlight w:val="none"/>
        </w:rPr>
        <w:t>于年初预算数的主要原因是：本年</w:t>
      </w:r>
      <w:r>
        <w:rPr>
          <w:rFonts w:hint="eastAsia" w:ascii="Times New Roman" w:hAnsi="Times New Roman" w:eastAsia="仿宋_GB2312"/>
          <w:color w:val="auto"/>
          <w:sz w:val="32"/>
          <w:szCs w:val="32"/>
          <w:highlight w:val="none"/>
          <w:lang w:val="en-US" w:eastAsia="zh-CN"/>
        </w:rPr>
        <w:t>增加了行政单位医疗和其他行政事业单位医疗支出。</w:t>
      </w:r>
    </w:p>
    <w:p w14:paraId="39299CB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卫生健康支出（类）行政事业单位医疗（款）行政单位医疗（项）</w:t>
      </w:r>
      <w:r>
        <w:rPr>
          <w:rFonts w:hint="eastAsia" w:ascii="Times New Roman" w:hAnsi="Times New Roman" w:eastAsia="仿宋_GB2312"/>
          <w:color w:val="auto"/>
          <w:sz w:val="32"/>
          <w:szCs w:val="32"/>
          <w:highlight w:val="none"/>
        </w:rPr>
        <w:t>。</w:t>
      </w:r>
    </w:p>
    <w:p w14:paraId="0F1A5C9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14.43</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13.82</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95.77</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小</w:t>
      </w:r>
      <w:r>
        <w:rPr>
          <w:rFonts w:hint="eastAsia" w:ascii="Times New Roman" w:hAnsi="Times New Roman" w:eastAsia="仿宋_GB2312"/>
          <w:color w:val="auto"/>
          <w:sz w:val="32"/>
          <w:szCs w:val="32"/>
          <w:highlight w:val="none"/>
        </w:rPr>
        <w:t>于年初预算数的主要原因是：</w:t>
      </w:r>
      <w:r>
        <w:rPr>
          <w:rFonts w:hint="eastAsia" w:ascii="Times New Roman" w:hAnsi="Times New Roman" w:eastAsia="仿宋_GB2312"/>
          <w:color w:val="auto"/>
          <w:sz w:val="32"/>
          <w:szCs w:val="32"/>
          <w:highlight w:val="none"/>
          <w:lang w:val="en-US" w:eastAsia="zh-CN"/>
        </w:rPr>
        <w:t>计算口径不一致。</w:t>
      </w:r>
    </w:p>
    <w:p w14:paraId="06AFCF0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02BA111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年度财政拨款基本支出</w:t>
      </w:r>
      <w:r>
        <w:rPr>
          <w:rFonts w:hint="eastAsia" w:ascii="Times New Roman" w:hAnsi="Times New Roman" w:eastAsia="仿宋_GB2312"/>
          <w:color w:val="auto"/>
          <w:sz w:val="32"/>
          <w:szCs w:val="32"/>
          <w:highlight w:val="none"/>
          <w:lang w:val="en-US" w:eastAsia="zh-CN"/>
        </w:rPr>
        <w:t>601.59</w:t>
      </w:r>
      <w:r>
        <w:rPr>
          <w:rFonts w:hint="eastAsia" w:ascii="Times New Roman" w:hAnsi="Times New Roman" w:eastAsia="仿宋_GB2312"/>
          <w:color w:val="auto"/>
          <w:sz w:val="32"/>
          <w:szCs w:val="32"/>
          <w:highlight w:val="none"/>
        </w:rPr>
        <w:t>万元，其中：</w:t>
      </w:r>
    </w:p>
    <w:p w14:paraId="12D151F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b/>
          <w:bCs/>
          <w:color w:val="auto"/>
          <w:sz w:val="32"/>
          <w:szCs w:val="32"/>
          <w:highlight w:val="none"/>
        </w:rPr>
        <w:t>人员经费</w:t>
      </w:r>
      <w:r>
        <w:rPr>
          <w:rFonts w:hint="eastAsia" w:ascii="Times New Roman" w:hAnsi="Times New Roman" w:eastAsia="仿宋_GB2312"/>
          <w:color w:val="auto"/>
          <w:sz w:val="32"/>
          <w:szCs w:val="32"/>
          <w:highlight w:val="none"/>
          <w:lang w:val="en-US" w:eastAsia="zh-CN"/>
        </w:rPr>
        <w:t>448.65</w:t>
      </w:r>
      <w:r>
        <w:rPr>
          <w:rFonts w:hint="eastAsia" w:ascii="Times New Roman" w:hAnsi="Times New Roman" w:eastAsia="仿宋_GB2312"/>
          <w:color w:val="auto"/>
          <w:sz w:val="32"/>
          <w:szCs w:val="32"/>
          <w:highlight w:val="none"/>
        </w:rPr>
        <w:t>万元，占基本支出的</w:t>
      </w:r>
      <w:r>
        <w:rPr>
          <w:rFonts w:hint="eastAsia" w:ascii="Times New Roman" w:hAnsi="Times New Roman" w:eastAsia="仿宋_GB2312"/>
          <w:color w:val="auto"/>
          <w:sz w:val="32"/>
          <w:szCs w:val="32"/>
          <w:highlight w:val="none"/>
          <w:lang w:val="en-US" w:eastAsia="zh-CN"/>
        </w:rPr>
        <w:t>74.58</w:t>
      </w:r>
      <w:r>
        <w:rPr>
          <w:rFonts w:hint="eastAsia" w:ascii="Times New Roman" w:hAnsi="Times New Roman" w:eastAsia="仿宋_GB2312"/>
          <w:color w:val="auto"/>
          <w:sz w:val="32"/>
          <w:szCs w:val="32"/>
          <w:highlight w:val="none"/>
        </w:rPr>
        <w:t>%,主要包括基本工资、津贴补贴、奖金、伙食补助费</w:t>
      </w:r>
      <w:r>
        <w:rPr>
          <w:rFonts w:hint="eastAsia" w:ascii="Times New Roman" w:hAnsi="Times New Roman" w:eastAsia="仿宋_GB2312"/>
          <w:color w:val="auto"/>
          <w:sz w:val="32"/>
          <w:szCs w:val="32"/>
          <w:highlight w:val="none"/>
          <w:lang w:eastAsia="zh-CN"/>
        </w:rPr>
        <w:t>。</w:t>
      </w:r>
    </w:p>
    <w:p w14:paraId="721853C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b/>
          <w:bCs/>
          <w:color w:val="auto"/>
          <w:sz w:val="32"/>
          <w:szCs w:val="32"/>
          <w:highlight w:val="none"/>
        </w:rPr>
        <w:t>公用经费</w:t>
      </w:r>
      <w:r>
        <w:rPr>
          <w:rFonts w:hint="eastAsia" w:ascii="Times New Roman" w:hAnsi="Times New Roman" w:eastAsia="仿宋_GB2312"/>
          <w:color w:val="auto"/>
          <w:sz w:val="32"/>
          <w:szCs w:val="32"/>
          <w:highlight w:val="none"/>
          <w:lang w:val="en-US" w:eastAsia="zh-CN"/>
        </w:rPr>
        <w:t>152.94</w:t>
      </w:r>
      <w:r>
        <w:rPr>
          <w:rFonts w:hint="eastAsia" w:ascii="Times New Roman" w:hAnsi="Times New Roman" w:eastAsia="仿宋_GB2312"/>
          <w:color w:val="auto"/>
          <w:sz w:val="32"/>
          <w:szCs w:val="32"/>
          <w:highlight w:val="none"/>
        </w:rPr>
        <w:t>万元，占基本支出的</w:t>
      </w:r>
      <w:r>
        <w:rPr>
          <w:rFonts w:hint="eastAsia" w:ascii="Times New Roman" w:hAnsi="Times New Roman" w:eastAsia="仿宋_GB2312"/>
          <w:color w:val="auto"/>
          <w:sz w:val="32"/>
          <w:szCs w:val="32"/>
          <w:highlight w:val="none"/>
          <w:lang w:val="en-US" w:eastAsia="zh-CN"/>
        </w:rPr>
        <w:t>25.42</w:t>
      </w:r>
      <w:r>
        <w:rPr>
          <w:rFonts w:hint="eastAsia" w:ascii="Times New Roman" w:hAnsi="Times New Roman" w:eastAsia="仿宋_GB2312"/>
          <w:color w:val="auto"/>
          <w:sz w:val="32"/>
          <w:szCs w:val="32"/>
          <w:highlight w:val="none"/>
        </w:rPr>
        <w:t>%，主要包括办公费、印刷费、咨询费、手续费。</w:t>
      </w:r>
    </w:p>
    <w:p w14:paraId="40C415E8">
      <w:pPr>
        <w:pStyle w:val="9"/>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财政拨款三公经费支出决算情况说明</w:t>
      </w:r>
    </w:p>
    <w:p w14:paraId="246A791D">
      <w:pPr>
        <w:pStyle w:val="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（一）“三公”经费财政拨款支出决算总体情况说明</w:t>
      </w:r>
    </w:p>
    <w:p w14:paraId="45F23D55">
      <w:pPr>
        <w:pStyle w:val="15"/>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三公”经费财政拨款支出预算为31.63万元，支出决算为13.43万元，完成预算的42.46%，决算数小于预算数的主要原因是落实过“紧日子”要求，严格执行开支标准，厉行节约；与上年相比减少2.14万元，下降13.74%，减少的主要原因是落实过“紧日子”要求，严格执行开支标准，厉行节约其中：</w:t>
      </w:r>
    </w:p>
    <w:p w14:paraId="78B3DD20">
      <w:pPr>
        <w:pStyle w:val="15"/>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415F824B">
      <w:pPr>
        <w:pStyle w:val="15"/>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公务接待费支出预算为17.14万元，支出决算为0.45万元，完成预算的2.63%，决算数小于预算数的主要原因是严格按要求执行中央关于节约三公经费的政策，厉行节约节俭原则，缩减公务接待费用。与上年相比减少1.98万元，减少81.42%,减少的主要原因是厉行节约节俭原则，缩减公务接待费用。</w:t>
      </w:r>
    </w:p>
    <w:p w14:paraId="25795303">
      <w:pPr>
        <w:pStyle w:val="15"/>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38A2BC23">
      <w:pPr>
        <w:pStyle w:val="15"/>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公务用车运行维护费支出预算为14.49万元，支出决算为12.98万元，完成预算的89.58%，决算数小于预算数的主要原因是严格按要求执行中央关于节约三公经费的政策，厉行节约节俭原则，缩减公务用车费用，与上年相比减少0.17万元，减少1.27%,减少的主要原因是厉行节约节俭原则，缩减公务用车费用。</w:t>
      </w:r>
    </w:p>
    <w:p w14:paraId="4D63EC7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（二）“三公”经费财政拨款支出决算具体情况说明</w:t>
      </w:r>
    </w:p>
    <w:p w14:paraId="4587D235">
      <w:pPr>
        <w:pStyle w:val="15"/>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2022年度“三公”经费财政拨款支出决算中，公务接待费支出决算0.45万元，占3.35%,因公出国（境）费支出决算0万元，公务用车购置费及运行维护费支出决算12.98万元，占96.65%。其中：</w:t>
      </w:r>
    </w:p>
    <w:p w14:paraId="4AFF21DD">
      <w:pPr>
        <w:pStyle w:val="15"/>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1、因公出国（境）费支出决算为0万元，全年安排因公出国（境）团组0个，累计团组</w:t>
      </w:r>
      <w:bookmarkStart w:id="0" w:name="THERR_YGCGJFY_TZRS"/>
      <w:r>
        <w:rPr>
          <w:rFonts w:hint="eastAsia" w:ascii="Times New Roman" w:hAnsi="Times New Roman" w:eastAsia="仿宋_GB2312" w:cstheme="minorBidi"/>
          <w:color w:val="auto"/>
          <w:kern w:val="2"/>
          <w:sz w:val="32"/>
          <w:szCs w:val="32"/>
          <w:highlight w:val="none"/>
          <w:lang w:val="en-US" w:eastAsia="zh-CN" w:bidi="ar-SA"/>
        </w:rPr>
        <w:t>0</w:t>
      </w:r>
      <w:bookmarkEnd w:id="0"/>
      <w:r>
        <w:rPr>
          <w:rFonts w:hint="eastAsia" w:ascii="Times New Roman" w:hAnsi="Times New Roman" w:eastAsia="仿宋_GB2312" w:cstheme="minorBidi"/>
          <w:color w:val="auto"/>
          <w:kern w:val="2"/>
          <w:sz w:val="32"/>
          <w:szCs w:val="32"/>
          <w:highlight w:val="none"/>
          <w:lang w:val="en-US" w:eastAsia="zh-CN" w:bidi="ar-SA"/>
        </w:rPr>
        <w:t>人次，主要是</w:t>
      </w:r>
      <w:bookmarkStart w:id="1" w:name="THERR_YGCGJFY_ZYYY"/>
      <w:r>
        <w:rPr>
          <w:rFonts w:hint="eastAsia" w:ascii="Times New Roman" w:hAnsi="Times New Roman" w:eastAsia="仿宋_GB2312" w:cstheme="minorBidi"/>
          <w:color w:val="auto"/>
          <w:kern w:val="2"/>
          <w:sz w:val="32"/>
          <w:szCs w:val="32"/>
          <w:highlight w:val="none"/>
          <w:lang w:val="en-US" w:eastAsia="zh-CN" w:bidi="ar-SA"/>
        </w:rPr>
        <w:t>2022年我单位没有因公出国（境）费支出</w:t>
      </w:r>
      <w:bookmarkEnd w:id="1"/>
      <w:bookmarkStart w:id="2" w:name="END_THERR_YGCGJFY_AMT"/>
      <w:bookmarkEnd w:id="2"/>
      <w:r>
        <w:rPr>
          <w:rFonts w:hint="eastAsia" w:ascii="Times New Roman" w:hAnsi="Times New Roman" w:eastAsia="仿宋_GB2312" w:cstheme="minorBidi"/>
          <w:color w:val="auto"/>
          <w:kern w:val="2"/>
          <w:sz w:val="32"/>
          <w:szCs w:val="32"/>
          <w:highlight w:val="none"/>
          <w:lang w:val="en-US" w:eastAsia="zh-CN" w:bidi="ar-SA"/>
        </w:rPr>
        <w:t>。</w:t>
      </w:r>
    </w:p>
    <w:p w14:paraId="0C3930F2">
      <w:pPr>
        <w:pStyle w:val="15"/>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2、公务接待费支出决算为0.45万元，全年共接待来访团组12个、来宾61人次，主要是主要是上级部门来督查及各县市区来汇报案子等发生的接待支出。</w:t>
      </w:r>
    </w:p>
    <w:p w14:paraId="269DF4B4">
      <w:pPr>
        <w:pStyle w:val="15"/>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3、公务用车购置费及运行维护费支出决算为12.98万元，其中：公务用车购置费0万元，</w:t>
      </w:r>
      <w:r>
        <w:rPr>
          <w:rFonts w:hint="eastAsia" w:ascii="Times New Roman" w:hAnsi="Times New Roman" w:eastAsia="仿宋_GB2312"/>
          <w:sz w:val="32"/>
          <w:szCs w:val="32"/>
          <w:highlight w:val="none"/>
        </w:rPr>
        <w:t>更新公务用车0辆</w:t>
      </w:r>
      <w:r>
        <w:rPr>
          <w:rFonts w:hint="eastAsia" w:ascii="Times New Roman" w:hAnsi="Times New Roman" w:eastAsia="仿宋_GB2312"/>
          <w:sz w:val="32"/>
          <w:szCs w:val="32"/>
          <w:highlight w:val="none"/>
          <w:lang w:eastAsia="zh-CN"/>
        </w:rPr>
        <w:t>。</w:t>
      </w:r>
      <w:bookmarkStart w:id="6" w:name="_GoBack"/>
      <w:bookmarkEnd w:id="6"/>
      <w:r>
        <w:rPr>
          <w:rFonts w:hint="eastAsia" w:ascii="Times New Roman" w:hAnsi="Times New Roman" w:eastAsia="仿宋_GB2312" w:cstheme="minorBidi"/>
          <w:color w:val="auto"/>
          <w:kern w:val="2"/>
          <w:sz w:val="32"/>
          <w:szCs w:val="32"/>
          <w:highlight w:val="none"/>
          <w:lang w:val="en-US" w:eastAsia="zh-CN" w:bidi="ar-SA"/>
        </w:rPr>
        <w:t>公务用车运行维护费12.98万元，主要是公车维修费和运行费支出，截止2022年12月31日，我单位开支财政拨款的公务用车保有量为2辆。</w:t>
      </w:r>
    </w:p>
    <w:p w14:paraId="1AE199A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color w:val="auto"/>
          <w:sz w:val="32"/>
          <w:szCs w:val="32"/>
          <w:highlight w:val="none"/>
          <w:lang w:val="en-US" w:eastAsia="zh-CN"/>
        </w:rPr>
      </w:pPr>
      <w:r>
        <w:rPr>
          <w:rFonts w:hint="eastAsia" w:ascii="黑体" w:hAnsi="黑体" w:eastAsia="黑体" w:cs="黑体"/>
          <w:b/>
          <w:bCs w:val="0"/>
          <w:color w:val="auto"/>
          <w:sz w:val="32"/>
          <w:szCs w:val="32"/>
          <w:highlight w:val="none"/>
        </w:rPr>
        <w:t>八、政府性基金预算收入支出决算情况</w:t>
      </w:r>
      <w:r>
        <w:rPr>
          <w:rFonts w:hint="eastAsia" w:ascii="黑体" w:hAnsi="黑体" w:eastAsia="黑体" w:cs="黑体"/>
          <w:b/>
          <w:bCs w:val="0"/>
          <w:color w:val="auto"/>
          <w:sz w:val="32"/>
          <w:szCs w:val="32"/>
          <w:highlight w:val="none"/>
          <w:lang w:val="en-US" w:eastAsia="zh-CN"/>
        </w:rPr>
        <w:t>说明</w:t>
      </w:r>
    </w:p>
    <w:p w14:paraId="30DE7FD0">
      <w:pPr>
        <w:pStyle w:val="15"/>
        <w:keepNext w:val="0"/>
        <w:keepLines w:val="0"/>
        <w:pageBreakBefore w:val="0"/>
        <w:widowControl/>
        <w:suppressLineNumbers w:val="0"/>
        <w:kinsoku/>
        <w:wordWrap/>
        <w:overflowPunct/>
        <w:topLinePunct w:val="0"/>
        <w:bidi w:val="0"/>
        <w:snapToGrid/>
        <w:spacing w:before="0" w:beforeAutospacing="0" w:afterAutospacing="0" w:line="600" w:lineRule="exact"/>
        <w:ind w:left="0" w:firstLine="640" w:firstLineChars="200"/>
        <w:jc w:val="left"/>
        <w:textAlignment w:val="auto"/>
        <w:rPr>
          <w:rFonts w:hint="eastAsia" w:ascii="仿宋" w:hAnsi="仿宋" w:eastAsia="仿宋" w:cs="仿宋"/>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2022年度本单位无政府性基金收支</w:t>
      </w:r>
      <w:r>
        <w:rPr>
          <w:rFonts w:hint="eastAsia" w:ascii="仿宋" w:hAnsi="仿宋" w:eastAsia="仿宋" w:cs="仿宋"/>
          <w:color w:val="auto"/>
          <w:kern w:val="2"/>
          <w:sz w:val="32"/>
          <w:szCs w:val="32"/>
          <w:highlight w:val="none"/>
          <w:lang w:val="en-US" w:eastAsia="zh-CN" w:bidi="ar-SA"/>
        </w:rPr>
        <w:t>。</w:t>
      </w:r>
    </w:p>
    <w:p w14:paraId="52EAAF61">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color w:val="auto"/>
          <w:sz w:val="32"/>
          <w:szCs w:val="32"/>
          <w:highlight w:val="none"/>
        </w:rPr>
      </w:pPr>
      <w:r>
        <w:rPr>
          <w:rFonts w:hint="eastAsia" w:ascii="黑体" w:hAnsi="黑体" w:eastAsia="黑体" w:cs="黑体"/>
          <w:b/>
          <w:bCs w:val="0"/>
          <w:color w:val="auto"/>
          <w:sz w:val="32"/>
          <w:szCs w:val="32"/>
          <w:highlight w:val="none"/>
        </w:rPr>
        <w:t>九、国有资本经营预算财政拨款支出决算情况</w:t>
      </w:r>
    </w:p>
    <w:p w14:paraId="2764EA52">
      <w:pPr>
        <w:pStyle w:val="9"/>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Times New Roman" w:hAnsi="Times New Roman" w:eastAsia="仿宋_GB2312"/>
          <w:color w:val="auto"/>
          <w:sz w:val="32"/>
          <w:szCs w:val="32"/>
          <w:highlight w:val="none"/>
          <w:lang w:val="en-US" w:eastAsia="zh-CN"/>
        </w:rPr>
        <w:t>2022年度本单位无国有资本经营预算财政拨款支出。</w:t>
      </w:r>
    </w:p>
    <w:p w14:paraId="568767A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color w:val="auto"/>
          <w:sz w:val="32"/>
          <w:szCs w:val="32"/>
          <w:highlight w:val="none"/>
        </w:rPr>
      </w:pPr>
      <w:r>
        <w:rPr>
          <w:rFonts w:hint="eastAsia" w:ascii="黑体" w:hAnsi="黑体" w:eastAsia="黑体" w:cs="黑体"/>
          <w:b/>
          <w:bCs w:val="0"/>
          <w:color w:val="auto"/>
          <w:sz w:val="32"/>
          <w:szCs w:val="32"/>
          <w:highlight w:val="none"/>
          <w:lang w:val="en-US" w:eastAsia="zh-CN"/>
        </w:rPr>
        <w:t>十</w:t>
      </w:r>
      <w:r>
        <w:rPr>
          <w:rFonts w:hint="eastAsia" w:ascii="黑体" w:hAnsi="黑体" w:eastAsia="黑体" w:cs="黑体"/>
          <w:b/>
          <w:bCs w:val="0"/>
          <w:color w:val="auto"/>
          <w:sz w:val="32"/>
          <w:szCs w:val="32"/>
          <w:highlight w:val="none"/>
        </w:rPr>
        <w:t>、关于机关运行经费支出说明</w:t>
      </w:r>
    </w:p>
    <w:p w14:paraId="5362758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本部门2022年度机关运行经费支出152.94万元，比上年决算数减少54.83万元，降低26.39%。主要原因是：办公费、印刷费、会议费、公务接待等支出都厉行节俭。</w:t>
      </w:r>
    </w:p>
    <w:p w14:paraId="10ECD87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color w:val="auto"/>
          <w:sz w:val="32"/>
          <w:szCs w:val="32"/>
          <w:highlight w:val="none"/>
          <w:lang w:val="en-US" w:eastAsia="zh-CN"/>
        </w:rPr>
      </w:pPr>
      <w:r>
        <w:rPr>
          <w:rFonts w:hint="eastAsia" w:ascii="黑体" w:hAnsi="黑体" w:eastAsia="黑体" w:cs="黑体"/>
          <w:b/>
          <w:bCs w:val="0"/>
          <w:color w:val="auto"/>
          <w:sz w:val="32"/>
          <w:szCs w:val="32"/>
          <w:highlight w:val="none"/>
          <w:lang w:val="en-US" w:eastAsia="zh-CN"/>
        </w:rPr>
        <w:t>十一、一般性支出情况说明</w:t>
      </w:r>
    </w:p>
    <w:p w14:paraId="37CB74F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2022年本部门开支会议费1.68万元，用于召开全市信访工作会议、三无县市区创建工作等会议，人数166人，内容为全市特护期信访联席会议及维稳会议；</w:t>
      </w:r>
    </w:p>
    <w:p w14:paraId="142672F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2022年本部门开支培训费4.44万元，用于开展信访智慧系统等培训，人数256人次，内容为基层治理、及基层信访信息系统培训等。</w:t>
      </w:r>
    </w:p>
    <w:p w14:paraId="15671AE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2022年本部门没有举办节庆、晚会、论坛、赛事活动。</w:t>
      </w:r>
    </w:p>
    <w:p w14:paraId="752E6E8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rPr>
        <w:t>、关于政府采购支出说明</w:t>
      </w:r>
    </w:p>
    <w:p w14:paraId="6B87C4D3">
      <w:pPr>
        <w:ind w:firstLine="640" w:firstLineChars="200"/>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本部门2022年度政府采购支出总额20.58万元，其中：政府采购货物支出20.58万元、政府采购工程支出0万元、政府采购服务支出0万元。授予中小企业合同金额20.58万元，占政府采购支出总额的100%，其中：授予小微企业合同金额20.58万元，占政府采购支出总额的100%。货物采购授予中小企业合同金额占货物支出金额的100%，</w:t>
      </w:r>
      <w:r>
        <w:rPr>
          <w:rFonts w:hint="eastAsia" w:ascii="仿宋_GB2312" w:hAnsi="仿宋_GB2312" w:eastAsia="仿宋_GB2312"/>
          <w:color w:val="auto"/>
          <w:sz w:val="32"/>
          <w:szCs w:val="32"/>
          <w:highlight w:val="none"/>
        </w:rPr>
        <w:t>由于工程支出金额为0万元，无法计算工程采购授予中小企业合同金额占工程支出金额的百分比；</w:t>
      </w:r>
      <w:bookmarkStart w:id="3" w:name="START_GP_BGT_CGFW_AMT"/>
      <w:bookmarkEnd w:id="3"/>
      <w:bookmarkStart w:id="4" w:name="END_GP_BGT_CGGC_AMT_1"/>
      <w:bookmarkEnd w:id="4"/>
      <w:bookmarkStart w:id="5" w:name="DIS_MARK_GP_BGT_CGFW_AMT"/>
      <w:r>
        <w:rPr>
          <w:rFonts w:hint="eastAsia" w:ascii="仿宋_GB2312" w:hAnsi="仿宋_GB2312" w:eastAsia="仿宋_GB2312"/>
          <w:color w:val="auto"/>
          <w:sz w:val="32"/>
          <w:szCs w:val="32"/>
          <w:highlight w:val="none"/>
        </w:rPr>
        <w:t>由于</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支出金额为0万元，无法计算</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采购授予中小企业合同金额占</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支出金额的百分比</w:t>
      </w:r>
      <w:bookmarkEnd w:id="5"/>
      <w:r>
        <w:rPr>
          <w:rFonts w:hint="eastAsia" w:ascii="仿宋_GB2312" w:hAnsi="仿宋_GB2312" w:eastAsia="仿宋_GB2312"/>
          <w:color w:val="auto"/>
          <w:sz w:val="32"/>
          <w:szCs w:val="32"/>
          <w:highlight w:val="none"/>
          <w:lang w:eastAsia="zh-CN"/>
        </w:rPr>
        <w:t>。</w:t>
      </w:r>
    </w:p>
    <w:p w14:paraId="6178666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、关于国有资产占用情况说明</w:t>
      </w:r>
    </w:p>
    <w:p w14:paraId="3FE30E7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年12月31日，本单位共有车辆</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辆，其中，主要领导干部用车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辆，机要通信用车</w:t>
      </w: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辆、其他用车辆</w:t>
      </w:r>
      <w:r>
        <w:rPr>
          <w:rFonts w:hint="eastAsia" w:ascii="Times New Roman" w:hAnsi="Times New Roman" w:eastAsia="仿宋_GB2312"/>
          <w:color w:val="auto"/>
          <w:sz w:val="32"/>
          <w:szCs w:val="32"/>
          <w:highlight w:val="none"/>
          <w:lang w:val="en-US" w:eastAsia="zh-CN"/>
        </w:rPr>
        <w:t>0辆</w:t>
      </w:r>
      <w:r>
        <w:rPr>
          <w:rFonts w:hint="eastAsia" w:ascii="Times New Roman" w:hAnsi="Times New Roman" w:eastAsia="仿宋_GB2312"/>
          <w:color w:val="auto"/>
          <w:sz w:val="32"/>
          <w:szCs w:val="32"/>
          <w:highlight w:val="none"/>
        </w:rPr>
        <w:t>；单位价值50万元以上通用设备</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台（套）；单位价值100万元以上专用设备</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315CB3EB">
      <w:pPr>
        <w:pStyle w:val="9"/>
        <w:keepNext w:val="0"/>
        <w:keepLines w:val="0"/>
        <w:pageBreakBefore w:val="0"/>
        <w:kinsoku/>
        <w:wordWrap/>
        <w:overflowPunct/>
        <w:topLinePunct w:val="0"/>
        <w:bidi w:val="0"/>
        <w:snapToGrid/>
        <w:spacing w:line="600" w:lineRule="exact"/>
        <w:ind w:firstLine="640" w:firstLineChars="200"/>
        <w:textAlignment w:val="auto"/>
        <w:rPr>
          <w:rFonts w:hAnsi="黑体"/>
          <w:b/>
          <w:color w:val="auto"/>
          <w:sz w:val="32"/>
          <w:szCs w:val="32"/>
          <w:highlight w:val="none"/>
        </w:rPr>
      </w:pPr>
      <w:r>
        <w:rPr>
          <w:rFonts w:hint="eastAsia" w:hAnsi="黑体"/>
          <w:b/>
          <w:color w:val="auto"/>
          <w:sz w:val="32"/>
          <w:szCs w:val="32"/>
          <w:highlight w:val="none"/>
        </w:rPr>
        <w:t>十</w:t>
      </w:r>
      <w:r>
        <w:rPr>
          <w:rFonts w:hint="eastAsia" w:hAnsi="黑体"/>
          <w:b/>
          <w:color w:val="auto"/>
          <w:sz w:val="32"/>
          <w:szCs w:val="32"/>
          <w:highlight w:val="none"/>
          <w:lang w:eastAsia="zh-CN"/>
        </w:rPr>
        <w:t>四</w:t>
      </w:r>
      <w:r>
        <w:rPr>
          <w:rFonts w:hint="eastAsia" w:hAnsi="黑体"/>
          <w:b/>
          <w:color w:val="auto"/>
          <w:sz w:val="32"/>
          <w:szCs w:val="32"/>
          <w:highlight w:val="none"/>
        </w:rPr>
        <w:t>、关于</w:t>
      </w:r>
      <w:r>
        <w:rPr>
          <w:rFonts w:hint="eastAsia" w:hAnsi="黑体"/>
          <w:b/>
          <w:color w:val="auto"/>
          <w:sz w:val="32"/>
          <w:szCs w:val="32"/>
          <w:highlight w:val="none"/>
          <w:lang w:eastAsia="zh-CN"/>
        </w:rPr>
        <w:t>202</w:t>
      </w:r>
      <w:r>
        <w:rPr>
          <w:rFonts w:hint="eastAsia" w:hAnsi="黑体"/>
          <w:b/>
          <w:color w:val="auto"/>
          <w:sz w:val="32"/>
          <w:szCs w:val="32"/>
          <w:highlight w:val="none"/>
          <w:lang w:val="en-US" w:eastAsia="zh-CN"/>
        </w:rPr>
        <w:t>2</w:t>
      </w:r>
      <w:r>
        <w:rPr>
          <w:rFonts w:hint="eastAsia" w:hAnsi="黑体"/>
          <w:b/>
          <w:color w:val="auto"/>
          <w:sz w:val="32"/>
          <w:szCs w:val="32"/>
          <w:highlight w:val="none"/>
        </w:rPr>
        <w:t>年度预算绩效情况的说明</w:t>
      </w:r>
    </w:p>
    <w:p w14:paraId="3E943B97">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本部门预算绩效管理开展情况、绩效目标和绩效评价报告等，按照财政绩效评价部门要求已公开，详见附件2。</w:t>
      </w:r>
    </w:p>
    <w:p w14:paraId="2ACDEBA3">
      <w:pPr>
        <w:pStyle w:val="9"/>
        <w:jc w:val="both"/>
        <w:rPr>
          <w:rFonts w:hint="eastAsia" w:ascii="方正小标宋_GBK" w:hAnsi="方正小标宋_GBK" w:eastAsia="方正小标宋_GBK" w:cs="方正小标宋_GBK"/>
          <w:color w:val="auto"/>
          <w:sz w:val="72"/>
          <w:szCs w:val="72"/>
          <w:highlight w:val="none"/>
        </w:rPr>
      </w:pPr>
    </w:p>
    <w:p w14:paraId="2D68C0F4">
      <w:pPr>
        <w:pStyle w:val="9"/>
        <w:jc w:val="center"/>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rPr>
        <w:t>第四部分</w:t>
      </w:r>
    </w:p>
    <w:p w14:paraId="62D61278">
      <w:pPr>
        <w:pStyle w:val="9"/>
        <w:jc w:val="center"/>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rPr>
        <w:t>名词解释</w:t>
      </w:r>
    </w:p>
    <w:p w14:paraId="5C6E70BD">
      <w:pPr>
        <w:widowControl/>
        <w:jc w:val="left"/>
        <w:rPr>
          <w:rFonts w:ascii="宋体" w:hAnsi="宋体" w:cs="黑体"/>
          <w:color w:val="auto"/>
          <w:kern w:val="0"/>
          <w:sz w:val="32"/>
          <w:szCs w:val="32"/>
          <w:highlight w:val="none"/>
        </w:rPr>
      </w:pPr>
    </w:p>
    <w:p w14:paraId="67E78C24">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b/>
          <w:bCs/>
          <w:color w:val="auto"/>
          <w:sz w:val="32"/>
          <w:szCs w:val="32"/>
          <w:highlight w:val="none"/>
          <w:lang w:val="en-US" w:eastAsia="zh-CN"/>
        </w:rPr>
        <w:t>一、机关运行经费：</w:t>
      </w:r>
      <w:r>
        <w:rPr>
          <w:rFonts w:hint="eastAsia" w:ascii="Times New Roman" w:hAnsi="Times New Roman" w:eastAsia="仿宋_GB2312"/>
          <w:color w:val="auto"/>
          <w:sz w:val="32"/>
          <w:szCs w:val="32"/>
          <w:highlight w:val="none"/>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29554B5">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b/>
          <w:bCs/>
          <w:color w:val="auto"/>
          <w:sz w:val="32"/>
          <w:szCs w:val="32"/>
          <w:highlight w:val="none"/>
          <w:lang w:val="en-US" w:eastAsia="zh-CN"/>
        </w:rPr>
        <w:t>二、“三公”经费：</w:t>
      </w:r>
      <w:r>
        <w:rPr>
          <w:rFonts w:hint="eastAsia" w:ascii="Times New Roman" w:hAnsi="Times New Roman" w:eastAsia="仿宋_GB2312"/>
          <w:color w:val="auto"/>
          <w:sz w:val="32"/>
          <w:szCs w:val="32"/>
          <w:highlight w:val="none"/>
          <w:lang w:val="en-US" w:eastAsia="zh-CN"/>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BDA9B2D">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p>
    <w:p w14:paraId="39707542">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color w:val="auto"/>
          <w:sz w:val="44"/>
          <w:szCs w:val="44"/>
          <w:highlight w:val="none"/>
          <w:lang w:val="en-US" w:eastAsia="zh-CN"/>
        </w:rPr>
      </w:pPr>
      <w:r>
        <w:rPr>
          <w:rFonts w:hint="eastAsia" w:hAnsi="黑体" w:cs="黑体"/>
          <w:b/>
          <w:bCs/>
          <w:color w:val="auto"/>
          <w:sz w:val="44"/>
          <w:szCs w:val="44"/>
          <w:highlight w:val="none"/>
          <w:lang w:val="en-US" w:eastAsia="zh-CN"/>
        </w:rPr>
        <w:t>第五部分</w:t>
      </w:r>
    </w:p>
    <w:p w14:paraId="632C1D09">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color w:val="auto"/>
          <w:sz w:val="44"/>
          <w:szCs w:val="44"/>
          <w:highlight w:val="none"/>
          <w:lang w:val="en-US" w:eastAsia="zh-CN"/>
        </w:rPr>
      </w:pPr>
      <w:r>
        <w:rPr>
          <w:rFonts w:hint="eastAsia" w:hAnsi="黑体" w:cs="黑体"/>
          <w:b/>
          <w:bCs/>
          <w:color w:val="auto"/>
          <w:sz w:val="44"/>
          <w:szCs w:val="44"/>
          <w:highlight w:val="none"/>
          <w:lang w:val="en-US" w:eastAsia="zh-CN"/>
        </w:rPr>
        <w:t>附件</w:t>
      </w:r>
    </w:p>
    <w:p w14:paraId="3B073E93">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1、2022年度部门决算表</w:t>
      </w:r>
    </w:p>
    <w:p w14:paraId="24E9E46B">
      <w:pPr>
        <w:pStyle w:val="9"/>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2、2022年度部门整体支出绩效评价报告</w:t>
      </w:r>
    </w:p>
    <w:p w14:paraId="17768B6A">
      <w:pPr>
        <w:jc w:val="left"/>
        <w:rPr>
          <w:rFonts w:cs="黑体" w:asciiTheme="minorEastAsia" w:hAnsiTheme="minorEastAsia"/>
          <w:color w:val="auto"/>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73CC7ED-CAB6-4A4E-AB46-2CFE621CF5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443233CD-6401-4127-B1E1-72FFF9B794BB}"/>
  </w:font>
  <w:font w:name="仿宋_GB2312">
    <w:panose1 w:val="02010609030101010101"/>
    <w:charset w:val="86"/>
    <w:family w:val="modern"/>
    <w:pitch w:val="default"/>
    <w:sig w:usb0="00000001" w:usb1="080E0000" w:usb2="00000000" w:usb3="00000000" w:csb0="00040000" w:csb1="00000000"/>
    <w:embedRegular r:id="rId3" w:fontKey="{58C94488-BC13-4576-BD59-8EF0CD562465}"/>
  </w:font>
  <w:font w:name="仿宋">
    <w:panose1 w:val="02010609060101010101"/>
    <w:charset w:val="86"/>
    <w:family w:val="auto"/>
    <w:pitch w:val="default"/>
    <w:sig w:usb0="800002BF" w:usb1="38CF7CFA" w:usb2="00000016" w:usb3="00000000" w:csb0="00040001" w:csb1="00000000"/>
    <w:embedRegular r:id="rId4" w:fontKey="{F5A94131-0A41-4216-BB1B-3B5AAF53FC98}"/>
  </w:font>
  <w:font w:name="楷体">
    <w:panose1 w:val="02010609060101010101"/>
    <w:charset w:val="86"/>
    <w:family w:val="auto"/>
    <w:pitch w:val="default"/>
    <w:sig w:usb0="800002BF" w:usb1="38CF7CFA" w:usb2="00000016" w:usb3="00000000" w:csb0="00040001" w:csb1="00000000"/>
    <w:embedRegular r:id="rId5" w:fontKey="{79C0A76A-C21E-4E87-AD30-53D9E0CC63B2}"/>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38B5FA"/>
    <w:multiLevelType w:val="singleLevel"/>
    <w:tmpl w:val="3438B5FA"/>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0351AA"/>
    <w:rsid w:val="06970653"/>
    <w:rsid w:val="06FF5F05"/>
    <w:rsid w:val="08B576D2"/>
    <w:rsid w:val="0E4A2D74"/>
    <w:rsid w:val="11093058"/>
    <w:rsid w:val="15E55835"/>
    <w:rsid w:val="17656FC3"/>
    <w:rsid w:val="1C061D08"/>
    <w:rsid w:val="279C48E9"/>
    <w:rsid w:val="2D913181"/>
    <w:rsid w:val="2E09770E"/>
    <w:rsid w:val="2F4034E7"/>
    <w:rsid w:val="31037881"/>
    <w:rsid w:val="383F08C7"/>
    <w:rsid w:val="38E2331B"/>
    <w:rsid w:val="3A7C1983"/>
    <w:rsid w:val="3F6A7BC7"/>
    <w:rsid w:val="3F762A0F"/>
    <w:rsid w:val="45D45F93"/>
    <w:rsid w:val="45F20916"/>
    <w:rsid w:val="4760212E"/>
    <w:rsid w:val="48834A17"/>
    <w:rsid w:val="50EA7611"/>
    <w:rsid w:val="52796647"/>
    <w:rsid w:val="53DA1367"/>
    <w:rsid w:val="5777D4F5"/>
    <w:rsid w:val="5C1D6DB7"/>
    <w:rsid w:val="5C8C2BB7"/>
    <w:rsid w:val="5E5B0D06"/>
    <w:rsid w:val="5FC6BB1E"/>
    <w:rsid w:val="5FCC1F73"/>
    <w:rsid w:val="5FF720F1"/>
    <w:rsid w:val="641E1AA4"/>
    <w:rsid w:val="6E7258EA"/>
    <w:rsid w:val="737D59BA"/>
    <w:rsid w:val="772B3559"/>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 w:type="paragraph" w:customStyle="1" w:styleId="15">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4302</Words>
  <Characters>4742</Characters>
  <Lines>63</Lines>
  <Paragraphs>18</Paragraphs>
  <TotalTime>0</TotalTime>
  <ScaleCrop>false</ScaleCrop>
  <LinksUpToDate>false</LinksUpToDate>
  <CharactersWithSpaces>4742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2024-10-31T13:37:35Z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F8AC89AE16A646D58CEC7847D048F433_13</vt:lpwstr>
  </property>
</Properties>
</file>