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38EA7">
      <w:pPr>
        <w:spacing w:line="600" w:lineRule="exact"/>
        <w:rPr>
          <w:rFonts w:hint="eastAsia" w:ascii="仿宋" w:hAnsi="仿宋" w:eastAsia="仿宋" w:cs="仿宋"/>
          <w:color w:val="auto"/>
          <w:sz w:val="32"/>
          <w:szCs w:val="32"/>
        </w:rPr>
      </w:pPr>
    </w:p>
    <w:p w14:paraId="7E3595F1">
      <w:pPr>
        <w:spacing w:line="600" w:lineRule="exact"/>
        <w:rPr>
          <w:rFonts w:hint="eastAsia" w:ascii="仿宋" w:hAnsi="仿宋" w:eastAsia="仿宋" w:cs="仿宋"/>
          <w:color w:val="auto"/>
          <w:sz w:val="32"/>
          <w:szCs w:val="32"/>
        </w:rPr>
      </w:pPr>
    </w:p>
    <w:p w14:paraId="617FE2D3">
      <w:pPr>
        <w:spacing w:line="600" w:lineRule="exact"/>
        <w:rPr>
          <w:rFonts w:hint="eastAsia" w:ascii="仿宋" w:hAnsi="仿宋" w:eastAsia="仿宋" w:cs="仿宋"/>
          <w:color w:val="auto"/>
          <w:sz w:val="32"/>
          <w:szCs w:val="32"/>
        </w:rPr>
      </w:pPr>
    </w:p>
    <w:p w14:paraId="3B77B82E">
      <w:pPr>
        <w:jc w:val="center"/>
        <w:rPr>
          <w:rFonts w:hint="eastAsia" w:ascii="仿宋" w:hAnsi="仿宋" w:eastAsia="仿宋" w:cs="仿宋"/>
          <w:b/>
          <w:bCs/>
          <w:color w:val="auto"/>
          <w:sz w:val="52"/>
          <w:szCs w:val="52"/>
          <w:lang w:val="en-US" w:eastAsia="zh-CN"/>
        </w:rPr>
      </w:pPr>
      <w:r>
        <w:rPr>
          <w:rFonts w:hint="eastAsia" w:ascii="仿宋" w:hAnsi="仿宋" w:eastAsia="仿宋" w:cs="仿宋"/>
          <w:b/>
          <w:bCs/>
          <w:color w:val="auto"/>
          <w:sz w:val="52"/>
          <w:szCs w:val="52"/>
        </w:rPr>
        <w:t>202</w:t>
      </w:r>
      <w:r>
        <w:rPr>
          <w:rFonts w:hint="eastAsia" w:ascii="仿宋" w:hAnsi="仿宋" w:eastAsia="仿宋" w:cs="仿宋"/>
          <w:b/>
          <w:bCs/>
          <w:color w:val="auto"/>
          <w:sz w:val="52"/>
          <w:szCs w:val="52"/>
          <w:lang w:val="en-US" w:eastAsia="zh-CN"/>
        </w:rPr>
        <w:t>3</w:t>
      </w:r>
      <w:r>
        <w:rPr>
          <w:rFonts w:hint="eastAsia" w:ascii="仿宋" w:hAnsi="仿宋" w:eastAsia="仿宋" w:cs="仿宋"/>
          <w:b/>
          <w:bCs/>
          <w:color w:val="auto"/>
          <w:sz w:val="52"/>
          <w:szCs w:val="52"/>
        </w:rPr>
        <w:t>年度</w:t>
      </w:r>
      <w:r>
        <w:rPr>
          <w:rFonts w:hint="eastAsia" w:ascii="仿宋" w:hAnsi="仿宋" w:eastAsia="仿宋" w:cs="仿宋"/>
          <w:b/>
          <w:bCs/>
          <w:color w:val="auto"/>
          <w:sz w:val="52"/>
          <w:szCs w:val="52"/>
          <w:lang w:val="en-US" w:eastAsia="zh-CN"/>
        </w:rPr>
        <w:t>怀化市信访局</w:t>
      </w:r>
    </w:p>
    <w:p w14:paraId="2181204A">
      <w:pPr>
        <w:jc w:val="center"/>
        <w:rPr>
          <w:rFonts w:hint="eastAsia" w:ascii="仿宋" w:hAnsi="仿宋" w:eastAsia="仿宋" w:cs="仿宋"/>
          <w:b/>
          <w:bCs/>
          <w:color w:val="auto"/>
          <w:sz w:val="52"/>
          <w:szCs w:val="52"/>
        </w:rPr>
      </w:pPr>
      <w:r>
        <w:rPr>
          <w:rFonts w:hint="eastAsia" w:ascii="仿宋" w:hAnsi="仿宋" w:eastAsia="仿宋" w:cs="仿宋"/>
          <w:b/>
          <w:bCs/>
          <w:color w:val="auto"/>
          <w:sz w:val="52"/>
          <w:szCs w:val="52"/>
        </w:rPr>
        <w:t>整体支出绩效自评报告</w:t>
      </w:r>
    </w:p>
    <w:p w14:paraId="7299716E">
      <w:pPr>
        <w:jc w:val="both"/>
        <w:rPr>
          <w:rFonts w:hint="eastAsia" w:ascii="仿宋" w:hAnsi="仿宋" w:eastAsia="仿宋" w:cs="仿宋"/>
          <w:b/>
          <w:bCs/>
          <w:color w:val="auto"/>
          <w:sz w:val="32"/>
          <w:szCs w:val="32"/>
        </w:rPr>
      </w:pPr>
    </w:p>
    <w:p w14:paraId="682FDD67">
      <w:pPr>
        <w:jc w:val="center"/>
        <w:rPr>
          <w:rFonts w:hint="eastAsia" w:ascii="仿宋" w:hAnsi="仿宋" w:eastAsia="仿宋" w:cs="仿宋"/>
          <w:color w:val="auto"/>
          <w:sz w:val="32"/>
          <w:szCs w:val="32"/>
        </w:rPr>
      </w:pPr>
    </w:p>
    <w:p w14:paraId="59D9E406">
      <w:pPr>
        <w:jc w:val="center"/>
        <w:rPr>
          <w:rFonts w:hint="eastAsia" w:ascii="仿宋" w:hAnsi="仿宋" w:eastAsia="仿宋" w:cs="仿宋"/>
          <w:color w:val="auto"/>
          <w:sz w:val="32"/>
          <w:szCs w:val="32"/>
        </w:rPr>
      </w:pPr>
    </w:p>
    <w:p w14:paraId="78A8BE96">
      <w:pPr>
        <w:jc w:val="center"/>
        <w:rPr>
          <w:rFonts w:hint="eastAsia" w:ascii="仿宋" w:hAnsi="仿宋" w:eastAsia="仿宋" w:cs="仿宋"/>
          <w:color w:val="auto"/>
          <w:sz w:val="32"/>
          <w:szCs w:val="32"/>
        </w:rPr>
      </w:pPr>
    </w:p>
    <w:p w14:paraId="0F6A7F45">
      <w:pPr>
        <w:jc w:val="center"/>
        <w:rPr>
          <w:rFonts w:hint="eastAsia" w:ascii="仿宋" w:hAnsi="仿宋" w:eastAsia="仿宋" w:cs="仿宋"/>
          <w:color w:val="auto"/>
          <w:sz w:val="32"/>
          <w:szCs w:val="32"/>
        </w:rPr>
      </w:pPr>
    </w:p>
    <w:p w14:paraId="3A9040B3">
      <w:pPr>
        <w:jc w:val="center"/>
        <w:rPr>
          <w:rFonts w:hint="eastAsia" w:ascii="仿宋" w:hAnsi="仿宋" w:eastAsia="仿宋" w:cs="仿宋"/>
          <w:color w:val="auto"/>
          <w:sz w:val="32"/>
          <w:szCs w:val="32"/>
        </w:rPr>
      </w:pPr>
    </w:p>
    <w:p w14:paraId="0740ABFD">
      <w:pPr>
        <w:jc w:val="center"/>
        <w:rPr>
          <w:rFonts w:hint="eastAsia" w:ascii="仿宋" w:hAnsi="仿宋" w:eastAsia="仿宋" w:cs="仿宋"/>
          <w:color w:val="auto"/>
          <w:sz w:val="32"/>
          <w:szCs w:val="32"/>
        </w:rPr>
      </w:pPr>
      <w:bookmarkStart w:id="0" w:name="_GoBack"/>
      <w:bookmarkEnd w:id="0"/>
    </w:p>
    <w:p w14:paraId="13C4B084">
      <w:pPr>
        <w:jc w:val="both"/>
        <w:rPr>
          <w:rFonts w:hint="eastAsia" w:ascii="仿宋" w:hAnsi="仿宋" w:eastAsia="仿宋" w:cs="仿宋"/>
          <w:color w:val="auto"/>
          <w:sz w:val="32"/>
          <w:szCs w:val="32"/>
        </w:rPr>
      </w:pPr>
    </w:p>
    <w:p w14:paraId="7C456ADA">
      <w:pPr>
        <w:jc w:val="center"/>
        <w:rPr>
          <w:rFonts w:hint="eastAsia" w:ascii="仿宋" w:hAnsi="仿宋" w:eastAsia="仿宋" w:cs="仿宋"/>
          <w:color w:val="auto"/>
          <w:sz w:val="32"/>
          <w:szCs w:val="32"/>
        </w:rPr>
      </w:pPr>
    </w:p>
    <w:p w14:paraId="4E4FCC60">
      <w:pPr>
        <w:spacing w:line="600" w:lineRule="exact"/>
        <w:ind w:firstLine="1920" w:firstLineChars="600"/>
        <w:rPr>
          <w:rFonts w:hint="eastAsia" w:ascii="仿宋" w:hAnsi="仿宋" w:eastAsia="仿宋" w:cs="仿宋"/>
          <w:color w:val="auto"/>
          <w:sz w:val="32"/>
          <w:szCs w:val="32"/>
          <w:u w:val="single"/>
          <w:lang w:val="en-US" w:eastAsia="zh-CN"/>
        </w:rPr>
      </w:pPr>
      <w:r>
        <w:rPr>
          <w:rFonts w:hint="eastAsia" w:ascii="仿宋" w:hAnsi="仿宋" w:eastAsia="仿宋" w:cs="仿宋"/>
          <w:color w:val="auto"/>
          <w:sz w:val="32"/>
          <w:szCs w:val="32"/>
        </w:rPr>
        <w:t>单位名称：</w:t>
      </w:r>
      <w:r>
        <w:rPr>
          <w:rFonts w:hint="eastAsia" w:ascii="仿宋" w:hAnsi="仿宋" w:eastAsia="仿宋" w:cs="仿宋"/>
          <w:color w:val="auto"/>
          <w:sz w:val="32"/>
          <w:szCs w:val="32"/>
          <w:u w:val="single"/>
          <w:lang w:val="en-US" w:eastAsia="zh-CN"/>
        </w:rPr>
        <w:t>怀化市信访局</w:t>
      </w:r>
    </w:p>
    <w:p w14:paraId="370C8C2B">
      <w:pPr>
        <w:spacing w:line="600" w:lineRule="exact"/>
        <w:ind w:firstLine="3200" w:firstLineChars="10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2024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日</w:t>
      </w:r>
    </w:p>
    <w:p w14:paraId="6949D882">
      <w:pPr>
        <w:spacing w:line="600" w:lineRule="exact"/>
        <w:ind w:firstLine="3200" w:firstLineChars="1000"/>
        <w:rPr>
          <w:rFonts w:hint="eastAsia" w:ascii="仿宋" w:hAnsi="仿宋" w:eastAsia="仿宋" w:cs="仿宋"/>
          <w:color w:val="auto"/>
          <w:sz w:val="32"/>
          <w:szCs w:val="32"/>
        </w:rPr>
      </w:pPr>
    </w:p>
    <w:p w14:paraId="369DEDE8">
      <w:pPr>
        <w:spacing w:line="600" w:lineRule="exact"/>
        <w:ind w:firstLine="3200" w:firstLineChars="1000"/>
        <w:rPr>
          <w:rFonts w:hint="eastAsia" w:ascii="仿宋" w:hAnsi="仿宋" w:eastAsia="仿宋" w:cs="仿宋"/>
          <w:color w:val="auto"/>
          <w:sz w:val="32"/>
          <w:szCs w:val="32"/>
        </w:rPr>
      </w:pPr>
    </w:p>
    <w:p w14:paraId="36243225">
      <w:pPr>
        <w:spacing w:line="600" w:lineRule="exact"/>
        <w:ind w:firstLine="3200" w:firstLineChars="1000"/>
        <w:rPr>
          <w:rFonts w:hint="eastAsia" w:ascii="仿宋" w:hAnsi="仿宋" w:eastAsia="仿宋" w:cs="仿宋"/>
          <w:color w:val="auto"/>
          <w:sz w:val="32"/>
          <w:szCs w:val="32"/>
        </w:rPr>
      </w:pPr>
    </w:p>
    <w:p w14:paraId="02EF225E">
      <w:pPr>
        <w:spacing w:line="600" w:lineRule="exact"/>
        <w:ind w:firstLine="3200" w:firstLineChars="1000"/>
        <w:rPr>
          <w:rFonts w:hint="eastAsia" w:ascii="仿宋" w:hAnsi="仿宋" w:eastAsia="仿宋" w:cs="仿宋"/>
          <w:color w:val="auto"/>
          <w:sz w:val="32"/>
          <w:szCs w:val="32"/>
        </w:rPr>
      </w:pPr>
    </w:p>
    <w:p w14:paraId="2A28EEE3">
      <w:pPr>
        <w:spacing w:line="600" w:lineRule="exact"/>
        <w:ind w:firstLine="3200" w:firstLineChars="1000"/>
        <w:rPr>
          <w:rFonts w:hint="eastAsia" w:ascii="仿宋" w:hAnsi="仿宋" w:eastAsia="仿宋" w:cs="仿宋"/>
          <w:color w:val="auto"/>
          <w:sz w:val="32"/>
          <w:szCs w:val="32"/>
        </w:rPr>
      </w:pPr>
    </w:p>
    <w:p w14:paraId="28B89D55">
      <w:pPr>
        <w:spacing w:line="600" w:lineRule="exact"/>
        <w:ind w:firstLine="3200" w:firstLineChars="1000"/>
        <w:rPr>
          <w:rFonts w:hint="eastAsia" w:ascii="仿宋" w:hAnsi="仿宋" w:eastAsia="仿宋" w:cs="仿宋"/>
          <w:color w:val="auto"/>
          <w:sz w:val="32"/>
          <w:szCs w:val="32"/>
        </w:rPr>
      </w:pPr>
    </w:p>
    <w:p w14:paraId="462F1C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仿宋" w:hAnsi="仿宋" w:eastAsia="仿宋" w:cs="仿宋"/>
          <w:b/>
          <w:bCs/>
          <w:i w:val="0"/>
          <w:iCs w:val="0"/>
          <w:caps w:val="0"/>
          <w:color w:val="000000"/>
          <w:spacing w:val="0"/>
          <w:sz w:val="44"/>
          <w:szCs w:val="44"/>
          <w:shd w:val="clear" w:fill="FFFFFF"/>
          <w:lang w:val="en-US" w:eastAsia="zh-CN"/>
        </w:rPr>
      </w:pPr>
      <w:r>
        <w:rPr>
          <w:rFonts w:hint="eastAsia" w:ascii="仿宋" w:hAnsi="仿宋" w:eastAsia="仿宋" w:cs="仿宋"/>
          <w:b/>
          <w:bCs/>
          <w:i w:val="0"/>
          <w:iCs w:val="0"/>
          <w:caps w:val="0"/>
          <w:color w:val="000000"/>
          <w:spacing w:val="0"/>
          <w:sz w:val="44"/>
          <w:szCs w:val="44"/>
          <w:shd w:val="clear" w:fill="FFFFFF"/>
          <w:lang w:val="en-US" w:eastAsia="zh-CN"/>
        </w:rPr>
        <w:t>怀化市信访局2023年度</w:t>
      </w:r>
    </w:p>
    <w:p w14:paraId="1D5CC0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仿宋" w:hAnsi="仿宋" w:eastAsia="仿宋" w:cs="仿宋"/>
          <w:b/>
          <w:bCs/>
          <w:i w:val="0"/>
          <w:iCs w:val="0"/>
          <w:caps w:val="0"/>
          <w:color w:val="000000"/>
          <w:spacing w:val="0"/>
          <w:sz w:val="44"/>
          <w:szCs w:val="44"/>
        </w:rPr>
      </w:pPr>
      <w:r>
        <w:rPr>
          <w:rFonts w:hint="eastAsia" w:ascii="仿宋" w:hAnsi="仿宋" w:eastAsia="仿宋" w:cs="仿宋"/>
          <w:b/>
          <w:bCs/>
          <w:i w:val="0"/>
          <w:iCs w:val="0"/>
          <w:caps w:val="0"/>
          <w:color w:val="000000"/>
          <w:spacing w:val="0"/>
          <w:sz w:val="44"/>
          <w:szCs w:val="44"/>
          <w:shd w:val="clear" w:fill="FFFFFF"/>
        </w:rPr>
        <w:t>整体支出绩效自评报告</w:t>
      </w:r>
    </w:p>
    <w:p w14:paraId="392A10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仿宋" w:hAnsi="仿宋" w:eastAsia="仿宋" w:cs="仿宋"/>
          <w:b/>
          <w:bCs/>
          <w:i w:val="0"/>
          <w:iCs w:val="0"/>
          <w:caps w:val="0"/>
          <w:color w:val="000000"/>
          <w:spacing w:val="0"/>
          <w:sz w:val="24"/>
          <w:szCs w:val="24"/>
        </w:rPr>
      </w:pPr>
    </w:p>
    <w:p w14:paraId="4D1023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一、部门、单位基本情况</w:t>
      </w:r>
    </w:p>
    <w:p w14:paraId="1B6091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一）机构设置情况</w:t>
      </w:r>
    </w:p>
    <w:p w14:paraId="61E07C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color w:val="auto"/>
          <w:sz w:val="32"/>
          <w:szCs w:val="32"/>
        </w:rPr>
        <w:t>怀化市信访局（以下简称我局）根据怀化市委、市政府《关于中共怀化市委、市人民政府机构设置的通知》（怀发〔2001〕4号）、《怀化市机构编制委员会关于市信访局有关机构编制事项的批复》（怀编〔2012〕8号、怀编〔2012〕24号、怀编〔2015〕10号）精神，怀化市信访工作办公室更名为怀化市信访局，为市委、市政府主管信访工作的机构，正处级，由市委办公室、市人民政府办公室管理，以市人民政府办公室管理为主。下设办公室、办信科、来访接待科、复查复核科、综合督查科、驻京劝返科和网络信访科7个职能科室。</w:t>
      </w:r>
    </w:p>
    <w:p w14:paraId="07F17372">
      <w:pPr>
        <w:keepNext w:val="0"/>
        <w:keepLines w:val="0"/>
        <w:pageBreakBefore w:val="0"/>
        <w:widowControl/>
        <w:numPr>
          <w:ilvl w:val="0"/>
          <w:numId w:val="1"/>
        </w:numPr>
        <w:shd w:val="clear" w:color="auto" w:fill="auto"/>
        <w:kinsoku/>
        <w:wordWrap/>
        <w:overflowPunct/>
        <w:topLinePunct w:val="0"/>
        <w:autoSpaceDE/>
        <w:autoSpaceDN/>
        <w:bidi w:val="0"/>
        <w:adjustRightInd/>
        <w:snapToGrid/>
        <w:spacing w:after="0" w:line="560" w:lineRule="exact"/>
        <w:ind w:firstLine="64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人员编制情况</w:t>
      </w:r>
    </w:p>
    <w:p w14:paraId="3B003F82">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color w:val="auto"/>
          <w:sz w:val="32"/>
          <w:szCs w:val="32"/>
          <w:highlight w:val="none"/>
        </w:rPr>
        <w:t>我局是一个全额拨款的行政单位，现有编制</w:t>
      </w:r>
      <w:r>
        <w:rPr>
          <w:rFonts w:hint="eastAsia" w:ascii="仿宋" w:hAnsi="仿宋" w:eastAsia="仿宋" w:cs="仿宋"/>
          <w:color w:val="auto"/>
          <w:sz w:val="32"/>
          <w:szCs w:val="32"/>
          <w:highlight w:val="none"/>
          <w:lang w:val="en-US" w:eastAsia="zh-CN"/>
        </w:rPr>
        <w:t>26</w:t>
      </w:r>
      <w:r>
        <w:rPr>
          <w:rFonts w:hint="eastAsia" w:ascii="仿宋" w:hAnsi="仿宋" w:eastAsia="仿宋" w:cs="仿宋"/>
          <w:color w:val="auto"/>
          <w:sz w:val="32"/>
          <w:szCs w:val="32"/>
          <w:highlight w:val="none"/>
        </w:rPr>
        <w:t>名，其中行政编制</w:t>
      </w:r>
      <w:r>
        <w:rPr>
          <w:rFonts w:hint="eastAsia" w:ascii="仿宋" w:hAnsi="仿宋" w:eastAsia="仿宋" w:cs="仿宋"/>
          <w:color w:val="auto"/>
          <w:sz w:val="32"/>
          <w:szCs w:val="32"/>
          <w:highlight w:val="none"/>
          <w:lang w:val="en-US" w:eastAsia="zh-CN"/>
        </w:rPr>
        <w:t>18</w:t>
      </w:r>
      <w:r>
        <w:rPr>
          <w:rFonts w:hint="eastAsia" w:ascii="仿宋" w:hAnsi="仿宋" w:eastAsia="仿宋" w:cs="仿宋"/>
          <w:color w:val="auto"/>
          <w:sz w:val="32"/>
          <w:szCs w:val="32"/>
          <w:highlight w:val="none"/>
        </w:rPr>
        <w:t>名，全额事业编制</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名。</w:t>
      </w:r>
    </w:p>
    <w:p w14:paraId="14F41D4E">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640" w:firstLineChars="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主要职能职责</w:t>
      </w:r>
    </w:p>
    <w:p w14:paraId="1C8E82B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w:t>
      </w:r>
    </w:p>
    <w:p w14:paraId="150B0E6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承办上级信访部门和市委、市政府领导同志交办的信访事项，督促检查领导同志批示件的落实情况；向县（市、区）和市直部门交办信访事项，督促检查重要信访事项的处理和落实。</w:t>
      </w:r>
    </w:p>
    <w:p w14:paraId="7F87808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 xml:space="preserve">协调处理跨县（市、区）、跨部门的重大信访问题；协调处理群众集体来怀、赴省、赴京上访和异常、突发性信访事件；督促、协调市直各部门和县（市、区）的信访工作。 </w:t>
      </w:r>
    </w:p>
    <w:p w14:paraId="1AFA4AF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指导全市信访业务，总结推广信访工作经验，提出改进和加强信访工作的意见和建议。</w:t>
      </w:r>
    </w:p>
    <w:p w14:paraId="5A652A2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了解并掌握全市信访工作队伍建设情况，提出加强信访队伍建设措施；组织信访干部的培训；指导信访部门办公自动化建设。</w:t>
      </w:r>
    </w:p>
    <w:p w14:paraId="54F5B8C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负责信访工作的调研宣传和信息报送等工作。</w:t>
      </w:r>
    </w:p>
    <w:p w14:paraId="5B6347F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承办市委、市人民政府及市委办公室、市人民政府办公室交办的其他事项。</w:t>
      </w:r>
    </w:p>
    <w:p w14:paraId="33EDCB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（四）绩效目标设定情况</w:t>
      </w:r>
    </w:p>
    <w:p w14:paraId="5FD57B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根据《中共中央国务院关于全面实施预算绩效管理的意见》（中发【2018】34号）、《中共湖南省委办公厅 湖南省人民政府办公厅关于全面实施预算绩效管理的实施意见》（湘办发【2019】10号的文件精神，总结上年度绩效管理情况，结合单位2023年预算，分别设定单位整体绩效目标和专项绩效管理目标，进一步规范财政资金管理，强化财政支出绩效理念和责任意识，切实提高财政资金使用效益，全面推进绩效预算管理，提升工作实效。</w:t>
      </w:r>
    </w:p>
    <w:p w14:paraId="2F8E6AAA">
      <w:pPr>
        <w:keepNext w:val="0"/>
        <w:keepLines w:val="0"/>
        <w:pageBreakBefore w:val="0"/>
        <w:numPr>
          <w:ilvl w:val="0"/>
          <w:numId w:val="0"/>
        </w:numPr>
        <w:shd w:val="clear"/>
        <w:kinsoku/>
        <w:wordWrap/>
        <w:overflowPunct/>
        <w:topLinePunct w:val="0"/>
        <w:autoSpaceDE/>
        <w:autoSpaceDN/>
        <w:bidi w:val="0"/>
        <w:adjustRightInd/>
        <w:snapToGrid w:val="0"/>
        <w:spacing w:line="520" w:lineRule="exact"/>
        <w:ind w:firstLine="0"/>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32"/>
          <w:szCs w:val="32"/>
          <w:shd w:val="clear" w:fill="FFFFFF"/>
          <w:lang w:val="en-US" w:eastAsia="zh-CN" w:bidi="ar"/>
        </w:rPr>
        <w:t>二、部门整体支出管理及使用情况</w:t>
      </w:r>
    </w:p>
    <w:p w14:paraId="028165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（一）预算执行、使用、管理总体情况。</w:t>
      </w:r>
    </w:p>
    <w:p w14:paraId="4E228E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在市委的坚强领导下，全市各级各部门和信访系统深入贯彻习近平总书记关于加强和改进人民信访工作的重要思想，担当“为民解难、为党分忧”职责，以“贯彻二十大、落实新条例、开创新局面”为主线，以服务保障“五新四城”战略建设为目标，着力控增量、减存量、防变量，做到“基层基础更加扎实、问题化解更加有力、督导问效更加严格”，信访问题源头治理经验被中央信访联席会议信访信息快报推荐，治理重复信访化解信访积案专项工作交办件983件，审核化解率100%，居全省第一；到国家局平均每万人每年求决类初件0.69件，远低于全省平均水平2.5件；到国家局走访同比2019年下降47.76%,特护期实现“六个零”目标；中方县被评为国家级信访工作示范县，中方县、会同县、芷江侗族自治县、通道侗族自治县4个县成功创建全省信访工作示范县，为全省最多市州之一；信访工作考核开局承压、逐步扭转，11项主要考核指标中有10项好于去年同期，全市信访形势保持平稳可控向好态势。</w:t>
      </w:r>
    </w:p>
    <w:p w14:paraId="60E43B6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2023年，我局年初预算815.89万元，全年预算数643.28万元，决算支出数643.28万元，预算执行率100%，预算全部执行到位。</w:t>
      </w:r>
    </w:p>
    <w:p w14:paraId="710979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（二）部门预算执行情况</w:t>
      </w:r>
    </w:p>
    <w:p w14:paraId="75F109A4">
      <w:pPr>
        <w:keepNext w:val="0"/>
        <w:keepLines w:val="0"/>
        <w:pageBreakBefore w:val="0"/>
        <w:widowControl/>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1.基本支出情况</w:t>
      </w:r>
    </w:p>
    <w:p w14:paraId="6EF06453">
      <w:pPr>
        <w:keepNext w:val="0"/>
        <w:keepLines w:val="0"/>
        <w:pageBreakBefore w:val="0"/>
        <w:widowControl/>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我局</w:t>
      </w:r>
      <w:r>
        <w:rPr>
          <w:rFonts w:hint="eastAsia" w:ascii="仿宋" w:hAnsi="仿宋" w:eastAsia="仿宋" w:cs="仿宋"/>
          <w:color w:val="auto"/>
          <w:sz w:val="32"/>
          <w:szCs w:val="32"/>
          <w:highlight w:val="none"/>
        </w:rPr>
        <w:t>基本支出</w:t>
      </w:r>
      <w:r>
        <w:rPr>
          <w:rFonts w:hint="eastAsia" w:ascii="仿宋" w:hAnsi="仿宋" w:eastAsia="仿宋" w:cs="仿宋"/>
          <w:color w:val="auto"/>
          <w:sz w:val="32"/>
          <w:szCs w:val="32"/>
          <w:highlight w:val="none"/>
          <w:lang w:val="en-US" w:eastAsia="zh-CN"/>
        </w:rPr>
        <w:t>606.14</w:t>
      </w:r>
      <w:r>
        <w:rPr>
          <w:rFonts w:hint="eastAsia" w:ascii="仿宋" w:hAnsi="仿宋" w:eastAsia="仿宋" w:cs="仿宋"/>
          <w:color w:val="auto"/>
          <w:sz w:val="32"/>
          <w:szCs w:val="32"/>
          <w:highlight w:val="none"/>
        </w:rPr>
        <w:t>万元，其中：人员经费</w:t>
      </w:r>
      <w:r>
        <w:rPr>
          <w:rFonts w:hint="eastAsia" w:ascii="仿宋" w:hAnsi="仿宋" w:eastAsia="仿宋" w:cs="仿宋"/>
          <w:color w:val="auto"/>
          <w:sz w:val="32"/>
          <w:szCs w:val="32"/>
          <w:highlight w:val="none"/>
          <w:lang w:val="en-US" w:eastAsia="zh-CN"/>
        </w:rPr>
        <w:t>399.22</w:t>
      </w:r>
      <w:r>
        <w:rPr>
          <w:rFonts w:hint="eastAsia" w:ascii="仿宋" w:hAnsi="仿宋" w:eastAsia="仿宋" w:cs="仿宋"/>
          <w:color w:val="auto"/>
          <w:sz w:val="32"/>
          <w:szCs w:val="32"/>
          <w:highlight w:val="none"/>
        </w:rPr>
        <w:t>万元，公用经费</w:t>
      </w:r>
      <w:r>
        <w:rPr>
          <w:rFonts w:hint="eastAsia" w:ascii="仿宋" w:hAnsi="仿宋" w:eastAsia="仿宋" w:cs="仿宋"/>
          <w:color w:val="auto"/>
          <w:sz w:val="32"/>
          <w:szCs w:val="32"/>
          <w:highlight w:val="none"/>
          <w:lang w:val="en-US" w:eastAsia="zh-CN"/>
        </w:rPr>
        <w:t>206.93</w:t>
      </w:r>
      <w:r>
        <w:rPr>
          <w:rFonts w:hint="eastAsia" w:ascii="仿宋" w:hAnsi="仿宋" w:eastAsia="仿宋" w:cs="仿宋"/>
          <w:color w:val="auto"/>
          <w:sz w:val="32"/>
          <w:szCs w:val="32"/>
          <w:highlight w:val="none"/>
        </w:rPr>
        <w:t>万元，主要包括</w:t>
      </w:r>
      <w:r>
        <w:rPr>
          <w:rFonts w:hint="eastAsia" w:ascii="仿宋" w:hAnsi="仿宋" w:eastAsia="仿宋" w:cs="仿宋"/>
          <w:color w:val="auto"/>
          <w:sz w:val="32"/>
          <w:szCs w:val="32"/>
          <w:highlight w:val="none"/>
          <w:lang w:val="en-US" w:eastAsia="zh-CN"/>
        </w:rPr>
        <w:t>工资及福利支出374.85万元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商品服务支出196.52万元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对个人和家庭的补助支出24.36万元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资本性支出10.41万元</w:t>
      </w:r>
      <w:r>
        <w:rPr>
          <w:rFonts w:hint="eastAsia" w:ascii="仿宋" w:hAnsi="仿宋" w:eastAsia="仿宋" w:cs="仿宋"/>
          <w:color w:val="auto"/>
          <w:sz w:val="32"/>
          <w:szCs w:val="32"/>
          <w:highlight w:val="none"/>
        </w:rPr>
        <w:t>。</w:t>
      </w:r>
    </w:p>
    <w:p w14:paraId="77806072">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项目支出执行情况</w:t>
      </w:r>
    </w:p>
    <w:p w14:paraId="0C7A5086">
      <w:pPr>
        <w:keepNext w:val="0"/>
        <w:keepLines w:val="0"/>
        <w:pageBreakBefore w:val="0"/>
        <w:widowControl/>
        <w:numPr>
          <w:ilvl w:val="0"/>
          <w:numId w:val="0"/>
        </w:numPr>
        <w:shd w:val="clear"/>
        <w:kinsoku/>
        <w:wordWrap/>
        <w:overflowPunct/>
        <w:topLinePunct w:val="0"/>
        <w:autoSpaceDE/>
        <w:autoSpaceDN/>
        <w:bidi w:val="0"/>
        <w:adjustRightInd/>
        <w:snapToGrid/>
        <w:spacing w:after="0" w:line="560" w:lineRule="exact"/>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国我局项目支出涉密，故不做专项支出绩效自评报告。</w:t>
      </w:r>
    </w:p>
    <w:p w14:paraId="5FCE71B7">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640" w:firstLineChars="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"三公"经费使用和管理情况</w:t>
      </w:r>
    </w:p>
    <w:p w14:paraId="5C764BB5">
      <w:pPr>
        <w:keepNext w:val="0"/>
        <w:keepLines w:val="0"/>
        <w:pageBreakBefore w:val="0"/>
        <w:widowControl/>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年度“三公”经费</w:t>
      </w:r>
      <w:r>
        <w:rPr>
          <w:rFonts w:hint="eastAsia" w:ascii="仿宋" w:hAnsi="仿宋" w:eastAsia="仿宋" w:cs="仿宋"/>
          <w:color w:val="auto"/>
          <w:sz w:val="32"/>
          <w:szCs w:val="32"/>
          <w:highlight w:val="none"/>
          <w:lang w:val="en-US" w:eastAsia="zh-CN"/>
        </w:rPr>
        <w:t>年初预算</w:t>
      </w:r>
      <w:r>
        <w:rPr>
          <w:rFonts w:hint="eastAsia" w:ascii="仿宋" w:hAnsi="仿宋" w:eastAsia="仿宋" w:cs="仿宋"/>
          <w:color w:val="auto"/>
          <w:sz w:val="32"/>
          <w:szCs w:val="32"/>
          <w:highlight w:val="none"/>
        </w:rPr>
        <w:t>预算为</w:t>
      </w:r>
      <w:r>
        <w:rPr>
          <w:rFonts w:hint="eastAsia" w:ascii="仿宋" w:hAnsi="仿宋" w:eastAsia="仿宋" w:cs="仿宋"/>
          <w:color w:val="auto"/>
          <w:sz w:val="32"/>
          <w:szCs w:val="32"/>
          <w:highlight w:val="none"/>
          <w:lang w:val="en-US" w:eastAsia="zh-CN"/>
        </w:rPr>
        <w:t>15.6</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全年预算数为13.70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实际支出数13.70万元，</w:t>
      </w:r>
      <w:r>
        <w:rPr>
          <w:rFonts w:hint="eastAsia" w:ascii="仿宋" w:hAnsi="仿宋" w:eastAsia="仿宋" w:cs="仿宋"/>
          <w:color w:val="auto"/>
          <w:sz w:val="32"/>
          <w:szCs w:val="32"/>
          <w:highlight w:val="none"/>
        </w:rPr>
        <w:t>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%，其中：</w:t>
      </w:r>
    </w:p>
    <w:p w14:paraId="0FD8F182">
      <w:pPr>
        <w:keepNext w:val="0"/>
        <w:keepLines w:val="0"/>
        <w:pageBreakBefore w:val="0"/>
        <w:widowControl/>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因公出国（境）费支出预算为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2C2F5E1F">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公务接待费支出</w:t>
      </w:r>
      <w:r>
        <w:rPr>
          <w:rFonts w:hint="eastAsia" w:ascii="仿宋" w:hAnsi="仿宋" w:eastAsia="仿宋" w:cs="仿宋"/>
          <w:color w:val="auto"/>
          <w:sz w:val="32"/>
          <w:szCs w:val="32"/>
          <w:highlight w:val="none"/>
          <w:lang w:val="en-US" w:eastAsia="zh-CN"/>
        </w:rPr>
        <w:t>年初</w:t>
      </w:r>
      <w:r>
        <w:rPr>
          <w:rFonts w:hint="eastAsia" w:ascii="仿宋" w:hAnsi="仿宋" w:eastAsia="仿宋" w:cs="仿宋"/>
          <w:color w:val="auto"/>
          <w:sz w:val="32"/>
          <w:szCs w:val="32"/>
          <w:highlight w:val="none"/>
        </w:rPr>
        <w:t>预算为</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全年预算数0.83万元，</w:t>
      </w:r>
      <w:r>
        <w:rPr>
          <w:rFonts w:hint="eastAsia" w:ascii="仿宋" w:hAnsi="仿宋" w:eastAsia="仿宋" w:cs="仿宋"/>
          <w:color w:val="auto"/>
          <w:sz w:val="32"/>
          <w:szCs w:val="32"/>
          <w:highlight w:val="none"/>
        </w:rPr>
        <w:t>支出决算为</w:t>
      </w:r>
      <w:r>
        <w:rPr>
          <w:rFonts w:hint="eastAsia" w:ascii="仿宋" w:hAnsi="仿宋" w:eastAsia="仿宋" w:cs="仿宋"/>
          <w:color w:val="auto"/>
          <w:sz w:val="32"/>
          <w:szCs w:val="32"/>
          <w:highlight w:val="none"/>
          <w:lang w:val="en-US" w:eastAsia="zh-CN"/>
        </w:rPr>
        <w:t>0.83</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34.58</w:t>
      </w:r>
      <w:r>
        <w:rPr>
          <w:rFonts w:hint="eastAsia" w:ascii="仿宋" w:hAnsi="仿宋" w:eastAsia="仿宋" w:cs="仿宋"/>
          <w:color w:val="auto"/>
          <w:sz w:val="32"/>
          <w:szCs w:val="32"/>
          <w:highlight w:val="none"/>
        </w:rPr>
        <w:t>%，决算数小于</w:t>
      </w:r>
      <w:r>
        <w:rPr>
          <w:rFonts w:hint="eastAsia" w:ascii="仿宋" w:hAnsi="仿宋" w:eastAsia="仿宋" w:cs="仿宋"/>
          <w:color w:val="auto"/>
          <w:sz w:val="32"/>
          <w:szCs w:val="32"/>
          <w:highlight w:val="none"/>
          <w:lang w:val="en-US" w:eastAsia="zh-CN"/>
        </w:rPr>
        <w:t>年初</w:t>
      </w:r>
      <w:r>
        <w:rPr>
          <w:rFonts w:hint="eastAsia" w:ascii="仿宋" w:hAnsi="仿宋" w:eastAsia="仿宋" w:cs="仿宋"/>
          <w:color w:val="auto"/>
          <w:sz w:val="32"/>
          <w:szCs w:val="32"/>
          <w:highlight w:val="none"/>
        </w:rPr>
        <w:t>预算数的主要原因是严格按要求执行中央关于节约三公经费的政策，厉行节约节俭原则，缩减公务接待费用。</w:t>
      </w:r>
    </w:p>
    <w:p w14:paraId="450819A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公务用车购置费支出预算为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6C1343CE">
      <w:pPr>
        <w:keepNext w:val="0"/>
        <w:keepLines w:val="0"/>
        <w:pageBreakBefore w:val="0"/>
        <w:widowControl/>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color w:val="auto"/>
          <w:sz w:val="32"/>
          <w:szCs w:val="32"/>
          <w:highlight w:val="none"/>
        </w:rPr>
        <w:t>公务用车运行维护费</w:t>
      </w:r>
      <w:r>
        <w:rPr>
          <w:rFonts w:hint="eastAsia" w:ascii="仿宋" w:hAnsi="仿宋" w:eastAsia="仿宋" w:cs="仿宋"/>
          <w:color w:val="auto"/>
          <w:sz w:val="32"/>
          <w:szCs w:val="32"/>
          <w:highlight w:val="none"/>
          <w:lang w:val="en-US" w:eastAsia="zh-CN"/>
        </w:rPr>
        <w:t>年初</w:t>
      </w:r>
      <w:r>
        <w:rPr>
          <w:rFonts w:hint="eastAsia" w:ascii="仿宋" w:hAnsi="仿宋" w:eastAsia="仿宋" w:cs="仿宋"/>
          <w:color w:val="auto"/>
          <w:sz w:val="32"/>
          <w:szCs w:val="32"/>
          <w:highlight w:val="none"/>
        </w:rPr>
        <w:t>预算为</w:t>
      </w:r>
      <w:r>
        <w:rPr>
          <w:rFonts w:hint="eastAsia" w:ascii="仿宋" w:hAnsi="仿宋" w:eastAsia="仿宋" w:cs="仿宋"/>
          <w:color w:val="auto"/>
          <w:sz w:val="32"/>
          <w:szCs w:val="32"/>
          <w:highlight w:val="none"/>
          <w:lang w:val="en-US" w:eastAsia="zh-CN"/>
        </w:rPr>
        <w:t>13.2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全年预算数12.87万元，</w:t>
      </w:r>
      <w:r>
        <w:rPr>
          <w:rFonts w:hint="eastAsia" w:ascii="仿宋" w:hAnsi="仿宋" w:eastAsia="仿宋" w:cs="仿宋"/>
          <w:color w:val="auto"/>
          <w:sz w:val="32"/>
          <w:szCs w:val="32"/>
          <w:highlight w:val="none"/>
        </w:rPr>
        <w:t>决算支出</w:t>
      </w:r>
      <w:r>
        <w:rPr>
          <w:rFonts w:hint="eastAsia" w:ascii="仿宋" w:hAnsi="仿宋" w:eastAsia="仿宋" w:cs="仿宋"/>
          <w:color w:val="auto"/>
          <w:sz w:val="32"/>
          <w:szCs w:val="32"/>
          <w:highlight w:val="none"/>
          <w:lang w:val="en-US" w:eastAsia="zh-CN"/>
        </w:rPr>
        <w:t>数</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12.87</w:t>
      </w:r>
      <w:r>
        <w:rPr>
          <w:rFonts w:hint="eastAsia" w:ascii="仿宋" w:hAnsi="仿宋" w:eastAsia="仿宋" w:cs="仿宋"/>
          <w:color w:val="auto"/>
          <w:sz w:val="32"/>
          <w:szCs w:val="32"/>
          <w:highlight w:val="none"/>
        </w:rPr>
        <w:t>万元，完成</w:t>
      </w:r>
      <w:r>
        <w:rPr>
          <w:rFonts w:hint="eastAsia" w:ascii="仿宋" w:hAnsi="仿宋" w:eastAsia="仿宋" w:cs="仿宋"/>
          <w:color w:val="auto"/>
          <w:sz w:val="32"/>
          <w:szCs w:val="32"/>
          <w:highlight w:val="none"/>
          <w:lang w:val="en-US" w:eastAsia="zh-CN"/>
        </w:rPr>
        <w:t>年妆</w:t>
      </w:r>
      <w:r>
        <w:rPr>
          <w:rFonts w:hint="eastAsia" w:ascii="仿宋" w:hAnsi="仿宋" w:eastAsia="仿宋" w:cs="仿宋"/>
          <w:color w:val="auto"/>
          <w:sz w:val="32"/>
          <w:szCs w:val="32"/>
          <w:highlight w:val="none"/>
        </w:rPr>
        <w:t>预算的</w:t>
      </w:r>
      <w:r>
        <w:rPr>
          <w:rFonts w:hint="eastAsia" w:ascii="仿宋" w:hAnsi="仿宋" w:eastAsia="仿宋" w:cs="仿宋"/>
          <w:color w:val="auto"/>
          <w:sz w:val="32"/>
          <w:szCs w:val="32"/>
          <w:highlight w:val="none"/>
          <w:lang w:val="en-US" w:eastAsia="zh-CN"/>
        </w:rPr>
        <w:t>97.50</w:t>
      </w:r>
      <w:r>
        <w:rPr>
          <w:rFonts w:hint="eastAsia" w:ascii="仿宋" w:hAnsi="仿宋" w:eastAsia="仿宋" w:cs="仿宋"/>
          <w:color w:val="auto"/>
          <w:sz w:val="32"/>
          <w:szCs w:val="32"/>
          <w:highlight w:val="none"/>
        </w:rPr>
        <w:t>%，决算数小于预算数的主要原因是严格按要求执行中央关于节约三公经费的政策，厉行节约节俭原则，缩减公务用车费用，与上年相比减少</w:t>
      </w:r>
      <w:r>
        <w:rPr>
          <w:rFonts w:hint="eastAsia" w:ascii="仿宋" w:hAnsi="仿宋" w:eastAsia="仿宋" w:cs="仿宋"/>
          <w:color w:val="auto"/>
          <w:sz w:val="32"/>
          <w:szCs w:val="32"/>
          <w:highlight w:val="none"/>
          <w:lang w:val="en-US" w:eastAsia="zh-CN"/>
        </w:rPr>
        <w:t>0.11</w:t>
      </w:r>
      <w:r>
        <w:rPr>
          <w:rFonts w:hint="eastAsia" w:ascii="仿宋" w:hAnsi="仿宋" w:eastAsia="仿宋" w:cs="仿宋"/>
          <w:color w:val="auto"/>
          <w:sz w:val="32"/>
          <w:szCs w:val="32"/>
          <w:highlight w:val="none"/>
        </w:rPr>
        <w:t>万元，减少</w:t>
      </w:r>
      <w:r>
        <w:rPr>
          <w:rFonts w:hint="eastAsia" w:ascii="仿宋" w:hAnsi="仿宋" w:eastAsia="仿宋" w:cs="仿宋"/>
          <w:color w:val="auto"/>
          <w:sz w:val="32"/>
          <w:szCs w:val="32"/>
          <w:highlight w:val="none"/>
          <w:lang w:val="en-US" w:eastAsia="zh-CN"/>
        </w:rPr>
        <w:t>0.83</w:t>
      </w:r>
      <w:r>
        <w:rPr>
          <w:rFonts w:hint="eastAsia" w:ascii="仿宋" w:hAnsi="仿宋" w:eastAsia="仿宋" w:cs="仿宋"/>
          <w:color w:val="auto"/>
          <w:sz w:val="32"/>
          <w:szCs w:val="32"/>
          <w:highlight w:val="none"/>
        </w:rPr>
        <w:t>%,减少的主要原因是厉行节约节俭原则，缩减公务用车费用。</w:t>
      </w:r>
    </w:p>
    <w:p w14:paraId="043AEF1A">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政府性基金预算支出情况</w:t>
      </w:r>
    </w:p>
    <w:p w14:paraId="5065803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64D29893">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国有资本经营预算支出情况</w:t>
      </w:r>
    </w:p>
    <w:p w14:paraId="0AD15B3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2E6A7FF0">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社会保险基金预算支出情况</w:t>
      </w:r>
    </w:p>
    <w:p w14:paraId="6B6EDFB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678360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六、部门整体支出绩效情况</w:t>
      </w:r>
    </w:p>
    <w:p w14:paraId="53DBB2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（一）综合评价结论。</w:t>
      </w:r>
    </w:p>
    <w:p w14:paraId="45854D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2023年，部门在整体支出绩效自评中得分99分，自评等级为优。</w:t>
      </w:r>
    </w:p>
    <w:p w14:paraId="23191A27">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评价指标分析（或综合评价情况）。</w:t>
      </w:r>
    </w:p>
    <w:p w14:paraId="1FD3950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2023年度，部门整体支出643.28万元，其中基本支出606.14万元，专项支出37.14万元。</w:t>
      </w:r>
      <w:r>
        <w:rPr>
          <w:rFonts w:hint="eastAsia" w:ascii="仿宋" w:hAnsi="仿宋" w:eastAsia="仿宋" w:cs="仿宋"/>
          <w:color w:val="auto"/>
          <w:sz w:val="32"/>
          <w:szCs w:val="32"/>
          <w:highlight w:val="none"/>
          <w:lang w:val="en-US" w:eastAsia="zh-CN"/>
        </w:rPr>
        <w:t>2023</w:t>
      </w:r>
      <w:r>
        <w:rPr>
          <w:rFonts w:hint="eastAsia" w:ascii="仿宋" w:hAnsi="仿宋" w:eastAsia="仿宋" w:cs="仿宋"/>
          <w:color w:val="auto"/>
          <w:sz w:val="32"/>
          <w:szCs w:val="32"/>
          <w:lang w:eastAsia="zh-CN"/>
        </w:rPr>
        <w:t>年</w:t>
      </w:r>
      <w:r>
        <w:rPr>
          <w:rFonts w:hint="eastAsia" w:ascii="仿宋" w:hAnsi="仿宋" w:eastAsia="仿宋" w:cs="仿宋"/>
          <w:color w:val="auto"/>
          <w:sz w:val="32"/>
          <w:szCs w:val="32"/>
        </w:rPr>
        <w:t>度我局充分履行职责职能,严格按财经法规及制度使用、管理资金,成效明显,根据部门整体支出绩效评价指标规定的内</w:t>
      </w:r>
      <w:r>
        <w:rPr>
          <w:rFonts w:hint="eastAsia" w:ascii="仿宋" w:hAnsi="仿宋" w:eastAsia="仿宋" w:cs="仿宋"/>
          <w:color w:val="auto"/>
          <w:sz w:val="32"/>
          <w:szCs w:val="32"/>
          <w:highlight w:val="none"/>
        </w:rPr>
        <w:t>容，经我局综合自评，认为我局</w:t>
      </w:r>
      <w:r>
        <w:rPr>
          <w:rFonts w:hint="eastAsia" w:ascii="仿宋" w:hAnsi="仿宋" w:eastAsia="仿宋" w:cs="仿宋"/>
          <w:color w:val="auto"/>
          <w:sz w:val="32"/>
          <w:szCs w:val="32"/>
          <w:highlight w:val="none"/>
          <w:lang w:eastAsia="zh-CN"/>
        </w:rPr>
        <w:t>20</w:t>
      </w:r>
      <w:r>
        <w:rPr>
          <w:rFonts w:hint="eastAsia" w:ascii="仿宋" w:hAnsi="仿宋" w:eastAsia="仿宋" w:cs="仿宋"/>
          <w:color w:val="auto"/>
          <w:sz w:val="32"/>
          <w:szCs w:val="32"/>
          <w:highlight w:val="none"/>
          <w:lang w:val="en-US" w:eastAsia="zh-CN"/>
        </w:rPr>
        <w:t>23</w:t>
      </w:r>
      <w:r>
        <w:rPr>
          <w:rFonts w:hint="eastAsia" w:ascii="仿宋" w:hAnsi="仿宋" w:eastAsia="仿宋" w:cs="仿宋"/>
          <w:color w:val="auto"/>
          <w:sz w:val="32"/>
          <w:szCs w:val="32"/>
          <w:highlight w:val="none"/>
          <w:lang w:eastAsia="zh-CN"/>
        </w:rPr>
        <w:t>年</w:t>
      </w:r>
      <w:r>
        <w:rPr>
          <w:rFonts w:hint="eastAsia" w:ascii="仿宋" w:hAnsi="仿宋" w:eastAsia="仿宋" w:cs="仿宋"/>
          <w:color w:val="auto"/>
          <w:sz w:val="32"/>
          <w:szCs w:val="32"/>
          <w:highlight w:val="none"/>
        </w:rPr>
        <w:t>度整体支出绩效自评得分为</w:t>
      </w:r>
      <w:r>
        <w:rPr>
          <w:rFonts w:hint="eastAsia" w:ascii="仿宋" w:hAnsi="仿宋" w:eastAsia="仿宋" w:cs="仿宋"/>
          <w:color w:val="auto"/>
          <w:sz w:val="32"/>
          <w:szCs w:val="32"/>
          <w:highlight w:val="none"/>
          <w:lang w:val="en-US" w:eastAsia="zh-CN"/>
        </w:rPr>
        <w:t>98</w:t>
      </w:r>
      <w:r>
        <w:rPr>
          <w:rFonts w:hint="eastAsia" w:ascii="仿宋" w:hAnsi="仿宋" w:eastAsia="仿宋" w:cs="仿宋"/>
          <w:color w:val="auto"/>
          <w:sz w:val="32"/>
          <w:szCs w:val="32"/>
          <w:highlight w:val="none"/>
        </w:rPr>
        <w:t>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 xml:space="preserve">          </w:t>
      </w:r>
    </w:p>
    <w:p w14:paraId="015680D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市委的坚强领导下，全市各级各部门和信访系统深入贯彻习近平总书记关于加强和改进人民信访工作的重要思想，担当“为民解难、为党分忧”职责，以“贯彻二十大、落实新条例、开创新局面”为主线，以服务保障“五新四城”战略建设为目标，着力控增量、减存量、防变量，做到“基层基础更加扎实、问题化解更加有力、督导问效更加严格”，信访问题源头治理经验被中央信访联席会议信访信息快报推荐，治理重复信访化解信访积案专项工作交办件983件，审核化解率100%，居全省第一；到国家局平均每万人每年求决类初件0.69件，远低于全省平均水平2.5件；到国家局走访同比2019年下降47.76%,特护期实现“六个零”目标；中方县被评为国家级信访工作示范县，中方县、会同县、芷江侗族自治县、通道侗族自治县4个县成功创建全省信访工作示范县，为全省最多市州之一；信访工作考核开局承压、逐步扭转，11项主要考核指标中有10项好于去年同期，全市信访形势保持平稳可控向好态势。</w:t>
      </w:r>
    </w:p>
    <w:p w14:paraId="2A2C2EB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单位</w:t>
      </w:r>
      <w:r>
        <w:rPr>
          <w:rFonts w:hint="eastAsia" w:ascii="仿宋" w:hAnsi="仿宋" w:eastAsia="仿宋" w:cs="仿宋"/>
          <w:color w:val="auto"/>
          <w:sz w:val="32"/>
          <w:szCs w:val="32"/>
        </w:rPr>
        <w:t>严格执行预算，控制各项支出；完善我</w:t>
      </w:r>
      <w:r>
        <w:rPr>
          <w:rFonts w:hint="eastAsia" w:ascii="仿宋" w:hAnsi="仿宋" w:eastAsia="仿宋" w:cs="仿宋"/>
          <w:color w:val="auto"/>
          <w:sz w:val="32"/>
          <w:szCs w:val="32"/>
          <w:lang w:eastAsia="zh-CN"/>
        </w:rPr>
        <w:t>局</w:t>
      </w:r>
      <w:r>
        <w:rPr>
          <w:rFonts w:hint="eastAsia" w:ascii="仿宋" w:hAnsi="仿宋" w:eastAsia="仿宋" w:cs="仿宋"/>
          <w:color w:val="auto"/>
          <w:sz w:val="32"/>
          <w:szCs w:val="32"/>
        </w:rPr>
        <w:t>制度，规范管理，坚决贯彻落实省委省政府关于落实党政机关厉行节约工作的有关精神，执行中央“八项规定”的要求，加强机关财务管理，严格控制单位行政运行支出。</w:t>
      </w:r>
    </w:p>
    <w:p w14:paraId="3F005B3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b/>
          <w:bCs/>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七、存在的问题及原因分析</w:t>
      </w:r>
    </w:p>
    <w:p w14:paraId="242920D1">
      <w:pPr>
        <w:keepNext w:val="0"/>
        <w:keepLines w:val="0"/>
        <w:pageBreakBefore w:val="0"/>
        <w:widowControl/>
        <w:shd w:val="clear" w:color="auto"/>
        <w:kinsoku/>
        <w:wordWrap/>
        <w:overflowPunct/>
        <w:topLinePunct w:val="0"/>
        <w:autoSpaceDE/>
        <w:autoSpaceDN/>
        <w:bidi w:val="0"/>
        <w:spacing w:line="560" w:lineRule="exact"/>
        <w:ind w:left="0" w:leftChars="0" w:firstLine="640"/>
        <w:jc w:val="both"/>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（一）年初预算与财政拨款金额差异较大，往来资金款项未纳入会计核算，账务处理不严谨导致预决算差异过大。</w:t>
      </w:r>
    </w:p>
    <w:p w14:paraId="24FB9BF1">
      <w:pPr>
        <w:keepNext w:val="0"/>
        <w:keepLines w:val="0"/>
        <w:pageBreakBefore w:val="0"/>
        <w:widowControl/>
        <w:shd w:val="clear" w:color="auto"/>
        <w:kinsoku/>
        <w:wordWrap/>
        <w:overflowPunct/>
        <w:topLinePunct w:val="0"/>
        <w:autoSpaceDE/>
        <w:autoSpaceDN/>
        <w:bidi w:val="0"/>
        <w:spacing w:line="560" w:lineRule="exact"/>
        <w:ind w:firstLine="64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（二）财务监管的力度不够，应加强对单位的资产管理。</w:t>
      </w:r>
    </w:p>
    <w:p w14:paraId="40535605">
      <w:pPr>
        <w:keepNext w:val="0"/>
        <w:keepLines w:val="0"/>
        <w:pageBreakBefore w:val="0"/>
        <w:widowControl/>
        <w:shd w:val="clear" w:color="auto"/>
        <w:kinsoku/>
        <w:wordWrap/>
        <w:overflowPunct/>
        <w:topLinePunct w:val="0"/>
        <w:autoSpaceDE/>
        <w:autoSpaceDN/>
        <w:bidi w:val="0"/>
        <w:spacing w:line="560" w:lineRule="exact"/>
        <w:ind w:firstLine="640"/>
        <w:jc w:val="both"/>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lang w:val="en-US" w:eastAsia="zh-CN"/>
        </w:rPr>
        <w:t>（三）信访工作存在薄弱环节。</w:t>
      </w:r>
    </w:p>
    <w:p w14:paraId="5A6995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八、下一步改进措施</w:t>
      </w:r>
    </w:p>
    <w:p w14:paraId="50F4F9F8">
      <w:pPr>
        <w:keepNext w:val="0"/>
        <w:keepLines w:val="0"/>
        <w:pageBreakBefore w:val="0"/>
        <w:widowControl w:val="0"/>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针对上述存在的问题及我局整体支出管理工作的需要，拟实施的改进措施如下：</w:t>
      </w:r>
    </w:p>
    <w:p w14:paraId="1C0971EF">
      <w:pPr>
        <w:keepNext w:val="0"/>
        <w:keepLines w:val="0"/>
        <w:pageBreakBefore w:val="0"/>
        <w:widowControl w:val="0"/>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、合理编制预算</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加强预算控制和管理，遵循依法理财有所原则，</w:t>
      </w:r>
      <w:r>
        <w:rPr>
          <w:rFonts w:hint="eastAsia" w:ascii="仿宋" w:hAnsi="仿宋" w:eastAsia="仿宋" w:cs="仿宋"/>
          <w:color w:val="auto"/>
          <w:sz w:val="32"/>
          <w:szCs w:val="32"/>
        </w:rPr>
        <w:t>合理测算开支金额，严格按</w:t>
      </w:r>
      <w:r>
        <w:rPr>
          <w:rFonts w:hint="eastAsia" w:ascii="仿宋" w:hAnsi="仿宋" w:eastAsia="仿宋" w:cs="仿宋"/>
          <w:color w:val="auto"/>
          <w:sz w:val="32"/>
          <w:szCs w:val="32"/>
          <w:lang w:eastAsia="zh-CN"/>
        </w:rPr>
        <w:t>照《中华人民共和国</w:t>
      </w:r>
      <w:r>
        <w:rPr>
          <w:rFonts w:hint="eastAsia" w:ascii="仿宋" w:hAnsi="仿宋" w:eastAsia="仿宋" w:cs="仿宋"/>
          <w:color w:val="auto"/>
          <w:sz w:val="32"/>
          <w:szCs w:val="32"/>
        </w:rPr>
        <w:t>预算</w:t>
      </w:r>
      <w:r>
        <w:rPr>
          <w:rFonts w:hint="eastAsia" w:ascii="仿宋" w:hAnsi="仿宋" w:eastAsia="仿宋" w:cs="仿宋"/>
          <w:color w:val="auto"/>
          <w:sz w:val="32"/>
          <w:szCs w:val="32"/>
          <w:lang w:eastAsia="zh-CN"/>
        </w:rPr>
        <w:t>法》等有关法律</w:t>
      </w:r>
      <w:r>
        <w:rPr>
          <w:rFonts w:hint="eastAsia" w:ascii="仿宋" w:hAnsi="仿宋" w:eastAsia="仿宋" w:cs="仿宋"/>
          <w:color w:val="auto"/>
          <w:sz w:val="32"/>
          <w:szCs w:val="32"/>
        </w:rPr>
        <w:t>的相关制度和要求进行预算编制；</w:t>
      </w:r>
      <w:r>
        <w:rPr>
          <w:rFonts w:hint="eastAsia" w:ascii="仿宋" w:hAnsi="仿宋" w:eastAsia="仿宋" w:cs="仿宋"/>
          <w:color w:val="auto"/>
          <w:sz w:val="32"/>
          <w:szCs w:val="32"/>
          <w:lang w:eastAsia="zh-CN"/>
        </w:rPr>
        <w:t>坚持量入为出，收支平衡的原则。要</w:t>
      </w:r>
      <w:r>
        <w:rPr>
          <w:rFonts w:hint="eastAsia" w:ascii="仿宋" w:hAnsi="仿宋" w:eastAsia="仿宋" w:cs="仿宋"/>
          <w:color w:val="auto"/>
          <w:sz w:val="32"/>
          <w:szCs w:val="32"/>
        </w:rPr>
        <w:t>优先保障</w:t>
      </w:r>
      <w:r>
        <w:rPr>
          <w:rFonts w:hint="eastAsia" w:ascii="仿宋" w:hAnsi="仿宋" w:eastAsia="仿宋" w:cs="仿宋"/>
          <w:color w:val="auto"/>
          <w:sz w:val="32"/>
          <w:szCs w:val="32"/>
          <w:lang w:eastAsia="zh-CN"/>
        </w:rPr>
        <w:t>发展目标中急需解决的问题及</w:t>
      </w:r>
      <w:r>
        <w:rPr>
          <w:rFonts w:hint="eastAsia" w:ascii="仿宋" w:hAnsi="仿宋" w:eastAsia="仿宋" w:cs="仿宋"/>
          <w:color w:val="auto"/>
          <w:sz w:val="32"/>
          <w:szCs w:val="32"/>
        </w:rPr>
        <w:t>固定性的、相对刚性的费用支出项目，</w:t>
      </w:r>
      <w:r>
        <w:rPr>
          <w:rFonts w:hint="eastAsia" w:ascii="仿宋" w:hAnsi="仿宋" w:eastAsia="仿宋" w:cs="仿宋"/>
          <w:color w:val="auto"/>
          <w:sz w:val="32"/>
          <w:szCs w:val="32"/>
          <w:lang w:eastAsia="zh-CN"/>
        </w:rPr>
        <w:t>为将来做好信访工作夯实基础，对经费开支大、</w:t>
      </w:r>
      <w:r>
        <w:rPr>
          <w:rFonts w:hint="eastAsia" w:ascii="仿宋" w:hAnsi="仿宋" w:eastAsia="仿宋" w:cs="仿宋"/>
          <w:color w:val="auto"/>
          <w:sz w:val="32"/>
          <w:szCs w:val="32"/>
        </w:rPr>
        <w:t>变动性</w:t>
      </w:r>
      <w:r>
        <w:rPr>
          <w:rFonts w:hint="eastAsia" w:ascii="仿宋" w:hAnsi="仿宋" w:eastAsia="仿宋" w:cs="仿宋"/>
          <w:color w:val="auto"/>
          <w:sz w:val="32"/>
          <w:szCs w:val="32"/>
          <w:lang w:eastAsia="zh-CN"/>
        </w:rPr>
        <w:t>强</w:t>
      </w:r>
      <w:r>
        <w:rPr>
          <w:rFonts w:hint="eastAsia" w:ascii="仿宋" w:hAnsi="仿宋" w:eastAsia="仿宋" w:cs="仿宋"/>
          <w:color w:val="auto"/>
          <w:sz w:val="32"/>
          <w:szCs w:val="32"/>
        </w:rPr>
        <w:t>、有控制空间的费用项目</w:t>
      </w:r>
      <w:r>
        <w:rPr>
          <w:rFonts w:hint="eastAsia" w:ascii="仿宋" w:hAnsi="仿宋" w:eastAsia="仿宋" w:cs="仿宋"/>
          <w:color w:val="auto"/>
          <w:sz w:val="32"/>
          <w:szCs w:val="32"/>
          <w:lang w:eastAsia="zh-CN"/>
        </w:rPr>
        <w:t>进行重点管理、</w:t>
      </w:r>
      <w:r>
        <w:rPr>
          <w:rFonts w:hint="eastAsia" w:ascii="仿宋" w:hAnsi="仿宋" w:eastAsia="仿宋" w:cs="仿宋"/>
          <w:color w:val="auto"/>
          <w:sz w:val="32"/>
          <w:szCs w:val="32"/>
        </w:rPr>
        <w:t>尽量压缩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进一步提高预算编制的</w:t>
      </w:r>
      <w:r>
        <w:rPr>
          <w:rFonts w:hint="eastAsia" w:ascii="仿宋" w:hAnsi="仿宋" w:eastAsia="仿宋" w:cs="仿宋"/>
          <w:color w:val="auto"/>
          <w:sz w:val="32"/>
          <w:szCs w:val="32"/>
          <w:lang w:eastAsia="zh-CN"/>
        </w:rPr>
        <w:t>合理</w:t>
      </w:r>
      <w:r>
        <w:rPr>
          <w:rFonts w:hint="eastAsia" w:ascii="仿宋" w:hAnsi="仿宋" w:eastAsia="仿宋" w:cs="仿宋"/>
          <w:color w:val="auto"/>
          <w:sz w:val="32"/>
          <w:szCs w:val="32"/>
        </w:rPr>
        <w:t>性、严谨性和可控性</w:t>
      </w:r>
      <w:r>
        <w:rPr>
          <w:rFonts w:hint="eastAsia" w:ascii="仿宋" w:hAnsi="仿宋" w:eastAsia="仿宋" w:cs="仿宋"/>
          <w:color w:val="auto"/>
          <w:sz w:val="32"/>
          <w:szCs w:val="32"/>
          <w:lang w:eastAsia="zh-CN"/>
        </w:rPr>
        <w:t>，以真正发挥预算的调控作用。</w:t>
      </w:r>
    </w:p>
    <w:p w14:paraId="15312B2E">
      <w:pPr>
        <w:keepNext w:val="0"/>
        <w:keepLines w:val="0"/>
        <w:pageBreakBefore w:val="0"/>
        <w:widowControl/>
        <w:kinsoku/>
        <w:wordWrap/>
        <w:overflowPunct/>
        <w:topLinePunct w:val="0"/>
        <w:autoSpaceDE/>
        <w:autoSpaceDN/>
        <w:bidi w:val="0"/>
        <w:adjustRightInd/>
        <w:snapToGrid/>
        <w:spacing w:after="0" w:line="560" w:lineRule="exact"/>
        <w:ind w:firstLine="480" w:firstLineChars="15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 xml:space="preserve"> 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加强财务</w:t>
      </w:r>
      <w:r>
        <w:rPr>
          <w:rFonts w:hint="eastAsia" w:ascii="仿宋" w:hAnsi="仿宋" w:eastAsia="仿宋" w:cs="仿宋"/>
          <w:color w:val="auto"/>
          <w:sz w:val="32"/>
          <w:szCs w:val="32"/>
          <w:lang w:eastAsia="zh-CN"/>
        </w:rPr>
        <w:t>监管力度</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做好单位内部审计工作</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通过开展内部审计工作，加大自我约束力度，规范内部财务管理。以保证在运作过程中对单位资产状况有客观真实的了解，摸清单位财务收支及运营情况，合理配置国有资产，从而提高财政资金的使用效益。并加强单位内部廉政建设，提高单位人员的法制意识及领导的经济业务素质，从而推动行政事业单位健康发展。</w:t>
      </w:r>
    </w:p>
    <w:p w14:paraId="12CF8D19">
      <w:pPr>
        <w:keepNext w:val="0"/>
        <w:keepLines w:val="0"/>
        <w:pageBreakBefore w:val="0"/>
        <w:widowControl w:val="0"/>
        <w:kinsoku/>
        <w:wordWrap/>
        <w:overflowPunct/>
        <w:topLinePunct w:val="0"/>
        <w:autoSpaceDE/>
        <w:autoSpaceDN/>
        <w:bidi w:val="0"/>
        <w:adjustRightInd/>
        <w:snapToGrid/>
        <w:spacing w:after="0" w:line="56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3</w:t>
      </w:r>
      <w:r>
        <w:rPr>
          <w:rFonts w:hint="eastAsia" w:ascii="仿宋" w:hAnsi="仿宋" w:eastAsia="仿宋" w:cs="仿宋"/>
          <w:color w:val="auto"/>
          <w:sz w:val="32"/>
          <w:szCs w:val="32"/>
          <w:lang w:eastAsia="zh-CN"/>
        </w:rPr>
        <w:t>、继</w:t>
      </w:r>
      <w:r>
        <w:rPr>
          <w:rFonts w:hint="eastAsia" w:ascii="仿宋" w:hAnsi="仿宋" w:eastAsia="仿宋" w:cs="仿宋"/>
          <w:color w:val="auto"/>
          <w:sz w:val="32"/>
          <w:szCs w:val="32"/>
        </w:rPr>
        <w:t>续抓好“三公”经费控制管理。严格把关“三公”经费支出的审核、审批，杜绝挪用和挤占其他预算资金行为；合理压缩“三公”经费支出。</w:t>
      </w:r>
    </w:p>
    <w:p w14:paraId="09409963">
      <w:pPr>
        <w:keepNext w:val="0"/>
        <w:keepLines w:val="0"/>
        <w:pageBreakBefore w:val="0"/>
        <w:widowControl w:val="0"/>
        <w:shd w:val="clear"/>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加强项目开展进度的跟踪，开展项目绩效评价，确保项目绩效目标的完成。</w:t>
      </w:r>
    </w:p>
    <w:p w14:paraId="336726F4">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其他需要说明的情况</w:t>
      </w:r>
    </w:p>
    <w:p w14:paraId="5455EEE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无</w:t>
      </w:r>
    </w:p>
    <w:p w14:paraId="5A022771">
      <w:pPr>
        <w:shd w:val="clear"/>
        <w:rPr>
          <w:rFonts w:hint="eastAsia" w:ascii="仿宋" w:hAnsi="仿宋" w:eastAsia="仿宋" w:cs="仿宋"/>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E9A1D"/>
    <w:multiLevelType w:val="singleLevel"/>
    <w:tmpl w:val="A54E9A1D"/>
    <w:lvl w:ilvl="0" w:tentative="0">
      <w:start w:val="2"/>
      <w:numFmt w:val="chineseCounting"/>
      <w:suff w:val="nothing"/>
      <w:lvlText w:val="（%1）"/>
      <w:lvlJc w:val="left"/>
      <w:rPr>
        <w:rFonts w:hint="eastAsia"/>
      </w:rPr>
    </w:lvl>
  </w:abstractNum>
  <w:abstractNum w:abstractNumId="1">
    <w:nsid w:val="A9676DE2"/>
    <w:multiLevelType w:val="singleLevel"/>
    <w:tmpl w:val="A9676DE2"/>
    <w:lvl w:ilvl="0" w:tentative="0">
      <w:start w:val="2"/>
      <w:numFmt w:val="decimal"/>
      <w:lvlText w:val="%1."/>
      <w:lvlJc w:val="left"/>
      <w:pPr>
        <w:tabs>
          <w:tab w:val="left" w:pos="312"/>
        </w:tabs>
      </w:pPr>
    </w:lvl>
  </w:abstractNum>
  <w:abstractNum w:abstractNumId="2">
    <w:nsid w:val="1C05655A"/>
    <w:multiLevelType w:val="singleLevel"/>
    <w:tmpl w:val="1C05655A"/>
    <w:lvl w:ilvl="0" w:tentative="0">
      <w:start w:val="3"/>
      <w:numFmt w:val="chineseCounting"/>
      <w:suff w:val="nothing"/>
      <w:lvlText w:val="%1、"/>
      <w:lvlJc w:val="left"/>
      <w:rPr>
        <w:rFonts w:hint="eastAsia"/>
      </w:rPr>
    </w:lvl>
  </w:abstractNum>
  <w:abstractNum w:abstractNumId="3">
    <w:nsid w:val="39776FA1"/>
    <w:multiLevelType w:val="singleLevel"/>
    <w:tmpl w:val="39776FA1"/>
    <w:lvl w:ilvl="0" w:tentative="0">
      <w:start w:val="9"/>
      <w:numFmt w:val="chineseCounting"/>
      <w:suff w:val="nothing"/>
      <w:lvlText w:val="%1、"/>
      <w:lvlJc w:val="left"/>
      <w:rPr>
        <w:rFonts w:hint="eastAsia"/>
      </w:rPr>
    </w:lvl>
  </w:abstractNum>
  <w:abstractNum w:abstractNumId="4">
    <w:nsid w:val="58D09D84"/>
    <w:multiLevelType w:val="singleLevel"/>
    <w:tmpl w:val="58D09D84"/>
    <w:lvl w:ilvl="0" w:tentative="0">
      <w:start w:val="2"/>
      <w:numFmt w:val="chineseCounting"/>
      <w:suff w:val="nothing"/>
      <w:lvlText w:val="（%1）"/>
      <w:lvlJc w:val="left"/>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OTBlZWNhYzA0NjJlNDQwNDUyZTZkZGU3MzdmYmQifQ=="/>
  </w:docVars>
  <w:rsids>
    <w:rsidRoot w:val="7FCA6180"/>
    <w:rsid w:val="030715E0"/>
    <w:rsid w:val="052D71B2"/>
    <w:rsid w:val="066F1E72"/>
    <w:rsid w:val="08AE40FF"/>
    <w:rsid w:val="1090530C"/>
    <w:rsid w:val="20DE02F2"/>
    <w:rsid w:val="242912D3"/>
    <w:rsid w:val="30F255C2"/>
    <w:rsid w:val="3D1076B3"/>
    <w:rsid w:val="3F207A4B"/>
    <w:rsid w:val="454B445C"/>
    <w:rsid w:val="48B73E17"/>
    <w:rsid w:val="49457CA5"/>
    <w:rsid w:val="57944328"/>
    <w:rsid w:val="595D11C4"/>
    <w:rsid w:val="62EA5FF0"/>
    <w:rsid w:val="65EB53F4"/>
    <w:rsid w:val="67B63466"/>
    <w:rsid w:val="6836230E"/>
    <w:rsid w:val="68BC1075"/>
    <w:rsid w:val="6C930744"/>
    <w:rsid w:val="6E8E2E08"/>
    <w:rsid w:val="73E257D1"/>
    <w:rsid w:val="7C107BE7"/>
    <w:rsid w:val="7F48051A"/>
    <w:rsid w:val="7FCA6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3289</Words>
  <Characters>3517</Characters>
  <Lines>0</Lines>
  <Paragraphs>0</Paragraphs>
  <TotalTime>27</TotalTime>
  <ScaleCrop>false</ScaleCrop>
  <LinksUpToDate>false</LinksUpToDate>
  <CharactersWithSpaces>3537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2024-06-22T09:34:00Z</dcterms:created>
  <dc:creator>Administrator</dc:creator>
  <cp:lastModifiedBy>阿彩</cp:lastModifiedBy>
  <dcterms:modified xsi:type="dcterms:W3CDTF">2024-09-05T08:34:45Z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6C9D8F98B23A46F9A65F2ECD65229D7E_12</vt:lpwstr>
  </property>
</Properties>
</file>