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60" w:hanging="960" w:hangingChars="300"/>
        <w:jc w:val="left"/>
        <w:textAlignment w:val="auto"/>
        <w:outlineLvl w:val="9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60" w:hanging="960" w:hangingChars="300"/>
        <w:jc w:val="left"/>
        <w:textAlignment w:val="auto"/>
        <w:outlineLvl w:val="9"/>
        <w:rPr>
          <w:rFonts w:hint="default" w:ascii="黑体" w:hAnsi="黑体" w:eastAsia="黑体" w:cs="黑体"/>
          <w:bCs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60" w:hanging="1320" w:hangingChars="300"/>
        <w:jc w:val="center"/>
        <w:textAlignment w:val="auto"/>
        <w:outlineLvl w:val="9"/>
        <w:rPr>
          <w:rFonts w:hint="eastAsia" w:ascii="黑体" w:hAnsi="黑体" w:eastAsia="黑体" w:cs="黑体"/>
          <w:bCs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44"/>
          <w:szCs w:val="44"/>
          <w:lang w:val="en-US" w:eastAsia="zh-CN"/>
        </w:rPr>
        <w:t>怀化市人民政府法制和经济研究室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60" w:hanging="1320" w:hangingChars="300"/>
        <w:jc w:val="center"/>
        <w:textAlignment w:val="auto"/>
        <w:outlineLvl w:val="9"/>
        <w:rPr>
          <w:rFonts w:hint="eastAsia" w:ascii="黑体" w:hAnsi="黑体" w:eastAsia="黑体" w:cs="黑体"/>
          <w:bCs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44"/>
          <w:szCs w:val="44"/>
          <w:lang w:val="en-US" w:eastAsia="zh-CN"/>
        </w:rPr>
        <w:t>2018年整体支出绩效评价报告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/>
        <w:textAlignment w:val="auto"/>
        <w:outlineLvl w:val="9"/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eastAsia="仿宋_GB2312"/>
          <w:b w:val="0"/>
          <w:bCs w:val="0"/>
          <w:kern w:val="0"/>
          <w:sz w:val="32"/>
          <w:szCs w:val="32"/>
          <w:lang w:val="en-US" w:eastAsia="zh-CN"/>
        </w:rPr>
        <w:t>根据预算绩效管理要求，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室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组织人员对201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年部门整体运行及支出情况进行了自查自评，并对照部门整体支出绩效指标评价标准进行了评分，自评得分9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室</w:t>
      </w:r>
      <w:r>
        <w:rPr>
          <w:rFonts w:hint="eastAsia" w:ascii="仿宋_GB2312" w:hAnsi="仿宋_GB2312" w:eastAsia="仿宋_GB2312" w:cs="仿宋_GB2312"/>
          <w:sz w:val="32"/>
          <w:szCs w:val="32"/>
        </w:rPr>
        <w:t>紧扣全市“一个中心、四个怀化”和“一极两带”的发展战略，切实加强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法制服务和文稿服务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，着力抓好规范性文件管理、行政复议与应诉、行政执法监督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、经济研究、综合调研</w:t>
      </w:r>
      <w:r>
        <w:rPr>
          <w:rFonts w:hint="eastAsia" w:ascii="仿宋_GB2312" w:hAnsi="仿宋_GB2312" w:eastAsia="仿宋_GB2312" w:cs="仿宋_GB2312"/>
          <w:sz w:val="32"/>
          <w:szCs w:val="32"/>
        </w:rPr>
        <w:t>等工作，推动法治政府建设。通过加强预算收支的管理，不断建立健全内部管理制度，理顺内部管理流程，部门整体支出管理情况得到了提升。部门整体支出绩效情况如下：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color w:val="01010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10101"/>
          <w:sz w:val="32"/>
          <w:szCs w:val="32"/>
          <w:lang w:eastAsia="zh-CN"/>
        </w:rPr>
        <w:t>预算配置、执行与管理：我办实有编制数行政</w:t>
      </w:r>
      <w:r>
        <w:rPr>
          <w:rFonts w:hint="eastAsia" w:ascii="仿宋_GB2312" w:hAnsi="仿宋_GB2312" w:eastAsia="仿宋_GB2312" w:cs="仿宋_GB2312"/>
          <w:color w:val="010101"/>
          <w:sz w:val="32"/>
          <w:szCs w:val="32"/>
          <w:lang w:val="en-US" w:eastAsia="zh-CN"/>
        </w:rPr>
        <w:t>23名，</w:t>
      </w:r>
      <w:r>
        <w:rPr>
          <w:rFonts w:hint="eastAsia" w:ascii="仿宋_GB2312" w:hAnsi="仿宋_GB2312" w:eastAsia="仿宋_GB2312" w:cs="仿宋_GB2312"/>
          <w:color w:val="010101"/>
          <w:sz w:val="32"/>
          <w:szCs w:val="32"/>
          <w:lang w:eastAsia="zh-CN"/>
        </w:rPr>
        <w:t>年末实有在职人员</w:t>
      </w:r>
      <w:r>
        <w:rPr>
          <w:rFonts w:hint="eastAsia" w:ascii="仿宋_GB2312" w:hAnsi="仿宋_GB2312" w:eastAsia="仿宋_GB2312" w:cs="仿宋_GB2312"/>
          <w:color w:val="010101"/>
          <w:sz w:val="32"/>
          <w:szCs w:val="32"/>
          <w:lang w:val="en-US" w:eastAsia="zh-CN"/>
        </w:rPr>
        <w:t>21人，</w:t>
      </w:r>
      <w:r>
        <w:rPr>
          <w:rFonts w:hint="eastAsia" w:ascii="仿宋_GB2312" w:hAnsi="仿宋_GB2312" w:eastAsia="仿宋_GB2312" w:cs="仿宋_GB2312"/>
          <w:color w:val="010101"/>
          <w:sz w:val="32"/>
          <w:szCs w:val="32"/>
          <w:lang w:eastAsia="zh-CN"/>
        </w:rPr>
        <w:t>在职人员配置在编制范围之内，配置合理规范。本年财政拨款收入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416.02万元，</w:t>
      </w:r>
      <w:r>
        <w:rPr>
          <w:rFonts w:hint="eastAsia" w:ascii="仿宋_GB2312" w:hAnsi="仿宋_GB2312" w:eastAsia="仿宋_GB2312" w:cs="仿宋_GB2312"/>
          <w:color w:val="010101"/>
          <w:sz w:val="32"/>
          <w:szCs w:val="32"/>
          <w:lang w:eastAsia="zh-CN"/>
        </w:rPr>
        <w:t>财政拨款</w:t>
      </w:r>
      <w:r>
        <w:rPr>
          <w:rFonts w:hint="eastAsia" w:ascii="仿宋_GB2312" w:hAnsi="仿宋_GB2312" w:eastAsia="仿宋_GB2312" w:cs="仿宋_GB2312"/>
          <w:color w:val="010101"/>
          <w:sz w:val="32"/>
          <w:szCs w:val="32"/>
          <w:lang w:val="en-US" w:eastAsia="zh-CN"/>
        </w:rPr>
        <w:t>支出388.88万元，年末结转31.75万元，本年预算完成率92.45%。2017年在贯彻落实厉行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10101"/>
          <w:sz w:val="32"/>
          <w:szCs w:val="32"/>
          <w:lang w:val="en-US" w:eastAsia="zh-CN"/>
        </w:rPr>
        <w:t>节约、严控“三公”经费、降低一般运行经费等方面均取得显著成效。“三公”经费预算数为15万元，分别为公务接待费9万元、公务用车购置及运行维护费6万元。“三公”经费实际支出3.7万元，比上年下降4.09万元，变动率为-52.51%。“三公”经费控制率为24.67%。单位内部财务管理制度健全，资金使用合规，预决算信息按规定公开。</w:t>
      </w:r>
    </w:p>
    <w:p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1010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10101"/>
          <w:sz w:val="32"/>
          <w:szCs w:val="32"/>
          <w:lang w:val="en-US" w:eastAsia="zh-CN"/>
        </w:rPr>
        <w:t>职责履行及履行效益：</w:t>
      </w: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年，我室坚持围绕中心、服</w:t>
      </w:r>
      <w:r>
        <w:rPr>
          <w:rFonts w:ascii="Times New Roman" w:hAnsi="Times New Roman" w:eastAsia="仿宋_GB2312" w:cs="Times New Roman"/>
          <w:sz w:val="32"/>
          <w:szCs w:val="32"/>
        </w:rPr>
        <w:t>务大局，以改革创新为动力，切实提升履职能力、发挥智囊作用，为市委市政府提供了规范高效的法制服务和精准务实的文稿服务，各项工作取得显著成效。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640"/>
        <w:textAlignment w:val="auto"/>
        <w:outlineLvl w:val="9"/>
        <w:rPr>
          <w:rFonts w:hint="eastAsia" w:ascii="仿宋_GB2312" w:hAnsi="仿宋_GB2312" w:eastAsia="仿宋_GB2312" w:cs="仿宋_GB2312"/>
          <w:color w:val="31313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13131"/>
          <w:sz w:val="32"/>
          <w:szCs w:val="32"/>
          <w:lang w:val="en-US" w:eastAsia="zh-CN"/>
        </w:rPr>
        <w:t>存在的主要问题：年初预算的编制不够精准，预算编制能按类、款、项三个层级进行明细预算，基本支出和专项支出严格区分，但在实际操作中，存在交叉使用情况。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1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改进措施和建议：一是细化预算编制工作，重视预算绩效管理，做好预算编制，提高预算编制的科学性、合理性、严谨性和可控性。进一步加强各科室的预算管理意识，严格按照预算编制的相关制度和要求进行预算编制。二是加强预算执行管理。按照预算口径和工作进度进行经费支出，加大预算执行力度，努力提高财政资金的使用效益，逐步提高预算执行率。三是加强内部控制管理，完善内部控制制度。在资金使用以及报账过程中，严格按照预算规定的费用项目和用途进行资金使用审核。严格按制“三公”经费的规模和比例 ，把关“三公”经费支出的审核、审批。加强往来款项的清理。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58" w:leftChars="304" w:hanging="320" w:hangingChars="100"/>
        <w:textAlignment w:val="auto"/>
        <w:outlineLvl w:val="9"/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C31BE9"/>
    <w:rsid w:val="1BC31BE9"/>
    <w:rsid w:val="4F2D34EF"/>
    <w:rsid w:val="659C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2021-06-04T02:55:00Z</dcterms:created>
  <dc:creator>Administrator</dc:creator>
  <cp:lastModifiedBy>Administrator</cp:lastModifiedBy>
  <dcterms:modified xsi:type="dcterms:W3CDTF">2021-06-05T09:33:53Z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DB9EC573F4534921A6E22F0867094B29</vt:lpwstr>
  </property>
</Properties>
</file>