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atLeast"/>
        <w:rPr>
          <w:rFonts w:hint="eastAsia"/>
        </w:rPr>
      </w:pPr>
      <w:r>
        <w:rPr>
          <w:rFonts w:hint="eastAsia" w:eastAsia="仿宋_GB2312"/>
          <w:b/>
          <w:spacing w:val="-2"/>
          <w:sz w:val="32"/>
          <w:szCs w:val="44"/>
        </w:rPr>
        <w:t xml:space="preserve">  </w:t>
      </w:r>
    </w:p>
    <w:p>
      <w:pPr>
        <w:pStyle w:val="2"/>
        <w:rPr>
          <w:rFonts w:hint="eastAsia"/>
        </w:rPr>
      </w:pP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1"/>
        <w:jc w:val="center"/>
        <w:textAlignment w:val="auto"/>
        <w:rPr>
          <w:rFonts w:hint="eastAsia" w:ascii="方正小标宋简体" w:hAnsi="方正小标宋简体" w:eastAsia="方正小标宋简体" w:cs="方正小标宋简体"/>
          <w:b/>
          <w:spacing w:val="-2"/>
          <w:sz w:val="44"/>
          <w:szCs w:val="44"/>
          <w:lang w:val="en-US" w:eastAsia="zh-CN"/>
        </w:rPr>
      </w:pPr>
      <w:r>
        <w:rPr>
          <w:rFonts w:hint="eastAsia" w:ascii="方正小标宋简体" w:hAnsi="方正小标宋简体" w:eastAsia="方正小标宋简体" w:cs="方正小标宋简体"/>
          <w:b/>
          <w:spacing w:val="-2"/>
          <w:sz w:val="44"/>
          <w:szCs w:val="44"/>
          <w:lang w:val="en-US" w:eastAsia="zh-CN"/>
        </w:rPr>
        <w:t>怀化市人民政府研究室</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1"/>
        <w:jc w:val="center"/>
        <w:textAlignment w:val="auto"/>
        <w:rPr>
          <w:rFonts w:hint="eastAsia" w:ascii="方正小标宋简体" w:hAnsi="方正小标宋简体" w:eastAsia="方正小标宋简体" w:cs="方正小标宋简体"/>
          <w:b/>
          <w:spacing w:val="-2"/>
          <w:sz w:val="44"/>
          <w:szCs w:val="44"/>
        </w:rPr>
      </w:pPr>
      <w:r>
        <w:rPr>
          <w:rFonts w:hint="eastAsia" w:ascii="方正小标宋简体" w:hAnsi="方正小标宋简体" w:eastAsia="方正小标宋简体" w:cs="方正小标宋简体"/>
          <w:b/>
          <w:spacing w:val="-2"/>
          <w:sz w:val="44"/>
          <w:szCs w:val="44"/>
          <w:lang w:val="en-US" w:eastAsia="zh-CN"/>
        </w:rPr>
        <w:t>2020年</w:t>
      </w:r>
      <w:r>
        <w:rPr>
          <w:rFonts w:hint="eastAsia" w:ascii="方正小标宋简体" w:hAnsi="方正小标宋简体" w:eastAsia="方正小标宋简体" w:cs="方正小标宋简体"/>
          <w:b/>
          <w:spacing w:val="-2"/>
          <w:sz w:val="44"/>
          <w:szCs w:val="44"/>
        </w:rPr>
        <w:t>整体支出绩效评价报告</w:t>
      </w:r>
    </w:p>
    <w:p>
      <w:pPr>
        <w:widowControl/>
        <w:shd w:val="clear" w:color="auto" w:fill="FFFFFF"/>
        <w:spacing w:line="600" w:lineRule="atLeast"/>
        <w:ind w:firstLine="640"/>
        <w:rPr>
          <w:rFonts w:ascii="楷体" w:hAnsi="楷体" w:eastAsia="楷体"/>
          <w:b/>
          <w:spacing w:val="-2"/>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黑体" w:hAnsi="黑体" w:eastAsia="黑体" w:cs="黑体"/>
          <w:b/>
          <w:spacing w:val="-2"/>
          <w:sz w:val="32"/>
          <w:szCs w:val="21"/>
        </w:rPr>
      </w:pPr>
      <w:r>
        <w:rPr>
          <w:rFonts w:hint="eastAsia" w:ascii="黑体" w:hAnsi="黑体" w:eastAsia="黑体" w:cs="黑体"/>
          <w:b/>
          <w:spacing w:val="-2"/>
          <w:sz w:val="32"/>
          <w:szCs w:val="32"/>
        </w:rPr>
        <w:t>一、部门概况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楷体" w:hAnsi="楷体" w:eastAsia="楷体" w:cs="楷体"/>
          <w:b/>
          <w:bCs/>
          <w:spacing w:val="-2"/>
          <w:sz w:val="32"/>
          <w:szCs w:val="32"/>
        </w:rPr>
      </w:pPr>
      <w:r>
        <w:rPr>
          <w:rFonts w:hint="eastAsia" w:ascii="楷体" w:hAnsi="楷体" w:eastAsia="楷体" w:cs="楷体"/>
          <w:b/>
          <w:bCs/>
          <w:spacing w:val="-2"/>
          <w:sz w:val="32"/>
          <w:szCs w:val="32"/>
        </w:rPr>
        <w:t>（一）部门基本情况</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0"/>
        <w:textAlignment w:val="auto"/>
        <w:rPr>
          <w:rFonts w:hint="eastAsia" w:ascii="仿宋" w:hAnsi="仿宋" w:eastAsia="仿宋"/>
          <w:spacing w:val="-2"/>
          <w:sz w:val="32"/>
          <w:szCs w:val="32"/>
        </w:rPr>
      </w:pPr>
      <w:r>
        <w:rPr>
          <w:rFonts w:hint="eastAsia" w:ascii="仿宋" w:hAnsi="仿宋" w:eastAsia="仿宋"/>
          <w:b/>
          <w:bCs/>
          <w:spacing w:val="-2"/>
          <w:sz w:val="32"/>
          <w:szCs w:val="32"/>
          <w:lang w:val="en-US" w:eastAsia="zh-CN"/>
        </w:rPr>
        <w:t>机构和人数：</w:t>
      </w:r>
      <w:r>
        <w:rPr>
          <w:rFonts w:hint="eastAsia" w:ascii="仿宋_GB2312" w:hAnsi="仿宋_GB2312" w:eastAsia="仿宋_GB2312" w:cs="仿宋_GB2312"/>
          <w:sz w:val="32"/>
          <w:szCs w:val="32"/>
        </w:rPr>
        <w:t>怀化市人民政</w:t>
      </w:r>
      <w:bookmarkStart w:id="4" w:name="_GoBack"/>
      <w:bookmarkEnd w:id="4"/>
      <w:r>
        <w:rPr>
          <w:rFonts w:hint="eastAsia" w:ascii="仿宋_GB2312" w:hAnsi="仿宋_GB2312" w:eastAsia="仿宋_GB2312" w:cs="仿宋_GB2312"/>
          <w:sz w:val="32"/>
          <w:szCs w:val="32"/>
        </w:rPr>
        <w:t>府研究室为市人民政府工作部门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设</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个内设机构</w:t>
      </w:r>
      <w:r>
        <w:rPr>
          <w:rFonts w:hint="eastAsia" w:ascii="仿宋_GB2312" w:hAnsi="仿宋_GB2312" w:eastAsia="仿宋_GB2312" w:cs="仿宋_GB2312"/>
          <w:sz w:val="32"/>
          <w:szCs w:val="32"/>
          <w:lang w:eastAsia="zh-CN"/>
        </w:rPr>
        <w:t>，分别为办公室、综合调研一科、综合调研二科、综合调研三科</w:t>
      </w:r>
      <w:r>
        <w:rPr>
          <w:rFonts w:hint="eastAsia" w:ascii="仿宋" w:hAnsi="仿宋" w:eastAsia="仿宋"/>
          <w:spacing w:val="-2"/>
          <w:sz w:val="32"/>
          <w:szCs w:val="32"/>
          <w:lang w:val="en-US" w:eastAsia="zh-CN"/>
        </w:rPr>
        <w:t>。</w:t>
      </w:r>
      <w:r>
        <w:rPr>
          <w:rFonts w:hint="eastAsia" w:ascii="仿宋" w:hAnsi="仿宋" w:eastAsia="仿宋"/>
          <w:spacing w:val="-2"/>
          <w:sz w:val="32"/>
          <w:szCs w:val="32"/>
          <w:highlight w:val="none"/>
          <w:lang w:val="en-US" w:eastAsia="zh-CN"/>
        </w:rPr>
        <w:t>2020年年初编制预算人数9人</w:t>
      </w:r>
      <w:r>
        <w:rPr>
          <w:rFonts w:hint="eastAsia" w:ascii="仿宋" w:hAnsi="仿宋" w:eastAsia="仿宋"/>
          <w:spacing w:val="-2"/>
          <w:sz w:val="32"/>
          <w:szCs w:val="32"/>
          <w:lang w:val="en-US" w:eastAsia="zh-CN"/>
        </w:rPr>
        <w:t>，年末编制数13名，</w:t>
      </w:r>
      <w:r>
        <w:rPr>
          <w:rFonts w:hint="eastAsia" w:ascii="仿宋" w:hAnsi="仿宋" w:eastAsia="仿宋"/>
          <w:spacing w:val="-2"/>
          <w:sz w:val="32"/>
          <w:szCs w:val="32"/>
        </w:rPr>
        <w:t>年末纳入一般公共预算财政拨款开支人数</w:t>
      </w:r>
      <w:r>
        <w:rPr>
          <w:rFonts w:hint="eastAsia" w:ascii="仿宋" w:hAnsi="仿宋" w:eastAsia="仿宋"/>
          <w:spacing w:val="-2"/>
          <w:sz w:val="32"/>
          <w:szCs w:val="32"/>
          <w:lang w:val="en-US" w:eastAsia="zh-CN"/>
        </w:rPr>
        <w:t>12人，财政供应人员控制率92.31%，</w:t>
      </w:r>
      <w:r>
        <w:rPr>
          <w:rFonts w:hint="eastAsia" w:ascii="仿宋" w:hAnsi="仿宋" w:eastAsia="仿宋"/>
          <w:spacing w:val="-2"/>
          <w:sz w:val="32"/>
          <w:szCs w:val="32"/>
        </w:rPr>
        <w:t>未超过编制，控制较好。</w:t>
      </w:r>
    </w:p>
    <w:p>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635" w:firstLineChars="200"/>
        <w:jc w:val="both"/>
        <w:textAlignment w:val="auto"/>
        <w:rPr>
          <w:rFonts w:hint="eastAsia" w:ascii="楷体" w:hAnsi="楷体" w:eastAsia="楷体" w:cs="楷体"/>
          <w:b/>
          <w:bCs/>
          <w:spacing w:val="-2"/>
          <w:sz w:val="32"/>
          <w:szCs w:val="32"/>
          <w:lang w:val="en-US" w:eastAsia="zh-CN"/>
        </w:rPr>
      </w:pPr>
      <w:r>
        <w:rPr>
          <w:rFonts w:hint="eastAsia" w:ascii="楷体" w:hAnsi="楷体" w:eastAsia="楷体" w:cs="楷体"/>
          <w:b/>
          <w:bCs/>
          <w:spacing w:val="-2"/>
          <w:sz w:val="32"/>
          <w:szCs w:val="32"/>
          <w:lang w:val="en-US" w:eastAsia="zh-CN"/>
        </w:rPr>
        <w:t>（二）主要职责：</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负责市《政府工作报告》和市政府主要领导同志综合文稿的起草及有关新闻稿的审定。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负责起草市政府向省委、省政府和市委的重要汇报材料；组织和协同有关方面起草、修改市政府的有关重要综合性稳健；参与起草市委、市政府有关重要会议文件。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负责牵头组织涉及全市经济建设、社会发展和改革开放等全局性工作的重大课题调查研究，及时综合归纳，提出供市政府决策的参考方案和政策性建议。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ascii="Times New Roman" w:hAnsi="Times New Roman" w:eastAsia="仿宋_GB2312"/>
          <w:sz w:val="32"/>
          <w:szCs w:val="32"/>
        </w:rPr>
        <w:t>负责对市内外经济形势和社会发展政策进行分析和研究，提出政策建议。收集、分析、整理和报送经济社会发展的重要信息、动态，为市政府决策提供参考建议。</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ascii="Times New Roman" w:hAnsi="Times New Roman" w:eastAsia="仿宋_GB2312"/>
          <w:sz w:val="32"/>
          <w:szCs w:val="32"/>
        </w:rPr>
        <w:t>负责市政府主要领导联络服务工作。</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ascii="Times New Roman" w:hAnsi="Times New Roman" w:eastAsia="仿宋_GB2312"/>
          <w:sz w:val="32"/>
          <w:szCs w:val="32"/>
        </w:rPr>
        <w:t>负责组织全市政府系统</w:t>
      </w:r>
      <w:r>
        <w:rPr>
          <w:rFonts w:hint="eastAsia" w:ascii="Times New Roman" w:hAnsi="Times New Roman" w:eastAsia="仿宋_GB2312"/>
          <w:sz w:val="32"/>
          <w:szCs w:val="32"/>
          <w:lang w:eastAsia="zh-CN"/>
        </w:rPr>
        <w:t>经济</w:t>
      </w:r>
      <w:r>
        <w:rPr>
          <w:rFonts w:ascii="Times New Roman" w:hAnsi="Times New Roman" w:eastAsia="仿宋_GB2312"/>
          <w:sz w:val="32"/>
          <w:szCs w:val="32"/>
        </w:rPr>
        <w:t>研究工作的人员培训与业务交流。</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负责组织专家对全市经济社会发展的重大问题、重大决策、重大项目等进行咨询服务、调研论证、成果评估。</w:t>
      </w:r>
    </w:p>
    <w:p>
      <w:pPr>
        <w:keepNext w:val="0"/>
        <w:keepLines w:val="0"/>
        <w:pageBreakBefore w:val="0"/>
        <w:kinsoku/>
        <w:wordWrap/>
        <w:overflowPunct/>
        <w:topLinePunct w:val="0"/>
        <w:autoSpaceDE/>
        <w:autoSpaceDN/>
        <w:bidi w:val="0"/>
        <w:adjustRightIn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ascii="Times New Roman" w:hAnsi="Times New Roman" w:eastAsia="仿宋_GB2312"/>
          <w:sz w:val="32"/>
          <w:szCs w:val="32"/>
        </w:rPr>
        <w:t>承办市政府交办的其他事项。</w:t>
      </w:r>
    </w:p>
    <w:p>
      <w:pPr>
        <w:keepNext w:val="0"/>
        <w:keepLines w:val="0"/>
        <w:pageBreakBefore w:val="0"/>
        <w:widowControl/>
        <w:numPr>
          <w:ilvl w:val="0"/>
          <w:numId w:val="1"/>
        </w:numPr>
        <w:shd w:val="clear" w:color="auto" w:fill="FFFFFF"/>
        <w:kinsoku/>
        <w:wordWrap/>
        <w:overflowPunct/>
        <w:topLinePunct w:val="0"/>
        <w:autoSpaceDE/>
        <w:autoSpaceDN/>
        <w:bidi w:val="0"/>
        <w:adjustRightInd/>
        <w:spacing w:line="600" w:lineRule="exact"/>
        <w:ind w:firstLine="640"/>
        <w:textAlignment w:val="auto"/>
        <w:rPr>
          <w:rFonts w:hint="eastAsia" w:ascii="楷体" w:hAnsi="楷体" w:eastAsia="楷体" w:cs="楷体"/>
          <w:b/>
          <w:bCs/>
          <w:spacing w:val="-2"/>
          <w:sz w:val="32"/>
          <w:szCs w:val="32"/>
        </w:rPr>
      </w:pPr>
      <w:r>
        <w:rPr>
          <w:rFonts w:hint="eastAsia" w:ascii="楷体" w:hAnsi="楷体" w:eastAsia="楷体" w:cs="楷体"/>
          <w:b/>
          <w:bCs/>
          <w:spacing w:val="-2"/>
          <w:sz w:val="32"/>
          <w:szCs w:val="32"/>
        </w:rPr>
        <w:t>部门整体支出规模、使用方向和主要内容、涉及范围等。</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1、2020</w:t>
      </w:r>
      <w:r>
        <w:rPr>
          <w:rFonts w:hint="eastAsia" w:ascii="仿宋" w:hAnsi="仿宋" w:eastAsia="仿宋"/>
          <w:spacing w:val="-2"/>
          <w:sz w:val="32"/>
          <w:szCs w:val="32"/>
        </w:rPr>
        <w:t>年部门预算情况</w:t>
      </w:r>
      <w:r>
        <w:rPr>
          <w:rFonts w:hint="default" w:ascii="仿宋" w:hAnsi="仿宋" w:eastAsia="仿宋"/>
          <w:spacing w:val="-2"/>
          <w:sz w:val="32"/>
          <w:szCs w:val="32"/>
        </w:rPr>
        <w:t> </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32" w:firstLineChars="200"/>
        <w:textAlignment w:val="auto"/>
        <w:rPr>
          <w:rFonts w:hint="eastAsia" w:ascii="仿宋" w:hAnsi="仿宋" w:eastAsia="仿宋"/>
          <w:spacing w:val="-2"/>
          <w:sz w:val="32"/>
          <w:szCs w:val="32"/>
        </w:rPr>
      </w:pPr>
      <w:r>
        <w:rPr>
          <w:rFonts w:hint="default" w:ascii="仿宋" w:hAnsi="仿宋" w:eastAsia="仿宋"/>
          <w:spacing w:val="-2"/>
          <w:sz w:val="32"/>
          <w:szCs w:val="32"/>
          <w:highlight w:val="none"/>
        </w:rPr>
        <w:t>经</w:t>
      </w:r>
      <w:r>
        <w:rPr>
          <w:rFonts w:hint="eastAsia" w:ascii="仿宋" w:hAnsi="仿宋" w:eastAsia="仿宋"/>
          <w:spacing w:val="-2"/>
          <w:sz w:val="32"/>
          <w:szCs w:val="32"/>
          <w:highlight w:val="none"/>
          <w:lang w:eastAsia="zh-CN"/>
        </w:rPr>
        <w:t>市</w:t>
      </w:r>
      <w:r>
        <w:rPr>
          <w:rFonts w:hint="default" w:ascii="仿宋" w:hAnsi="仿宋" w:eastAsia="仿宋"/>
          <w:spacing w:val="-2"/>
          <w:sz w:val="32"/>
          <w:szCs w:val="32"/>
          <w:highlight w:val="none"/>
        </w:rPr>
        <w:t>人大通过的</w:t>
      </w:r>
      <w:r>
        <w:rPr>
          <w:rFonts w:hint="eastAsia" w:ascii="仿宋" w:hAnsi="仿宋" w:eastAsia="仿宋"/>
          <w:spacing w:val="-2"/>
          <w:sz w:val="32"/>
          <w:szCs w:val="32"/>
          <w:highlight w:val="none"/>
          <w:lang w:eastAsia="zh-CN"/>
        </w:rPr>
        <w:t>市</w:t>
      </w:r>
      <w:r>
        <w:rPr>
          <w:rFonts w:hint="default" w:ascii="仿宋" w:hAnsi="仿宋" w:eastAsia="仿宋"/>
          <w:spacing w:val="-2"/>
          <w:sz w:val="32"/>
          <w:szCs w:val="32"/>
          <w:highlight w:val="none"/>
        </w:rPr>
        <w:t>级部门预算批复，我</w:t>
      </w:r>
      <w:r>
        <w:rPr>
          <w:rFonts w:hint="eastAsia" w:ascii="仿宋" w:hAnsi="仿宋" w:eastAsia="仿宋"/>
          <w:spacing w:val="-2"/>
          <w:sz w:val="32"/>
          <w:szCs w:val="32"/>
          <w:highlight w:val="none"/>
          <w:lang w:val="en-US" w:eastAsia="zh-CN"/>
        </w:rPr>
        <w:t>单位2020</w:t>
      </w:r>
      <w:r>
        <w:rPr>
          <w:rFonts w:hint="default" w:ascii="仿宋" w:hAnsi="仿宋" w:eastAsia="仿宋"/>
          <w:spacing w:val="-2"/>
          <w:sz w:val="32"/>
          <w:szCs w:val="32"/>
          <w:highlight w:val="none"/>
        </w:rPr>
        <w:t>年年初</w:t>
      </w:r>
      <w:r>
        <w:rPr>
          <w:rFonts w:hint="default" w:ascii="仿宋" w:hAnsi="仿宋" w:eastAsia="仿宋"/>
          <w:spacing w:val="-2"/>
          <w:sz w:val="32"/>
          <w:szCs w:val="32"/>
        </w:rPr>
        <w:t>收入预算</w:t>
      </w:r>
      <w:r>
        <w:rPr>
          <w:rFonts w:hint="eastAsia" w:ascii="Times New Roman" w:hAnsi="Times New Roman" w:eastAsia="仿宋_GB2312" w:cs="Times New Roman"/>
          <w:kern w:val="2"/>
          <w:sz w:val="32"/>
          <w:szCs w:val="32"/>
          <w:lang w:val="en-US" w:eastAsia="zh-CN" w:bidi="ar-SA"/>
        </w:rPr>
        <w:t>187.89</w:t>
      </w:r>
      <w:r>
        <w:rPr>
          <w:rFonts w:hint="default" w:ascii="Times New Roman" w:hAnsi="Times New Roman" w:eastAsia="仿宋_GB2312" w:cs="Times New Roman"/>
          <w:kern w:val="2"/>
          <w:sz w:val="32"/>
          <w:szCs w:val="32"/>
          <w:lang w:val="en-US" w:eastAsia="zh-CN" w:bidi="ar-SA"/>
        </w:rPr>
        <w:t>万元</w:t>
      </w:r>
      <w:r>
        <w:rPr>
          <w:rFonts w:hint="eastAsia" w:ascii="Times New Roman" w:hAnsi="Times New Roman" w:eastAsia="仿宋_GB2312" w:cs="Times New Roman"/>
          <w:kern w:val="2"/>
          <w:sz w:val="32"/>
          <w:szCs w:val="32"/>
          <w:lang w:val="en-US" w:eastAsia="zh-CN" w:bidi="ar-SA"/>
        </w:rPr>
        <w:t>，</w:t>
      </w:r>
      <w:r>
        <w:rPr>
          <w:rFonts w:hint="eastAsia" w:ascii="仿宋" w:hAnsi="仿宋" w:eastAsia="仿宋"/>
          <w:spacing w:val="-2"/>
          <w:sz w:val="32"/>
          <w:szCs w:val="32"/>
          <w:lang w:eastAsia="zh-CN"/>
        </w:rPr>
        <w:t>均为一般公共预算</w:t>
      </w:r>
      <w:r>
        <w:rPr>
          <w:rFonts w:hint="default" w:ascii="仿宋" w:hAnsi="仿宋" w:eastAsia="仿宋"/>
          <w:spacing w:val="-2"/>
          <w:sz w:val="32"/>
          <w:szCs w:val="32"/>
        </w:rPr>
        <w:t>经费拨款。年初支出总预算</w:t>
      </w:r>
      <w:r>
        <w:rPr>
          <w:rFonts w:hint="eastAsia" w:ascii="Times New Roman" w:hAnsi="Times New Roman" w:eastAsia="仿宋_GB2312" w:cs="Times New Roman"/>
          <w:kern w:val="2"/>
          <w:sz w:val="32"/>
          <w:szCs w:val="32"/>
          <w:lang w:val="en-US" w:eastAsia="zh-CN" w:bidi="ar-SA"/>
        </w:rPr>
        <w:t>187.89</w:t>
      </w:r>
      <w:r>
        <w:rPr>
          <w:rFonts w:hint="default" w:ascii="Times New Roman" w:hAnsi="Times New Roman" w:eastAsia="仿宋_GB2312" w:cs="Times New Roman"/>
          <w:kern w:val="2"/>
          <w:sz w:val="32"/>
          <w:szCs w:val="32"/>
          <w:lang w:val="en-US" w:eastAsia="zh-CN" w:bidi="ar-SA"/>
        </w:rPr>
        <w:t>万</w:t>
      </w:r>
      <w:r>
        <w:rPr>
          <w:rFonts w:hint="default" w:ascii="仿宋" w:hAnsi="仿宋" w:eastAsia="仿宋"/>
          <w:spacing w:val="-2"/>
          <w:sz w:val="32"/>
          <w:szCs w:val="32"/>
        </w:rPr>
        <w:t>元，其中：</w:t>
      </w:r>
      <w:r>
        <w:rPr>
          <w:rFonts w:hint="eastAsia" w:eastAsia="仿宋_GB2312"/>
          <w:sz w:val="32"/>
          <w:szCs w:val="32"/>
          <w:lang w:eastAsia="zh-CN"/>
        </w:rPr>
        <w:t>其中工资福利支出</w:t>
      </w:r>
      <w:r>
        <w:rPr>
          <w:rFonts w:hint="eastAsia" w:eastAsia="仿宋_GB2312"/>
          <w:sz w:val="32"/>
          <w:szCs w:val="32"/>
          <w:lang w:val="en-US" w:eastAsia="zh-CN"/>
        </w:rPr>
        <w:t>74.17万元，商品和服务支出97.79万元，对个人和家庭的补助10.93万元，资本性支出5万元。</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lang w:val="en-US" w:eastAsia="zh-CN"/>
        </w:rPr>
        <w:t>2、</w:t>
      </w:r>
      <w:r>
        <w:rPr>
          <w:rFonts w:hint="default" w:ascii="仿宋" w:hAnsi="仿宋" w:eastAsia="仿宋"/>
          <w:spacing w:val="-2"/>
          <w:sz w:val="32"/>
          <w:szCs w:val="32"/>
        </w:rPr>
        <w:t>20</w:t>
      </w:r>
      <w:r>
        <w:rPr>
          <w:rFonts w:hint="eastAsia" w:ascii="仿宋" w:hAnsi="仿宋" w:eastAsia="仿宋"/>
          <w:spacing w:val="-2"/>
          <w:sz w:val="32"/>
          <w:szCs w:val="32"/>
          <w:lang w:val="en-US" w:eastAsia="zh-CN"/>
        </w:rPr>
        <w:t>20</w:t>
      </w:r>
      <w:r>
        <w:rPr>
          <w:rFonts w:hint="default" w:ascii="仿宋" w:hAnsi="仿宋" w:eastAsia="仿宋"/>
          <w:spacing w:val="-2"/>
          <w:sz w:val="32"/>
          <w:szCs w:val="32"/>
        </w:rPr>
        <w:t>年部门决算情况 </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32" w:firstLineChars="200"/>
        <w:textAlignment w:val="auto"/>
        <w:rPr>
          <w:rFonts w:hint="default" w:ascii="仿宋_GB2312" w:hAnsi="宋体" w:eastAsia="仿宋_GB2312"/>
          <w:kern w:val="0"/>
          <w:sz w:val="32"/>
          <w:szCs w:val="32"/>
          <w:lang w:val="en-US" w:eastAsia="zh-CN"/>
        </w:rPr>
      </w:pPr>
      <w:r>
        <w:rPr>
          <w:rFonts w:hint="default" w:ascii="仿宋" w:hAnsi="仿宋" w:eastAsia="仿宋"/>
          <w:spacing w:val="-2"/>
          <w:sz w:val="32"/>
          <w:szCs w:val="32"/>
        </w:rPr>
        <w:t>20</w:t>
      </w:r>
      <w:r>
        <w:rPr>
          <w:rFonts w:hint="eastAsia" w:ascii="仿宋" w:hAnsi="仿宋" w:eastAsia="仿宋"/>
          <w:spacing w:val="-2"/>
          <w:sz w:val="32"/>
          <w:szCs w:val="32"/>
          <w:lang w:val="en-US" w:eastAsia="zh-CN"/>
        </w:rPr>
        <w:t>20</w:t>
      </w:r>
      <w:r>
        <w:rPr>
          <w:rFonts w:hint="default" w:ascii="仿宋" w:hAnsi="仿宋" w:eastAsia="仿宋"/>
          <w:spacing w:val="-2"/>
          <w:sz w:val="32"/>
          <w:szCs w:val="32"/>
        </w:rPr>
        <w:t>年度决算总收入</w:t>
      </w:r>
      <w:r>
        <w:rPr>
          <w:rFonts w:hint="eastAsia" w:ascii="仿宋" w:hAnsi="仿宋" w:eastAsia="仿宋"/>
          <w:spacing w:val="-2"/>
          <w:sz w:val="32"/>
          <w:szCs w:val="32"/>
          <w:lang w:val="en-US" w:eastAsia="zh-CN"/>
        </w:rPr>
        <w:t>256.7</w:t>
      </w:r>
      <w:r>
        <w:rPr>
          <w:rFonts w:hint="default" w:ascii="仿宋" w:hAnsi="仿宋" w:eastAsia="仿宋"/>
          <w:spacing w:val="-2"/>
          <w:sz w:val="32"/>
          <w:szCs w:val="32"/>
        </w:rPr>
        <w:t>万元</w:t>
      </w:r>
      <w:r>
        <w:rPr>
          <w:rFonts w:hint="eastAsia" w:ascii="仿宋" w:hAnsi="仿宋" w:eastAsia="仿宋"/>
          <w:spacing w:val="-2"/>
          <w:sz w:val="32"/>
          <w:szCs w:val="32"/>
          <w:lang w:eastAsia="zh-CN"/>
        </w:rPr>
        <w:t>，</w:t>
      </w:r>
      <w:r>
        <w:rPr>
          <w:rFonts w:hint="eastAsia" w:ascii="仿宋" w:hAnsi="仿宋" w:eastAsia="仿宋"/>
          <w:spacing w:val="-2"/>
          <w:sz w:val="32"/>
          <w:szCs w:val="32"/>
          <w:lang w:val="en-US" w:eastAsia="zh-CN"/>
        </w:rPr>
        <w:t>其中本年财政拨款收入244.25万元，上年结转12.45万元。</w:t>
      </w:r>
      <w:r>
        <w:rPr>
          <w:rFonts w:hint="default" w:ascii="仿宋" w:hAnsi="仿宋" w:eastAsia="仿宋"/>
          <w:spacing w:val="-2"/>
          <w:sz w:val="32"/>
          <w:szCs w:val="32"/>
        </w:rPr>
        <w:t>20</w:t>
      </w:r>
      <w:r>
        <w:rPr>
          <w:rFonts w:hint="eastAsia" w:ascii="仿宋" w:hAnsi="仿宋" w:eastAsia="仿宋"/>
          <w:spacing w:val="-2"/>
          <w:sz w:val="32"/>
          <w:szCs w:val="32"/>
          <w:lang w:val="en-US" w:eastAsia="zh-CN"/>
        </w:rPr>
        <w:t>20</w:t>
      </w:r>
      <w:r>
        <w:rPr>
          <w:rFonts w:hint="default" w:ascii="仿宋" w:hAnsi="仿宋" w:eastAsia="仿宋"/>
          <w:spacing w:val="-2"/>
          <w:sz w:val="32"/>
          <w:szCs w:val="32"/>
        </w:rPr>
        <w:t>年度决算总支出</w:t>
      </w:r>
      <w:r>
        <w:rPr>
          <w:rFonts w:hint="eastAsia" w:ascii="仿宋" w:hAnsi="仿宋" w:eastAsia="仿宋"/>
          <w:spacing w:val="-2"/>
          <w:sz w:val="32"/>
          <w:szCs w:val="32"/>
          <w:lang w:val="en-US" w:eastAsia="zh-CN"/>
        </w:rPr>
        <w:t>245.24</w:t>
      </w:r>
      <w:r>
        <w:rPr>
          <w:rFonts w:hint="default" w:ascii="仿宋" w:hAnsi="仿宋" w:eastAsia="仿宋"/>
          <w:spacing w:val="-2"/>
          <w:sz w:val="32"/>
          <w:szCs w:val="32"/>
        </w:rPr>
        <w:t>万元，其中：基本支出</w:t>
      </w:r>
      <w:r>
        <w:rPr>
          <w:rFonts w:hint="eastAsia" w:ascii="仿宋" w:hAnsi="仿宋" w:eastAsia="仿宋"/>
          <w:spacing w:val="-2"/>
          <w:sz w:val="32"/>
          <w:szCs w:val="32"/>
          <w:lang w:val="en-US" w:eastAsia="zh-CN"/>
        </w:rPr>
        <w:t>245.24</w:t>
      </w:r>
      <w:r>
        <w:rPr>
          <w:rFonts w:hint="default" w:ascii="仿宋" w:hAnsi="仿宋" w:eastAsia="仿宋"/>
          <w:spacing w:val="-2"/>
          <w:sz w:val="32"/>
          <w:szCs w:val="32"/>
        </w:rPr>
        <w:t>万元，占总支出的</w:t>
      </w:r>
      <w:r>
        <w:rPr>
          <w:rFonts w:hint="eastAsia" w:ascii="仿宋" w:hAnsi="仿宋" w:eastAsia="仿宋"/>
          <w:spacing w:val="-2"/>
          <w:sz w:val="32"/>
          <w:szCs w:val="32"/>
          <w:lang w:val="en-US" w:eastAsia="zh-CN"/>
        </w:rPr>
        <w:t>100</w:t>
      </w:r>
      <w:r>
        <w:rPr>
          <w:rFonts w:hint="default" w:ascii="仿宋" w:hAnsi="仿宋" w:eastAsia="仿宋"/>
          <w:spacing w:val="-2"/>
          <w:sz w:val="32"/>
          <w:szCs w:val="32"/>
        </w:rPr>
        <w:t>%；</w:t>
      </w:r>
      <w:r>
        <w:rPr>
          <w:rFonts w:hint="eastAsia" w:ascii="仿宋" w:hAnsi="仿宋" w:eastAsia="仿宋"/>
          <w:spacing w:val="-2"/>
          <w:sz w:val="32"/>
          <w:szCs w:val="32"/>
          <w:lang w:val="en-US" w:eastAsia="zh-CN"/>
        </w:rPr>
        <w:t>2020</w:t>
      </w:r>
      <w:r>
        <w:rPr>
          <w:rFonts w:hint="default" w:ascii="仿宋" w:hAnsi="仿宋" w:eastAsia="仿宋"/>
          <w:spacing w:val="-2"/>
          <w:sz w:val="32"/>
          <w:szCs w:val="32"/>
        </w:rPr>
        <w:t>年年末结转和结余</w:t>
      </w:r>
      <w:r>
        <w:rPr>
          <w:rFonts w:hint="eastAsia" w:ascii="仿宋" w:hAnsi="仿宋" w:eastAsia="仿宋"/>
          <w:spacing w:val="-2"/>
          <w:sz w:val="32"/>
          <w:szCs w:val="32"/>
          <w:lang w:val="en-US" w:eastAsia="zh-CN"/>
        </w:rPr>
        <w:t>11.46</w:t>
      </w:r>
      <w:r>
        <w:rPr>
          <w:rFonts w:hint="default" w:ascii="仿宋" w:hAnsi="仿宋" w:eastAsia="仿宋"/>
          <w:spacing w:val="-2"/>
          <w:sz w:val="32"/>
          <w:szCs w:val="32"/>
        </w:rPr>
        <w:t>万元，其中财政拨款年末结转结余</w:t>
      </w:r>
      <w:r>
        <w:rPr>
          <w:rFonts w:hint="eastAsia" w:ascii="仿宋" w:hAnsi="仿宋" w:eastAsia="仿宋"/>
          <w:spacing w:val="-2"/>
          <w:sz w:val="32"/>
          <w:szCs w:val="32"/>
          <w:lang w:val="en-US" w:eastAsia="zh-CN"/>
        </w:rPr>
        <w:t>11.46</w:t>
      </w:r>
      <w:r>
        <w:rPr>
          <w:rFonts w:hint="default" w:ascii="仿宋" w:hAnsi="仿宋" w:eastAsia="仿宋"/>
          <w:spacing w:val="-2"/>
          <w:sz w:val="32"/>
          <w:szCs w:val="32"/>
        </w:rPr>
        <w:t>万元。</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黑体" w:hAnsi="黑体" w:eastAsia="黑体" w:cs="黑体"/>
          <w:b/>
          <w:spacing w:val="-2"/>
          <w:sz w:val="32"/>
          <w:szCs w:val="21"/>
        </w:rPr>
      </w:pPr>
      <w:r>
        <w:rPr>
          <w:rFonts w:hint="eastAsia" w:ascii="黑体" w:hAnsi="黑体" w:eastAsia="黑体" w:cs="黑体"/>
          <w:b/>
          <w:spacing w:val="-2"/>
          <w:sz w:val="32"/>
          <w:szCs w:val="32"/>
        </w:rPr>
        <w:t>二、部门整体支出管理及使用情况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3"/>
        <w:textAlignment w:val="auto"/>
        <w:rPr>
          <w:rFonts w:hint="eastAsia" w:ascii="楷体" w:hAnsi="楷体" w:eastAsia="楷体" w:cs="楷体"/>
          <w:b/>
          <w:spacing w:val="-2"/>
          <w:sz w:val="32"/>
          <w:szCs w:val="21"/>
        </w:rPr>
      </w:pPr>
      <w:r>
        <w:rPr>
          <w:rFonts w:hint="eastAsia" w:ascii="楷体" w:hAnsi="楷体" w:eastAsia="楷体" w:cs="楷体"/>
          <w:b/>
          <w:spacing w:val="-2"/>
          <w:sz w:val="32"/>
          <w:szCs w:val="32"/>
        </w:rPr>
        <w:t>（一）基本支出</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ascii="仿宋" w:hAnsi="仿宋" w:eastAsia="仿宋"/>
          <w:spacing w:val="-2"/>
          <w:sz w:val="32"/>
          <w:szCs w:val="32"/>
        </w:rPr>
      </w:pPr>
      <w:r>
        <w:rPr>
          <w:rFonts w:ascii="仿宋" w:hAnsi="仿宋" w:eastAsia="仿宋"/>
          <w:spacing w:val="-2"/>
          <w:sz w:val="32"/>
          <w:szCs w:val="32"/>
        </w:rPr>
        <w:t>介绍基本支出的主要用途、范围以及资金的管理情况，尤其是“三公”经费的使用和管理情况。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2020年</w:t>
      </w:r>
      <w:r>
        <w:rPr>
          <w:rFonts w:hint="eastAsia" w:ascii="仿宋" w:hAnsi="仿宋" w:eastAsia="仿宋"/>
          <w:spacing w:val="-2"/>
          <w:sz w:val="32"/>
          <w:szCs w:val="32"/>
          <w:lang w:eastAsia="zh-CN"/>
        </w:rPr>
        <w:t>基本支出</w:t>
      </w:r>
      <w:r>
        <w:rPr>
          <w:rFonts w:hint="eastAsia" w:ascii="仿宋" w:hAnsi="仿宋" w:eastAsia="仿宋"/>
          <w:spacing w:val="-2"/>
          <w:sz w:val="32"/>
          <w:szCs w:val="32"/>
          <w:lang w:val="en-US" w:eastAsia="zh-CN"/>
        </w:rPr>
        <w:t>245.24万元 ，具体包括：</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1、</w:t>
      </w:r>
      <w:r>
        <w:rPr>
          <w:rFonts w:hint="eastAsia" w:ascii="仿宋" w:hAnsi="仿宋" w:eastAsia="仿宋"/>
          <w:spacing w:val="-2"/>
          <w:sz w:val="32"/>
          <w:szCs w:val="32"/>
        </w:rPr>
        <w:t>工资福利支出</w:t>
      </w:r>
      <w:r>
        <w:rPr>
          <w:rFonts w:hint="eastAsia" w:ascii="仿宋" w:hAnsi="仿宋" w:eastAsia="仿宋"/>
          <w:spacing w:val="-2"/>
          <w:sz w:val="32"/>
          <w:szCs w:val="32"/>
          <w:lang w:val="en-US" w:eastAsia="zh-CN"/>
        </w:rPr>
        <w:t>135.01</w:t>
      </w:r>
      <w:r>
        <w:rPr>
          <w:rFonts w:hint="eastAsia" w:ascii="仿宋" w:hAnsi="仿宋" w:eastAsia="仿宋"/>
          <w:spacing w:val="-2"/>
          <w:sz w:val="32"/>
          <w:szCs w:val="32"/>
        </w:rPr>
        <w:t>万元</w:t>
      </w:r>
      <w:r>
        <w:rPr>
          <w:rFonts w:hint="eastAsia" w:ascii="仿宋" w:hAnsi="仿宋" w:eastAsia="仿宋"/>
          <w:spacing w:val="-2"/>
          <w:sz w:val="32"/>
          <w:szCs w:val="32"/>
          <w:lang w:eastAsia="zh-CN"/>
        </w:rPr>
        <w:t>。</w:t>
      </w:r>
      <w:r>
        <w:rPr>
          <w:rFonts w:hint="eastAsia" w:ascii="仿宋" w:hAnsi="仿宋" w:eastAsia="仿宋"/>
          <w:spacing w:val="-2"/>
          <w:sz w:val="32"/>
          <w:szCs w:val="32"/>
        </w:rPr>
        <w:t>主要</w:t>
      </w:r>
      <w:r>
        <w:rPr>
          <w:rFonts w:hint="eastAsia" w:ascii="仿宋" w:hAnsi="仿宋" w:eastAsia="仿宋"/>
          <w:spacing w:val="-2"/>
          <w:sz w:val="32"/>
          <w:szCs w:val="32"/>
          <w:lang w:eastAsia="zh-CN"/>
        </w:rPr>
        <w:t>包括</w:t>
      </w:r>
      <w:r>
        <w:rPr>
          <w:rFonts w:hint="eastAsia" w:ascii="仿宋" w:hAnsi="仿宋" w:eastAsia="仿宋"/>
          <w:spacing w:val="-2"/>
          <w:sz w:val="32"/>
          <w:szCs w:val="32"/>
        </w:rPr>
        <w:t>在职人员</w:t>
      </w:r>
      <w:r>
        <w:rPr>
          <w:rFonts w:hint="eastAsia" w:ascii="仿宋" w:hAnsi="仿宋" w:eastAsia="仿宋"/>
          <w:spacing w:val="-2"/>
          <w:sz w:val="32"/>
          <w:szCs w:val="32"/>
          <w:lang w:val="en-US" w:eastAsia="zh-CN"/>
        </w:rPr>
        <w:t>基本</w:t>
      </w:r>
      <w:r>
        <w:rPr>
          <w:rFonts w:hint="eastAsia" w:ascii="仿宋" w:hAnsi="仿宋" w:eastAsia="仿宋"/>
          <w:spacing w:val="-2"/>
          <w:sz w:val="32"/>
          <w:szCs w:val="32"/>
        </w:rPr>
        <w:t>工资</w:t>
      </w:r>
      <w:r>
        <w:rPr>
          <w:rFonts w:hint="eastAsia" w:ascii="仿宋" w:hAnsi="仿宋" w:eastAsia="仿宋"/>
          <w:spacing w:val="-2"/>
          <w:sz w:val="32"/>
          <w:szCs w:val="32"/>
          <w:lang w:val="en-US" w:eastAsia="zh-CN"/>
        </w:rPr>
        <w:t>46.17万元</w:t>
      </w:r>
      <w:r>
        <w:rPr>
          <w:rFonts w:hint="eastAsia" w:ascii="仿宋" w:hAnsi="仿宋" w:eastAsia="仿宋"/>
          <w:spacing w:val="-2"/>
          <w:sz w:val="32"/>
          <w:szCs w:val="32"/>
        </w:rPr>
        <w:t>、津贴补贴</w:t>
      </w:r>
      <w:r>
        <w:rPr>
          <w:rFonts w:hint="eastAsia" w:ascii="仿宋" w:hAnsi="仿宋" w:eastAsia="仿宋"/>
          <w:spacing w:val="-2"/>
          <w:sz w:val="32"/>
          <w:szCs w:val="32"/>
          <w:lang w:val="en-US" w:eastAsia="zh-CN"/>
        </w:rPr>
        <w:t>24.3万元</w:t>
      </w:r>
      <w:r>
        <w:rPr>
          <w:rFonts w:hint="eastAsia" w:ascii="仿宋" w:hAnsi="仿宋" w:eastAsia="仿宋"/>
          <w:spacing w:val="-2"/>
          <w:sz w:val="32"/>
          <w:szCs w:val="32"/>
          <w:lang w:eastAsia="zh-CN"/>
        </w:rPr>
        <w:t>、伙食补助费</w:t>
      </w:r>
      <w:r>
        <w:rPr>
          <w:rFonts w:hint="eastAsia" w:ascii="仿宋" w:hAnsi="仿宋" w:eastAsia="仿宋"/>
          <w:spacing w:val="-2"/>
          <w:sz w:val="32"/>
          <w:szCs w:val="32"/>
          <w:lang w:val="en-US" w:eastAsia="zh-CN"/>
        </w:rPr>
        <w:t>0.58万元，</w:t>
      </w:r>
      <w:r>
        <w:rPr>
          <w:rFonts w:hint="eastAsia" w:ascii="仿宋" w:hAnsi="仿宋" w:eastAsia="仿宋"/>
          <w:spacing w:val="-2"/>
          <w:sz w:val="32"/>
          <w:szCs w:val="32"/>
        </w:rPr>
        <w:t>政策规定奖金</w:t>
      </w:r>
      <w:r>
        <w:rPr>
          <w:rFonts w:hint="eastAsia" w:ascii="仿宋" w:hAnsi="仿宋" w:eastAsia="仿宋"/>
          <w:spacing w:val="-2"/>
          <w:sz w:val="32"/>
          <w:szCs w:val="32"/>
          <w:lang w:val="en-US" w:eastAsia="zh-CN"/>
        </w:rPr>
        <w:t>45.59万元</w:t>
      </w:r>
      <w:r>
        <w:rPr>
          <w:rFonts w:hint="eastAsia" w:ascii="仿宋" w:hAnsi="仿宋" w:eastAsia="仿宋"/>
          <w:spacing w:val="-2"/>
          <w:sz w:val="32"/>
          <w:szCs w:val="32"/>
          <w:lang w:eastAsia="zh-CN"/>
        </w:rPr>
        <w:t>、基本养老保险</w:t>
      </w:r>
      <w:r>
        <w:rPr>
          <w:rFonts w:hint="eastAsia" w:ascii="仿宋" w:hAnsi="仿宋" w:eastAsia="仿宋"/>
          <w:spacing w:val="-2"/>
          <w:sz w:val="32"/>
          <w:szCs w:val="32"/>
          <w:lang w:val="en-US" w:eastAsia="zh-CN"/>
        </w:rPr>
        <w:t>11.59万元</w:t>
      </w:r>
      <w:r>
        <w:rPr>
          <w:rFonts w:hint="eastAsia" w:ascii="仿宋" w:hAnsi="仿宋" w:eastAsia="仿宋"/>
          <w:spacing w:val="-2"/>
          <w:sz w:val="32"/>
          <w:szCs w:val="32"/>
          <w:lang w:eastAsia="zh-CN"/>
        </w:rPr>
        <w:t>、基本医疗保险</w:t>
      </w:r>
      <w:r>
        <w:rPr>
          <w:rFonts w:hint="eastAsia" w:ascii="仿宋" w:hAnsi="仿宋" w:eastAsia="仿宋"/>
          <w:spacing w:val="-2"/>
          <w:sz w:val="32"/>
          <w:szCs w:val="32"/>
          <w:lang w:val="en-US" w:eastAsia="zh-CN"/>
        </w:rPr>
        <w:t>5.79万元</w:t>
      </w:r>
      <w:r>
        <w:rPr>
          <w:rFonts w:hint="eastAsia" w:ascii="仿宋" w:hAnsi="仿宋" w:eastAsia="仿宋"/>
          <w:spacing w:val="-2"/>
          <w:sz w:val="32"/>
          <w:szCs w:val="32"/>
        </w:rPr>
        <w:t>、生育基金、工伤保险等</w:t>
      </w:r>
      <w:r>
        <w:rPr>
          <w:rFonts w:hint="eastAsia" w:ascii="仿宋" w:hAnsi="仿宋" w:eastAsia="仿宋"/>
          <w:spacing w:val="-2"/>
          <w:sz w:val="32"/>
          <w:szCs w:val="32"/>
          <w:lang w:eastAsia="zh-CN"/>
        </w:rPr>
        <w:t>其他保障费</w:t>
      </w:r>
      <w:r>
        <w:rPr>
          <w:rFonts w:hint="eastAsia" w:ascii="仿宋" w:hAnsi="仿宋" w:eastAsia="仿宋"/>
          <w:spacing w:val="-2"/>
          <w:sz w:val="32"/>
          <w:szCs w:val="32"/>
          <w:lang w:val="en-US" w:eastAsia="zh-CN"/>
        </w:rPr>
        <w:t>0.99万元</w:t>
      </w:r>
      <w:r>
        <w:rPr>
          <w:rFonts w:hint="eastAsia" w:ascii="仿宋" w:hAnsi="仿宋" w:eastAsia="仿宋"/>
          <w:spacing w:val="-2"/>
          <w:sz w:val="32"/>
          <w:szCs w:val="32"/>
        </w:rPr>
        <w:t>支出。</w:t>
      </w:r>
      <w:r>
        <w:rPr>
          <w:rFonts w:hint="eastAsia" w:ascii="仿宋" w:hAnsi="仿宋" w:eastAsia="仿宋"/>
          <w:spacing w:val="-2"/>
          <w:sz w:val="32"/>
          <w:szCs w:val="32"/>
          <w:lang w:eastAsia="zh-CN"/>
        </w:rPr>
        <w:t>较上年减少</w:t>
      </w:r>
      <w:r>
        <w:rPr>
          <w:rFonts w:hint="eastAsia" w:ascii="仿宋" w:hAnsi="仿宋" w:eastAsia="仿宋"/>
          <w:spacing w:val="-2"/>
          <w:sz w:val="32"/>
          <w:szCs w:val="32"/>
          <w:lang w:val="en-US" w:eastAsia="zh-CN"/>
        </w:rPr>
        <w:t>121.42万元，减少47.5%，主要原因为人员减少。</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2、一般商品和服务支出</w:t>
      </w:r>
      <w:r>
        <w:rPr>
          <w:rFonts w:hint="eastAsia" w:ascii="仿宋" w:hAnsi="仿宋" w:eastAsia="仿宋"/>
          <w:spacing w:val="-2"/>
          <w:sz w:val="32"/>
          <w:szCs w:val="32"/>
          <w:lang w:val="en-US" w:eastAsia="zh-CN"/>
        </w:rPr>
        <w:t>83.15</w:t>
      </w:r>
      <w:r>
        <w:rPr>
          <w:rFonts w:hint="eastAsia" w:ascii="仿宋" w:hAnsi="仿宋" w:eastAsia="仿宋"/>
          <w:spacing w:val="-2"/>
          <w:sz w:val="32"/>
          <w:szCs w:val="32"/>
        </w:rPr>
        <w:t>万元</w:t>
      </w:r>
      <w:r>
        <w:rPr>
          <w:rFonts w:hint="eastAsia" w:ascii="仿宋" w:hAnsi="仿宋" w:eastAsia="仿宋"/>
          <w:spacing w:val="-2"/>
          <w:sz w:val="32"/>
          <w:szCs w:val="32"/>
          <w:lang w:val="en-US" w:eastAsia="zh-CN"/>
        </w:rPr>
        <w:t>。包括</w:t>
      </w:r>
      <w:r>
        <w:rPr>
          <w:rFonts w:hint="eastAsia" w:ascii="仿宋" w:hAnsi="仿宋" w:eastAsia="仿宋"/>
          <w:spacing w:val="-2"/>
          <w:sz w:val="32"/>
          <w:szCs w:val="32"/>
        </w:rPr>
        <w:t>日常运行正常办公费</w:t>
      </w:r>
      <w:r>
        <w:rPr>
          <w:rFonts w:hint="eastAsia" w:ascii="仿宋" w:hAnsi="仿宋" w:eastAsia="仿宋"/>
          <w:spacing w:val="-2"/>
          <w:sz w:val="32"/>
          <w:szCs w:val="32"/>
          <w:lang w:val="en-US" w:eastAsia="zh-CN"/>
        </w:rPr>
        <w:t>13.57</w:t>
      </w:r>
      <w:r>
        <w:rPr>
          <w:rFonts w:hint="eastAsia" w:ascii="仿宋" w:hAnsi="仿宋" w:eastAsia="仿宋"/>
          <w:spacing w:val="-2"/>
          <w:sz w:val="32"/>
          <w:szCs w:val="32"/>
          <w:lang w:eastAsia="zh-CN"/>
        </w:rPr>
        <w:t>、印刷费</w:t>
      </w:r>
      <w:r>
        <w:rPr>
          <w:rFonts w:hint="eastAsia" w:ascii="仿宋" w:hAnsi="仿宋" w:eastAsia="仿宋"/>
          <w:spacing w:val="-2"/>
          <w:sz w:val="32"/>
          <w:szCs w:val="32"/>
          <w:lang w:val="en-US" w:eastAsia="zh-CN"/>
        </w:rPr>
        <w:t>4.92万元</w:t>
      </w:r>
      <w:r>
        <w:rPr>
          <w:rFonts w:hint="eastAsia" w:ascii="仿宋" w:hAnsi="仿宋" w:eastAsia="仿宋"/>
          <w:spacing w:val="-2"/>
          <w:sz w:val="32"/>
          <w:szCs w:val="32"/>
        </w:rPr>
        <w:t>、邮电费</w:t>
      </w:r>
      <w:r>
        <w:rPr>
          <w:rFonts w:hint="eastAsia" w:ascii="仿宋" w:hAnsi="仿宋" w:eastAsia="仿宋"/>
          <w:spacing w:val="-2"/>
          <w:sz w:val="32"/>
          <w:szCs w:val="32"/>
          <w:lang w:val="en-US" w:eastAsia="zh-CN"/>
        </w:rPr>
        <w:t>1.44万元</w:t>
      </w:r>
      <w:r>
        <w:rPr>
          <w:rFonts w:hint="eastAsia" w:ascii="仿宋" w:hAnsi="仿宋" w:eastAsia="仿宋"/>
          <w:spacing w:val="-2"/>
          <w:sz w:val="32"/>
          <w:szCs w:val="32"/>
        </w:rPr>
        <w:t>、差旅费</w:t>
      </w:r>
      <w:r>
        <w:rPr>
          <w:rFonts w:hint="eastAsia" w:ascii="仿宋" w:hAnsi="仿宋" w:eastAsia="仿宋"/>
          <w:spacing w:val="-2"/>
          <w:sz w:val="32"/>
          <w:szCs w:val="32"/>
          <w:lang w:val="en-US" w:eastAsia="zh-CN"/>
        </w:rPr>
        <w:t>8.2万元</w:t>
      </w:r>
      <w:r>
        <w:rPr>
          <w:rFonts w:hint="eastAsia" w:ascii="仿宋" w:hAnsi="仿宋" w:eastAsia="仿宋"/>
          <w:spacing w:val="-2"/>
          <w:sz w:val="32"/>
          <w:szCs w:val="32"/>
        </w:rPr>
        <w:t>、</w:t>
      </w:r>
      <w:r>
        <w:rPr>
          <w:rFonts w:hint="eastAsia" w:ascii="仿宋" w:hAnsi="仿宋" w:eastAsia="仿宋"/>
          <w:spacing w:val="-2"/>
          <w:sz w:val="32"/>
          <w:szCs w:val="32"/>
          <w:lang w:eastAsia="zh-CN"/>
        </w:rPr>
        <w:t>维护费</w:t>
      </w:r>
      <w:r>
        <w:rPr>
          <w:rFonts w:hint="eastAsia" w:ascii="仿宋" w:hAnsi="仿宋" w:eastAsia="仿宋"/>
          <w:spacing w:val="-2"/>
          <w:sz w:val="32"/>
          <w:szCs w:val="32"/>
          <w:lang w:val="en-US" w:eastAsia="zh-CN"/>
        </w:rPr>
        <w:t>1.59万元</w:t>
      </w:r>
      <w:r>
        <w:rPr>
          <w:rFonts w:hint="eastAsia" w:ascii="仿宋" w:hAnsi="仿宋" w:eastAsia="仿宋"/>
          <w:spacing w:val="-2"/>
          <w:sz w:val="32"/>
          <w:szCs w:val="32"/>
        </w:rPr>
        <w:t>、</w:t>
      </w:r>
      <w:r>
        <w:rPr>
          <w:rFonts w:hint="eastAsia" w:ascii="仿宋" w:hAnsi="仿宋" w:eastAsia="仿宋"/>
          <w:spacing w:val="-2"/>
          <w:sz w:val="32"/>
          <w:szCs w:val="32"/>
          <w:lang w:eastAsia="zh-CN"/>
        </w:rPr>
        <w:t>工会经费</w:t>
      </w:r>
      <w:r>
        <w:rPr>
          <w:rFonts w:hint="eastAsia" w:ascii="仿宋" w:hAnsi="仿宋" w:eastAsia="仿宋"/>
          <w:spacing w:val="-2"/>
          <w:sz w:val="32"/>
          <w:szCs w:val="32"/>
          <w:lang w:val="en-US" w:eastAsia="zh-CN"/>
        </w:rPr>
        <w:t>8.87万元、</w:t>
      </w:r>
      <w:r>
        <w:rPr>
          <w:rFonts w:hint="eastAsia" w:ascii="仿宋" w:hAnsi="仿宋" w:eastAsia="仿宋"/>
          <w:spacing w:val="-2"/>
          <w:sz w:val="32"/>
          <w:szCs w:val="32"/>
        </w:rPr>
        <w:t>培训费</w:t>
      </w:r>
      <w:r>
        <w:rPr>
          <w:rFonts w:hint="eastAsia" w:ascii="仿宋" w:hAnsi="仿宋" w:eastAsia="仿宋"/>
          <w:spacing w:val="-2"/>
          <w:sz w:val="32"/>
          <w:szCs w:val="32"/>
          <w:lang w:val="en-US" w:eastAsia="zh-CN"/>
        </w:rPr>
        <w:t>1.76万元</w:t>
      </w:r>
      <w:r>
        <w:rPr>
          <w:rFonts w:hint="eastAsia" w:ascii="仿宋" w:hAnsi="仿宋" w:eastAsia="仿宋"/>
          <w:spacing w:val="-2"/>
          <w:sz w:val="32"/>
          <w:szCs w:val="32"/>
          <w:lang w:eastAsia="zh-CN"/>
        </w:rPr>
        <w:t>、劳务费</w:t>
      </w:r>
      <w:r>
        <w:rPr>
          <w:rFonts w:hint="eastAsia" w:ascii="仿宋" w:hAnsi="仿宋" w:eastAsia="仿宋"/>
          <w:spacing w:val="-2"/>
          <w:sz w:val="32"/>
          <w:szCs w:val="32"/>
          <w:lang w:val="en-US" w:eastAsia="zh-CN"/>
        </w:rPr>
        <w:t>6.64万元、</w:t>
      </w:r>
      <w:r>
        <w:rPr>
          <w:rFonts w:hint="eastAsia" w:ascii="仿宋" w:hAnsi="仿宋" w:eastAsia="仿宋"/>
          <w:spacing w:val="-2"/>
          <w:sz w:val="32"/>
          <w:szCs w:val="32"/>
        </w:rPr>
        <w:t>“三公经费”</w:t>
      </w:r>
      <w:r>
        <w:rPr>
          <w:rFonts w:hint="eastAsia" w:ascii="仿宋" w:hAnsi="仿宋" w:eastAsia="仿宋"/>
          <w:spacing w:val="-2"/>
          <w:sz w:val="32"/>
          <w:szCs w:val="32"/>
          <w:lang w:val="en-US" w:eastAsia="zh-CN"/>
        </w:rPr>
        <w:t>2.28万元</w:t>
      </w:r>
      <w:r>
        <w:rPr>
          <w:rFonts w:hint="eastAsia" w:ascii="仿宋" w:hAnsi="仿宋" w:eastAsia="仿宋"/>
          <w:spacing w:val="-2"/>
          <w:sz w:val="32"/>
          <w:szCs w:val="32"/>
          <w:lang w:eastAsia="zh-CN"/>
        </w:rPr>
        <w:t>、其他交通费</w:t>
      </w:r>
      <w:r>
        <w:rPr>
          <w:rFonts w:hint="eastAsia" w:ascii="仿宋" w:hAnsi="仿宋" w:eastAsia="仿宋"/>
          <w:spacing w:val="-2"/>
          <w:sz w:val="32"/>
          <w:szCs w:val="32"/>
          <w:lang w:val="en-US" w:eastAsia="zh-CN"/>
        </w:rPr>
        <w:t>9.03万元</w:t>
      </w:r>
      <w:r>
        <w:rPr>
          <w:rFonts w:hint="eastAsia" w:ascii="仿宋" w:hAnsi="仿宋" w:eastAsia="仿宋"/>
          <w:spacing w:val="-2"/>
          <w:sz w:val="32"/>
          <w:szCs w:val="32"/>
          <w:lang w:eastAsia="zh-CN"/>
        </w:rPr>
        <w:t>、</w:t>
      </w:r>
      <w:r>
        <w:rPr>
          <w:rFonts w:hint="eastAsia" w:ascii="仿宋" w:hAnsi="仿宋" w:eastAsia="仿宋"/>
          <w:spacing w:val="-2"/>
          <w:sz w:val="32"/>
          <w:szCs w:val="32"/>
        </w:rPr>
        <w:t>职工福利费</w:t>
      </w:r>
      <w:r>
        <w:rPr>
          <w:rFonts w:hint="eastAsia" w:ascii="仿宋" w:hAnsi="仿宋" w:eastAsia="仿宋"/>
          <w:spacing w:val="-2"/>
          <w:sz w:val="32"/>
          <w:szCs w:val="32"/>
          <w:lang w:val="en-US" w:eastAsia="zh-CN"/>
        </w:rPr>
        <w:t>3.2万元</w:t>
      </w:r>
      <w:r>
        <w:rPr>
          <w:rFonts w:hint="eastAsia" w:ascii="仿宋" w:hAnsi="仿宋" w:eastAsia="仿宋"/>
          <w:spacing w:val="-2"/>
          <w:sz w:val="32"/>
          <w:szCs w:val="32"/>
        </w:rPr>
        <w:t>及其他</w:t>
      </w:r>
      <w:r>
        <w:rPr>
          <w:rFonts w:hint="eastAsia" w:ascii="仿宋" w:hAnsi="仿宋" w:eastAsia="仿宋"/>
          <w:spacing w:val="-2"/>
          <w:sz w:val="32"/>
          <w:szCs w:val="32"/>
          <w:lang w:eastAsia="zh-CN"/>
        </w:rPr>
        <w:t>商品服务支出</w:t>
      </w:r>
      <w:r>
        <w:rPr>
          <w:rFonts w:hint="eastAsia" w:ascii="仿宋" w:hAnsi="仿宋" w:eastAsia="仿宋"/>
          <w:spacing w:val="-2"/>
          <w:sz w:val="32"/>
          <w:szCs w:val="32"/>
          <w:lang w:val="en-US" w:eastAsia="zh-CN"/>
        </w:rPr>
        <w:t>21.64万元</w:t>
      </w:r>
      <w:r>
        <w:rPr>
          <w:rFonts w:hint="eastAsia" w:ascii="仿宋" w:hAnsi="仿宋" w:eastAsia="仿宋"/>
          <w:spacing w:val="-2"/>
          <w:sz w:val="32"/>
          <w:szCs w:val="32"/>
        </w:rPr>
        <w:t>等，同比上年</w:t>
      </w:r>
      <w:r>
        <w:rPr>
          <w:rFonts w:hint="eastAsia" w:ascii="仿宋" w:hAnsi="仿宋" w:eastAsia="仿宋"/>
          <w:spacing w:val="-2"/>
          <w:sz w:val="32"/>
          <w:szCs w:val="32"/>
          <w:lang w:val="en-US" w:eastAsia="zh-CN"/>
        </w:rPr>
        <w:t>减少</w:t>
      </w:r>
      <w:r>
        <w:rPr>
          <w:rFonts w:hint="eastAsia" w:ascii="仿宋" w:hAnsi="仿宋" w:eastAsia="仿宋"/>
          <w:spacing w:val="-2"/>
          <w:sz w:val="32"/>
          <w:szCs w:val="32"/>
        </w:rPr>
        <w:t>开支</w:t>
      </w:r>
      <w:r>
        <w:rPr>
          <w:rFonts w:hint="eastAsia" w:ascii="仿宋" w:hAnsi="仿宋" w:eastAsia="仿宋"/>
          <w:spacing w:val="-2"/>
          <w:sz w:val="32"/>
          <w:szCs w:val="32"/>
          <w:lang w:val="en-US" w:eastAsia="zh-CN"/>
        </w:rPr>
        <w:t>10.77万元，下降11.47</w:t>
      </w:r>
      <w:r>
        <w:rPr>
          <w:rFonts w:hint="eastAsia" w:ascii="仿宋" w:hAnsi="仿宋" w:eastAsia="仿宋"/>
          <w:spacing w:val="-2"/>
          <w:sz w:val="32"/>
          <w:szCs w:val="32"/>
        </w:rPr>
        <w:t>%，</w:t>
      </w:r>
      <w:r>
        <w:rPr>
          <w:rFonts w:hint="eastAsia" w:ascii="仿宋" w:hAnsi="仿宋" w:eastAsia="仿宋"/>
          <w:spacing w:val="-2"/>
          <w:sz w:val="32"/>
          <w:szCs w:val="32"/>
          <w:lang w:val="en-US" w:eastAsia="zh-CN"/>
        </w:rPr>
        <w:t>减少</w:t>
      </w:r>
      <w:r>
        <w:rPr>
          <w:rFonts w:hint="eastAsia" w:ascii="仿宋" w:hAnsi="仿宋" w:eastAsia="仿宋"/>
          <w:spacing w:val="-2"/>
          <w:sz w:val="32"/>
          <w:szCs w:val="32"/>
        </w:rPr>
        <w:t>原因是</w:t>
      </w:r>
      <w:r>
        <w:rPr>
          <w:rFonts w:hint="default" w:ascii="Times New Roman" w:hAnsi="Times New Roman" w:eastAsia="仿宋_GB2312" w:cs="Times New Roman"/>
          <w:sz w:val="32"/>
          <w:szCs w:val="32"/>
          <w:lang w:eastAsia="zh-CN"/>
        </w:rPr>
        <w:t>厉行节约</w:t>
      </w:r>
      <w:r>
        <w:rPr>
          <w:rFonts w:hint="eastAsia" w:ascii="仿宋" w:hAnsi="仿宋" w:eastAsia="仿宋"/>
          <w:spacing w:val="-2"/>
          <w:sz w:val="32"/>
          <w:szCs w:val="32"/>
        </w:rPr>
        <w:t>。</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rPr>
        <w:t>“三公”经费方面</w:t>
      </w:r>
      <w:r>
        <w:rPr>
          <w:rFonts w:hint="eastAsia" w:ascii="仿宋" w:hAnsi="仿宋" w:eastAsia="仿宋"/>
          <w:spacing w:val="-2"/>
          <w:sz w:val="32"/>
          <w:szCs w:val="32"/>
          <w:lang w:eastAsia="zh-CN"/>
        </w:rPr>
        <w:t>。</w:t>
      </w:r>
      <w:r>
        <w:rPr>
          <w:rFonts w:hint="eastAsia" w:ascii="仿宋" w:hAnsi="仿宋" w:eastAsia="仿宋"/>
          <w:spacing w:val="-2"/>
          <w:sz w:val="32"/>
          <w:szCs w:val="32"/>
        </w:rPr>
        <w:t>公务接待费实际开支</w:t>
      </w:r>
      <w:r>
        <w:rPr>
          <w:rFonts w:hint="eastAsia" w:ascii="仿宋" w:hAnsi="仿宋" w:eastAsia="仿宋"/>
          <w:spacing w:val="-2"/>
          <w:sz w:val="32"/>
          <w:szCs w:val="32"/>
          <w:lang w:val="en-US" w:eastAsia="zh-CN"/>
        </w:rPr>
        <w:t>1.2</w:t>
      </w:r>
      <w:r>
        <w:rPr>
          <w:rFonts w:hint="eastAsia" w:ascii="仿宋" w:hAnsi="仿宋" w:eastAsia="仿宋"/>
          <w:spacing w:val="-2"/>
          <w:sz w:val="32"/>
          <w:szCs w:val="32"/>
        </w:rPr>
        <w:t>万元，较上年减少支出</w:t>
      </w:r>
      <w:r>
        <w:rPr>
          <w:rFonts w:hint="eastAsia" w:ascii="仿宋" w:hAnsi="仿宋" w:eastAsia="仿宋"/>
          <w:spacing w:val="-2"/>
          <w:sz w:val="32"/>
          <w:szCs w:val="32"/>
          <w:lang w:val="en-US" w:eastAsia="zh-CN"/>
        </w:rPr>
        <w:t>0.17</w:t>
      </w:r>
      <w:r>
        <w:rPr>
          <w:rFonts w:hint="eastAsia" w:ascii="仿宋" w:hAnsi="仿宋" w:eastAsia="仿宋"/>
          <w:spacing w:val="-2"/>
          <w:sz w:val="32"/>
          <w:szCs w:val="32"/>
        </w:rPr>
        <w:t>万元；车辆运行费实际开支</w:t>
      </w:r>
      <w:r>
        <w:rPr>
          <w:rFonts w:hint="eastAsia" w:ascii="仿宋" w:hAnsi="仿宋" w:eastAsia="仿宋"/>
          <w:spacing w:val="-2"/>
          <w:sz w:val="32"/>
          <w:szCs w:val="32"/>
          <w:lang w:val="en-US" w:eastAsia="zh-CN"/>
        </w:rPr>
        <w:t>1.08</w:t>
      </w:r>
      <w:r>
        <w:rPr>
          <w:rFonts w:hint="eastAsia" w:ascii="仿宋" w:hAnsi="仿宋" w:eastAsia="仿宋"/>
          <w:spacing w:val="-2"/>
          <w:sz w:val="32"/>
          <w:szCs w:val="32"/>
        </w:rPr>
        <w:t>万元，较上年</w:t>
      </w:r>
      <w:r>
        <w:rPr>
          <w:rFonts w:hint="eastAsia" w:ascii="仿宋" w:hAnsi="仿宋" w:eastAsia="仿宋"/>
          <w:spacing w:val="-2"/>
          <w:sz w:val="32"/>
          <w:szCs w:val="32"/>
          <w:lang w:eastAsia="zh-CN"/>
        </w:rPr>
        <w:t>增加</w:t>
      </w:r>
      <w:r>
        <w:rPr>
          <w:rFonts w:hint="eastAsia" w:ascii="仿宋" w:hAnsi="仿宋" w:eastAsia="仿宋"/>
          <w:spacing w:val="-2"/>
          <w:sz w:val="32"/>
          <w:szCs w:val="32"/>
        </w:rPr>
        <w:t>支出</w:t>
      </w:r>
      <w:r>
        <w:rPr>
          <w:rFonts w:hint="eastAsia" w:ascii="仿宋" w:hAnsi="仿宋" w:eastAsia="仿宋"/>
          <w:spacing w:val="-2"/>
          <w:sz w:val="32"/>
          <w:szCs w:val="32"/>
          <w:lang w:val="en-US" w:eastAsia="zh-CN"/>
        </w:rPr>
        <w:t>0.82</w:t>
      </w:r>
      <w:r>
        <w:rPr>
          <w:rFonts w:hint="eastAsia" w:ascii="仿宋" w:hAnsi="仿宋" w:eastAsia="仿宋"/>
          <w:spacing w:val="-2"/>
          <w:sz w:val="32"/>
          <w:szCs w:val="32"/>
        </w:rPr>
        <w:t>万元</w:t>
      </w:r>
      <w:r>
        <w:rPr>
          <w:rFonts w:hint="eastAsia" w:ascii="仿宋" w:hAnsi="仿宋" w:eastAsia="仿宋"/>
          <w:spacing w:val="-2"/>
          <w:sz w:val="32"/>
          <w:szCs w:val="32"/>
          <w:lang w:eastAsia="zh-CN"/>
        </w:rPr>
        <w:t>，主要原因为</w:t>
      </w:r>
      <w:r>
        <w:rPr>
          <w:rFonts w:hint="eastAsia" w:ascii="仿宋" w:hAnsi="仿宋" w:eastAsia="仿宋"/>
          <w:spacing w:val="-2"/>
          <w:sz w:val="32"/>
          <w:szCs w:val="32"/>
          <w:lang w:val="en-US" w:eastAsia="zh-CN"/>
        </w:rPr>
        <w:t>2020年对公车进行了修理；</w:t>
      </w:r>
      <w:r>
        <w:rPr>
          <w:rFonts w:hint="eastAsia" w:ascii="仿宋" w:hAnsi="仿宋" w:eastAsia="仿宋"/>
          <w:spacing w:val="-2"/>
          <w:sz w:val="32"/>
          <w:szCs w:val="32"/>
        </w:rPr>
        <w:t>无任何出国出境考察开支。</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会议费、培训费。</w:t>
      </w:r>
      <w:r>
        <w:rPr>
          <w:rFonts w:hint="eastAsia" w:ascii="仿宋" w:hAnsi="仿宋" w:eastAsia="仿宋"/>
          <w:spacing w:val="-2"/>
          <w:sz w:val="32"/>
          <w:szCs w:val="32"/>
        </w:rPr>
        <w:t>会议费开支</w:t>
      </w:r>
      <w:r>
        <w:rPr>
          <w:rFonts w:hint="eastAsia" w:ascii="仿宋" w:hAnsi="仿宋" w:eastAsia="仿宋"/>
          <w:spacing w:val="-2"/>
          <w:sz w:val="32"/>
          <w:szCs w:val="32"/>
          <w:lang w:val="en-US" w:eastAsia="zh-CN"/>
        </w:rPr>
        <w:t>0</w:t>
      </w:r>
      <w:r>
        <w:rPr>
          <w:rFonts w:hint="eastAsia" w:ascii="仿宋" w:hAnsi="仿宋" w:eastAsia="仿宋"/>
          <w:spacing w:val="-2"/>
          <w:sz w:val="32"/>
          <w:szCs w:val="32"/>
        </w:rPr>
        <w:t>万元，</w:t>
      </w:r>
      <w:r>
        <w:rPr>
          <w:rFonts w:hint="eastAsia" w:ascii="仿宋" w:hAnsi="仿宋" w:eastAsia="仿宋"/>
          <w:spacing w:val="-2"/>
          <w:sz w:val="32"/>
          <w:szCs w:val="32"/>
          <w:lang w:eastAsia="zh-CN"/>
        </w:rPr>
        <w:t>培训费</w:t>
      </w:r>
      <w:r>
        <w:rPr>
          <w:rFonts w:hint="eastAsia" w:ascii="仿宋" w:hAnsi="仿宋" w:eastAsia="仿宋"/>
          <w:spacing w:val="-2"/>
          <w:sz w:val="32"/>
          <w:szCs w:val="32"/>
          <w:lang w:val="en-US" w:eastAsia="zh-CN"/>
        </w:rPr>
        <w:t>1.76万元，较上年增加支出1.66万元。主要为2020年开展了全市政府系统研究室（经调室）人员业务培训。</w:t>
      </w:r>
    </w:p>
    <w:p>
      <w:pPr>
        <w:keepNext w:val="0"/>
        <w:keepLines w:val="0"/>
        <w:pageBreakBefore w:val="0"/>
        <w:widowControl/>
        <w:numPr>
          <w:ilvl w:val="0"/>
          <w:numId w:val="2"/>
        </w:numPr>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rPr>
        <w:t>对个人和家庭补助支出</w:t>
      </w:r>
      <w:r>
        <w:rPr>
          <w:rFonts w:hint="eastAsia" w:ascii="仿宋" w:hAnsi="仿宋" w:eastAsia="仿宋"/>
          <w:spacing w:val="-2"/>
          <w:sz w:val="32"/>
          <w:szCs w:val="32"/>
          <w:lang w:val="en-US" w:eastAsia="zh-CN"/>
        </w:rPr>
        <w:t>14.55</w:t>
      </w:r>
      <w:r>
        <w:rPr>
          <w:rFonts w:hint="eastAsia" w:ascii="仿宋" w:hAnsi="仿宋" w:eastAsia="仿宋"/>
          <w:spacing w:val="-2"/>
          <w:sz w:val="32"/>
          <w:szCs w:val="32"/>
        </w:rPr>
        <w:t>万元</w:t>
      </w:r>
      <w:r>
        <w:rPr>
          <w:rFonts w:hint="eastAsia" w:ascii="仿宋" w:hAnsi="仿宋" w:eastAsia="仿宋"/>
          <w:spacing w:val="-2"/>
          <w:sz w:val="32"/>
          <w:szCs w:val="32"/>
          <w:lang w:val="en-US" w:eastAsia="zh-CN"/>
        </w:rPr>
        <w:t>。主要包括退休费</w:t>
      </w:r>
      <w:r>
        <w:rPr>
          <w:rFonts w:hint="eastAsia" w:ascii="仿宋" w:hAnsi="仿宋" w:eastAsia="仿宋"/>
          <w:spacing w:val="-2"/>
          <w:sz w:val="32"/>
          <w:szCs w:val="32"/>
        </w:rPr>
        <w:t>等支出，同比上年减少开支</w:t>
      </w:r>
      <w:r>
        <w:rPr>
          <w:rFonts w:hint="eastAsia" w:ascii="仿宋" w:hAnsi="仿宋" w:eastAsia="仿宋"/>
          <w:spacing w:val="-2"/>
          <w:sz w:val="32"/>
          <w:szCs w:val="32"/>
          <w:lang w:val="en-US" w:eastAsia="zh-CN"/>
        </w:rPr>
        <w:t>万元</w:t>
      </w:r>
      <w:r>
        <w:rPr>
          <w:rFonts w:hint="eastAsia" w:ascii="仿宋" w:hAnsi="仿宋" w:eastAsia="仿宋"/>
          <w:spacing w:val="-2"/>
          <w:sz w:val="32"/>
          <w:szCs w:val="32"/>
        </w:rPr>
        <w:t>。</w:t>
      </w:r>
    </w:p>
    <w:p>
      <w:pPr>
        <w:keepNext w:val="0"/>
        <w:keepLines w:val="0"/>
        <w:pageBreakBefore w:val="0"/>
        <w:widowControl/>
        <w:numPr>
          <w:ilvl w:val="0"/>
          <w:numId w:val="2"/>
        </w:numPr>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rPr>
      </w:pPr>
      <w:r>
        <w:rPr>
          <w:rFonts w:hint="eastAsia" w:ascii="仿宋" w:hAnsi="仿宋" w:eastAsia="仿宋"/>
          <w:spacing w:val="-2"/>
          <w:sz w:val="32"/>
          <w:szCs w:val="32"/>
          <w:lang w:eastAsia="zh-CN"/>
        </w:rPr>
        <w:t>资本性支出</w:t>
      </w:r>
      <w:r>
        <w:rPr>
          <w:rFonts w:hint="eastAsia" w:ascii="仿宋" w:hAnsi="仿宋" w:eastAsia="仿宋"/>
          <w:spacing w:val="-2"/>
          <w:sz w:val="32"/>
          <w:szCs w:val="32"/>
          <w:lang w:val="en-US" w:eastAsia="zh-CN"/>
        </w:rPr>
        <w:t>12.53万元，主要为配置了保密办公室、电脑、移动终端等设备。</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黑体" w:hAnsi="黑体" w:eastAsia="黑体" w:cs="黑体"/>
          <w:b/>
          <w:spacing w:val="-2"/>
          <w:sz w:val="32"/>
          <w:szCs w:val="21"/>
        </w:rPr>
      </w:pPr>
      <w:r>
        <w:rPr>
          <w:rFonts w:hint="eastAsia" w:ascii="黑体" w:hAnsi="黑体" w:eastAsia="黑体" w:cs="黑体"/>
          <w:b/>
          <w:spacing w:val="-2"/>
          <w:sz w:val="32"/>
          <w:szCs w:val="32"/>
          <w:lang w:val="en-US" w:eastAsia="zh-CN"/>
        </w:rPr>
        <w:t>三</w:t>
      </w:r>
      <w:r>
        <w:rPr>
          <w:rFonts w:hint="eastAsia" w:ascii="黑体" w:hAnsi="黑体" w:eastAsia="黑体" w:cs="黑体"/>
          <w:b/>
          <w:spacing w:val="-2"/>
          <w:sz w:val="32"/>
          <w:szCs w:val="32"/>
        </w:rPr>
        <w:t>、资产管理情况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default" w:ascii="仿宋" w:hAnsi="仿宋" w:eastAsia="仿宋"/>
          <w:spacing w:val="-2"/>
          <w:sz w:val="32"/>
          <w:szCs w:val="32"/>
          <w:lang w:val="en-US"/>
        </w:rPr>
      </w:pPr>
      <w:r>
        <w:rPr>
          <w:rFonts w:hint="eastAsia" w:ascii="仿宋" w:hAnsi="仿宋" w:eastAsia="仿宋"/>
          <w:spacing w:val="-2"/>
          <w:sz w:val="32"/>
          <w:szCs w:val="32"/>
        </w:rPr>
        <w:t>固定资产、办公家具和办公用品严格按照《政府采购预算》进行配置和处置，按计划购置办公用品。建立了固定资产和办公用品</w:t>
      </w:r>
      <w:r>
        <w:rPr>
          <w:rFonts w:hint="eastAsia" w:ascii="仿宋" w:hAnsi="仿宋" w:eastAsia="仿宋"/>
          <w:spacing w:val="-2"/>
          <w:sz w:val="32"/>
          <w:szCs w:val="32"/>
          <w:lang w:eastAsia="zh-CN"/>
        </w:rPr>
        <w:t>配置、</w:t>
      </w:r>
      <w:r>
        <w:rPr>
          <w:rFonts w:hint="eastAsia" w:ascii="仿宋" w:hAnsi="仿宋" w:eastAsia="仿宋"/>
          <w:spacing w:val="-2"/>
          <w:sz w:val="32"/>
          <w:szCs w:val="32"/>
        </w:rPr>
        <w:t>使用、</w:t>
      </w:r>
      <w:r>
        <w:rPr>
          <w:rFonts w:hint="eastAsia" w:ascii="仿宋" w:hAnsi="仿宋" w:eastAsia="仿宋"/>
          <w:spacing w:val="-2"/>
          <w:sz w:val="32"/>
          <w:szCs w:val="32"/>
          <w:lang w:eastAsia="zh-CN"/>
        </w:rPr>
        <w:t>处置</w:t>
      </w:r>
      <w:r>
        <w:rPr>
          <w:rFonts w:hint="eastAsia" w:ascii="仿宋" w:hAnsi="仿宋" w:eastAsia="仿宋"/>
          <w:spacing w:val="-2"/>
          <w:sz w:val="32"/>
          <w:szCs w:val="32"/>
        </w:rPr>
        <w:t>等内部管理规范。</w:t>
      </w:r>
      <w:r>
        <w:rPr>
          <w:rFonts w:hint="eastAsia" w:ascii="仿宋" w:hAnsi="仿宋" w:eastAsia="仿宋"/>
          <w:spacing w:val="-2"/>
          <w:sz w:val="32"/>
          <w:szCs w:val="32"/>
          <w:lang w:eastAsia="zh-CN"/>
        </w:rPr>
        <w:t>全年</w:t>
      </w:r>
      <w:r>
        <w:rPr>
          <w:rFonts w:hint="eastAsia" w:ascii="仿宋" w:hAnsi="仿宋" w:eastAsia="仿宋"/>
          <w:spacing w:val="-2"/>
          <w:sz w:val="32"/>
          <w:szCs w:val="32"/>
        </w:rPr>
        <w:t>资产处置</w:t>
      </w:r>
      <w:r>
        <w:rPr>
          <w:rFonts w:hint="eastAsia" w:ascii="仿宋" w:hAnsi="仿宋" w:eastAsia="仿宋"/>
          <w:spacing w:val="-2"/>
          <w:sz w:val="32"/>
          <w:szCs w:val="32"/>
          <w:lang w:eastAsia="zh-CN"/>
        </w:rPr>
        <w:t>情况为因机构改革人员转隶，调拨到司法局固定资产</w:t>
      </w:r>
      <w:r>
        <w:rPr>
          <w:rFonts w:hint="eastAsia" w:ascii="仿宋" w:hAnsi="仿宋" w:eastAsia="仿宋"/>
          <w:spacing w:val="-2"/>
          <w:sz w:val="32"/>
          <w:szCs w:val="32"/>
          <w:lang w:val="en-US" w:eastAsia="zh-CN"/>
        </w:rPr>
        <w:t>9.96万元</w:t>
      </w:r>
      <w:r>
        <w:rPr>
          <w:rFonts w:hint="eastAsia" w:ascii="仿宋" w:hAnsi="仿宋" w:eastAsia="仿宋"/>
          <w:spacing w:val="-2"/>
          <w:sz w:val="32"/>
          <w:szCs w:val="32"/>
          <w:lang w:eastAsia="zh-CN"/>
        </w:rPr>
        <w:t>，报废固定资产</w:t>
      </w:r>
      <w:r>
        <w:rPr>
          <w:rFonts w:hint="eastAsia" w:ascii="仿宋" w:hAnsi="仿宋" w:eastAsia="仿宋"/>
          <w:spacing w:val="-2"/>
          <w:sz w:val="32"/>
          <w:szCs w:val="32"/>
          <w:lang w:val="en-US" w:eastAsia="zh-CN"/>
        </w:rPr>
        <w:t>0.18万元；配置保密办公室、电脑、移动终端等设备共计12.53万元。</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黑体" w:hAnsi="黑体" w:eastAsia="黑体" w:cs="黑体"/>
          <w:b/>
          <w:spacing w:val="-2"/>
          <w:sz w:val="32"/>
          <w:szCs w:val="21"/>
        </w:rPr>
      </w:pPr>
      <w:r>
        <w:rPr>
          <w:rFonts w:hint="eastAsia" w:ascii="黑体" w:hAnsi="黑体" w:eastAsia="黑体" w:cs="黑体"/>
          <w:b/>
          <w:spacing w:val="-2"/>
          <w:sz w:val="32"/>
          <w:szCs w:val="32"/>
          <w:lang w:eastAsia="zh-CN"/>
        </w:rPr>
        <w:t>四</w:t>
      </w:r>
      <w:r>
        <w:rPr>
          <w:rFonts w:hint="eastAsia" w:ascii="黑体" w:hAnsi="黑体" w:eastAsia="黑体" w:cs="黑体"/>
          <w:b/>
          <w:spacing w:val="-2"/>
          <w:sz w:val="32"/>
          <w:szCs w:val="32"/>
        </w:rPr>
        <w:t>、部门整体支出绩效情况</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highlight w:val="none"/>
          <w:lang w:eastAsia="zh-CN"/>
        </w:rPr>
        <w:t>我</w:t>
      </w:r>
      <w:r>
        <w:rPr>
          <w:rFonts w:hint="eastAsia" w:ascii="仿宋" w:hAnsi="仿宋" w:eastAsia="仿宋"/>
          <w:spacing w:val="-2"/>
          <w:sz w:val="32"/>
          <w:szCs w:val="32"/>
          <w:highlight w:val="none"/>
          <w:lang w:val="en-US" w:eastAsia="zh-CN"/>
        </w:rPr>
        <w:t>单位</w:t>
      </w:r>
      <w:r>
        <w:rPr>
          <w:rFonts w:hint="eastAsia" w:ascii="仿宋" w:hAnsi="仿宋" w:eastAsia="仿宋"/>
          <w:spacing w:val="-2"/>
          <w:sz w:val="32"/>
          <w:szCs w:val="32"/>
          <w:highlight w:val="none"/>
          <w:lang w:eastAsia="zh-CN"/>
        </w:rPr>
        <w:t>从经济性、效率性、有效性和可持续性等对</w:t>
      </w:r>
      <w:r>
        <w:rPr>
          <w:rFonts w:hint="eastAsia" w:ascii="仿宋" w:hAnsi="仿宋" w:eastAsia="仿宋"/>
          <w:spacing w:val="-2"/>
          <w:sz w:val="32"/>
          <w:szCs w:val="32"/>
          <w:highlight w:val="none"/>
          <w:lang w:val="en-US" w:eastAsia="zh-CN"/>
        </w:rPr>
        <w:t>2020年部门整体支出绩效开展了评价，自评得分 95分，具体情况如下：</w:t>
      </w:r>
    </w:p>
    <w:p>
      <w:pPr>
        <w:keepNext w:val="0"/>
        <w:keepLines w:val="0"/>
        <w:pageBreakBefore w:val="0"/>
        <w:widowControl/>
        <w:numPr>
          <w:ilvl w:val="0"/>
          <w:numId w:val="3"/>
        </w:numPr>
        <w:shd w:val="clear" w:color="auto" w:fill="FFFFFF"/>
        <w:kinsoku/>
        <w:wordWrap/>
        <w:overflowPunct/>
        <w:topLinePunct w:val="0"/>
        <w:autoSpaceDE/>
        <w:autoSpaceDN/>
        <w:bidi w:val="0"/>
        <w:adjustRightInd/>
        <w:spacing w:line="600" w:lineRule="exact"/>
        <w:ind w:firstLine="640"/>
        <w:textAlignment w:val="auto"/>
        <w:rPr>
          <w:rFonts w:hint="eastAsia" w:ascii="楷体" w:hAnsi="楷体" w:eastAsia="楷体" w:cs="楷体"/>
          <w:b/>
          <w:bCs/>
          <w:spacing w:val="-2"/>
          <w:sz w:val="32"/>
          <w:szCs w:val="32"/>
        </w:rPr>
      </w:pPr>
      <w:r>
        <w:rPr>
          <w:rFonts w:hint="eastAsia" w:ascii="楷体" w:hAnsi="楷体" w:eastAsia="楷体" w:cs="楷体"/>
          <w:b/>
          <w:bCs/>
          <w:spacing w:val="-2"/>
          <w:sz w:val="32"/>
          <w:szCs w:val="32"/>
        </w:rPr>
        <w:t>经济性分析</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textAlignment w:val="auto"/>
        <w:rPr>
          <w:highlight w:val="none"/>
        </w:rPr>
      </w:pPr>
      <w:r>
        <w:rPr>
          <w:rFonts w:hint="eastAsia" w:ascii="仿宋" w:hAnsi="仿宋" w:eastAsia="仿宋"/>
          <w:spacing w:val="-2"/>
          <w:sz w:val="32"/>
          <w:szCs w:val="32"/>
          <w:lang w:val="en-US" w:eastAsia="zh-CN"/>
        </w:rPr>
        <w:t xml:space="preserve">    2020</w:t>
      </w:r>
      <w:r>
        <w:rPr>
          <w:rFonts w:hint="eastAsia" w:ascii="仿宋" w:hAnsi="仿宋" w:eastAsia="仿宋"/>
          <w:spacing w:val="-2"/>
          <w:sz w:val="32"/>
          <w:szCs w:val="32"/>
          <w:highlight w:val="none"/>
          <w:lang w:val="en-US" w:eastAsia="zh-CN"/>
        </w:rPr>
        <w:t>年年初预算</w:t>
      </w:r>
      <w:r>
        <w:rPr>
          <w:rFonts w:hint="eastAsia" w:ascii="Times New Roman" w:hAnsi="Times New Roman" w:eastAsia="仿宋_GB2312" w:cs="Times New Roman"/>
          <w:kern w:val="2"/>
          <w:sz w:val="32"/>
          <w:szCs w:val="32"/>
          <w:highlight w:val="none"/>
          <w:lang w:val="en-US" w:eastAsia="zh-CN" w:bidi="ar-SA"/>
        </w:rPr>
        <w:t>187.89</w:t>
      </w:r>
      <w:r>
        <w:rPr>
          <w:rFonts w:hint="eastAsia" w:ascii="仿宋" w:hAnsi="仿宋" w:eastAsia="仿宋"/>
          <w:spacing w:val="-2"/>
          <w:sz w:val="32"/>
          <w:szCs w:val="32"/>
          <w:highlight w:val="none"/>
          <w:lang w:val="en-US" w:eastAsia="zh-CN"/>
        </w:rPr>
        <w:t xml:space="preserve">万元，年中追加预算56.36万元，剔除政策性追加人员经费53.36万元（绩效奖、2018年春节一次性生活补助等）、重大、重点课题项目经费3万元，我单位未向财政申请增加预算，成本（预算）控制良好。   </w:t>
      </w:r>
    </w:p>
    <w:p>
      <w:pPr>
        <w:keepNext w:val="0"/>
        <w:keepLines w:val="0"/>
        <w:pageBreakBefore w:val="0"/>
        <w:widowControl/>
        <w:numPr>
          <w:ilvl w:val="0"/>
          <w:numId w:val="3"/>
        </w:numPr>
        <w:shd w:val="clear" w:color="auto" w:fill="FFFFFF"/>
        <w:kinsoku/>
        <w:wordWrap/>
        <w:overflowPunct/>
        <w:topLinePunct w:val="0"/>
        <w:autoSpaceDE/>
        <w:autoSpaceDN/>
        <w:bidi w:val="0"/>
        <w:adjustRightInd/>
        <w:spacing w:line="600" w:lineRule="exact"/>
        <w:ind w:left="0" w:leftChars="0" w:firstLine="640" w:firstLineChars="0"/>
        <w:textAlignment w:val="auto"/>
        <w:rPr>
          <w:rFonts w:hint="eastAsia" w:ascii="楷体" w:hAnsi="楷体" w:eastAsia="楷体" w:cs="楷体"/>
          <w:b/>
          <w:bCs/>
          <w:spacing w:val="-2"/>
          <w:sz w:val="32"/>
          <w:szCs w:val="32"/>
        </w:rPr>
      </w:pPr>
      <w:r>
        <w:rPr>
          <w:rFonts w:hint="eastAsia" w:ascii="楷体" w:hAnsi="楷体" w:eastAsia="楷体" w:cs="楷体"/>
          <w:b/>
          <w:bCs/>
          <w:spacing w:val="-2"/>
          <w:sz w:val="32"/>
          <w:szCs w:val="32"/>
        </w:rPr>
        <w:t>效率性分析</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仿宋" w:hAnsi="仿宋" w:eastAsia="仿宋" w:cs="仿宋"/>
          <w:sz w:val="32"/>
          <w:szCs w:val="32"/>
        </w:rPr>
        <w:t>2020年，我室在市委的坚强领导下，坚持以</w:t>
      </w:r>
      <w:bookmarkStart w:id="0" w:name="_Hlk62047822"/>
      <w:r>
        <w:rPr>
          <w:rFonts w:hint="eastAsia" w:ascii="仿宋" w:hAnsi="仿宋" w:eastAsia="仿宋" w:cs="仿宋"/>
          <w:sz w:val="32"/>
          <w:szCs w:val="32"/>
        </w:rPr>
        <w:t>习近平新时代中国特色社会主义思想</w:t>
      </w:r>
      <w:bookmarkEnd w:id="0"/>
      <w:r>
        <w:rPr>
          <w:rFonts w:hint="eastAsia" w:ascii="仿宋" w:hAnsi="仿宋" w:eastAsia="仿宋" w:cs="仿宋"/>
          <w:sz w:val="32"/>
          <w:szCs w:val="32"/>
        </w:rPr>
        <w:t>为指导，紧紧围绕全市发展大局和中心工作，恪尽职守，扎实工作，较好地完成了市委、市政府交办的各项工作任务。</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一、切实提高站位，始终把政治建设摆在首位</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不断增强政治意识，不折不扣完成政治建设的各项任务。</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1.坚决做到政治坚定、绝对忠诚。</w:t>
      </w:r>
      <w:r>
        <w:rPr>
          <w:rFonts w:hint="eastAsia" w:ascii="仿宋" w:hAnsi="仿宋" w:eastAsia="仿宋" w:cs="仿宋"/>
          <w:sz w:val="32"/>
          <w:szCs w:val="32"/>
        </w:rPr>
        <w:t>旗帜鲜明讲政治，增强“四个意识”，坚定“四个自信”，做到“两个维护”，自觉在思想上政治上行动上同以习近平同志为核心的党中央保持高度一致,并把“两个维护”体现在坚决贯彻党中央、省委、市委决策部署的具体行动上。去年，先后召开室党组会议7次，传达学习党中央国务院、省委省政府、市委市政府重要文件、重大会议和领导讲话精神，研究具体贯彻落实意见，并融入参政设谋服务之中，确保上级决策部署落地见效。</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2.切实强化党的创新理论</w:t>
      </w:r>
      <w:bookmarkStart w:id="1" w:name="_Hlk62047871"/>
      <w:r>
        <w:rPr>
          <w:rFonts w:hint="eastAsia" w:ascii="楷体" w:hAnsi="楷体" w:eastAsia="楷体" w:cs="楷体"/>
          <w:b/>
          <w:bCs/>
          <w:sz w:val="32"/>
          <w:szCs w:val="32"/>
        </w:rPr>
        <w:t>武装</w:t>
      </w:r>
      <w:bookmarkEnd w:id="1"/>
      <w:r>
        <w:rPr>
          <w:rFonts w:hint="eastAsia" w:ascii="楷体" w:hAnsi="楷体" w:eastAsia="楷体" w:cs="楷体"/>
          <w:b/>
          <w:bCs/>
          <w:sz w:val="32"/>
          <w:szCs w:val="32"/>
        </w:rPr>
        <w:t>。</w:t>
      </w:r>
      <w:r>
        <w:rPr>
          <w:rFonts w:hint="eastAsia" w:ascii="仿宋" w:hAnsi="仿宋" w:eastAsia="仿宋" w:cs="仿宋"/>
          <w:sz w:val="32"/>
          <w:szCs w:val="32"/>
        </w:rPr>
        <w:t>严格落实个人自学、集体研讨等常态化学习制度，组织开展党组理论学习中心组（扩大）集体学习14次、支部党员集中学习12次，引导党员干部深入学习党的十九大及十九届二中、三中、四中、五中全会精神，及时跟进学习习近平总书记最新重要讲话指示精神特别是考察湖南重要讲话精神，并把习近平总书记对湖南提出“三高四新”要求和党中央的决策部署，结合怀化实际，提出对策建议，纳入领导决策视野，最终转化为怀化改革发展的使命任务、战略定位、发展思路和工作抓手。党组书记先后到市委宣传部、市政府办、市政府研究室、会同县开展党的十九届五中全会精神宣讲，推动党的创新理论学习贯彻走深走实。</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3.严守</w:t>
      </w:r>
      <w:bookmarkStart w:id="2" w:name="_Hlk61981843"/>
      <w:r>
        <w:rPr>
          <w:rFonts w:hint="eastAsia" w:ascii="楷体" w:hAnsi="楷体" w:eastAsia="楷体" w:cs="楷体"/>
          <w:b/>
          <w:bCs/>
          <w:sz w:val="32"/>
          <w:szCs w:val="32"/>
        </w:rPr>
        <w:t>政治纪律和政治规矩</w:t>
      </w:r>
      <w:bookmarkEnd w:id="2"/>
      <w:r>
        <w:rPr>
          <w:rFonts w:hint="eastAsia" w:ascii="楷体" w:hAnsi="楷体" w:eastAsia="楷体" w:cs="楷体"/>
          <w:b/>
          <w:bCs/>
          <w:sz w:val="32"/>
          <w:szCs w:val="32"/>
        </w:rPr>
        <w:t>。</w:t>
      </w:r>
      <w:r>
        <w:rPr>
          <w:rFonts w:hint="eastAsia" w:ascii="仿宋" w:hAnsi="仿宋" w:eastAsia="仿宋" w:cs="仿宋"/>
          <w:sz w:val="32"/>
          <w:szCs w:val="32"/>
        </w:rPr>
        <w:t>坚持把政治纪律和政治规矩挺在前面，做到党中央提倡的坚决响应，党中央决定的坚决执行，党中央禁止的坚决不做，做到“五个必须”，杜绝“七个有之”。坚持在市委、市政府的领导下开展工作，严格落实重大事项请示报告制度。凡是涉及重大决策、重要事项均及时向市委、市政府报告或提请研究解决，始终与市委、市政府保持认识上一致、思想上统一、行动上同步。</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bCs/>
          <w:sz w:val="32"/>
          <w:szCs w:val="32"/>
        </w:rPr>
        <w:t>4.全力完成疫情防控和脱贫攻坚任务。</w:t>
      </w:r>
      <w:r>
        <w:rPr>
          <w:rFonts w:hint="eastAsia" w:ascii="仿宋" w:hAnsi="仿宋" w:eastAsia="仿宋" w:cs="仿宋"/>
          <w:sz w:val="32"/>
          <w:szCs w:val="32"/>
        </w:rPr>
        <w:t>面对突如其来的疫情，我室全体工作人员坚决响应市委市政府号令，放弃春节假期全部返岗，积极投身疫情防控，以顽强拼搏的战斗精神，高质量牵头起草了《新型冠状病毒中小企业复工十七条措施的通知》《怀化市新型冠状病毒感染肺炎疫情防控期间“菜篮子”产品稳价保供十条措施》《怀化市科学有序推进复工复产复业工作的十条措施》《怀化市紧急抓好当前中稻抢收烘干收储工作十三条措施》等疫情防控和复工复产的政策文件、防控方案，并选派一名科长加入怀化市新冠肺炎疫情防控指挥部，参与综合协调、文稿起草等工作，为打赢疫情防控阻击战作出了应有贡献。面对繁重的驻村帮扶工作任务，我室克服经费紧张等困难，严格落实帮扶工作责任，扎实做好脱贫攻坚工作。经过几年努力，我室结对帮扶的中方县梅树村基础设施基本完善，村容村貌焕然一新；产业帮扶成效显著，村级集体经济年收入达30万元；村民脱贫攻坚内生动力不断增强，建档立卡贫困户156户537人已实现稳定脱贫。目前，该村脱贫攻坚工作已通过国家、省、市检查验收，我室驻村帮扶队工作被中方县评为先进。</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二、践行“五个坚持”，不断提升参政设谋水平</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坚持以习近平总书记提出的“五个坚持”为根本遵循，认真履行“三服务”各项职责，努力提升参政设谋的质量和水平。</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sz w:val="32"/>
          <w:szCs w:val="32"/>
        </w:rPr>
        <w:t>1.精心做好文稿服务。</w:t>
      </w:r>
      <w:r>
        <w:rPr>
          <w:rFonts w:hint="eastAsia" w:ascii="仿宋" w:hAnsi="仿宋" w:eastAsia="仿宋" w:cs="仿宋"/>
          <w:sz w:val="32"/>
          <w:szCs w:val="32"/>
        </w:rPr>
        <w:t>积极克服人手紧缺等困难，不分昼夜、加班加点，用心用情、精准精细做好文稿服务工作。今年来，为市政府及市长、常务副市长起草会议讲话、工作汇报等各类文稿480余篇、共计140多万字，把关政府主要领导新闻稿200余篇、20余万字。特别是10月以来，我室高质量撰写《政府工作报告》和经济工作会议材料，经过数十稿反复修改、精心打磨，《报告》最终得到市人大代表、政协委员的高度认可。</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sz w:val="32"/>
          <w:szCs w:val="32"/>
        </w:rPr>
        <w:t>2.积极开展调查研究。</w:t>
      </w:r>
      <w:r>
        <w:rPr>
          <w:rFonts w:hint="eastAsia" w:ascii="仿宋" w:hAnsi="仿宋" w:eastAsia="仿宋" w:cs="仿宋"/>
          <w:sz w:val="32"/>
          <w:szCs w:val="32"/>
        </w:rPr>
        <w:t>紧紧围绕复工复产、城市经济、外经外贸、教育等一批重大课题调研，采取随同调研、自主调研等多种方式，见缝插针、挤出时间开展调查研究100余人次，形成了《关于加快怀化城市经济发展的调查与思考》等一批调研成果，完成各类交办调研任务10余项。《关于加快怀化市总部经济发展的对策研究》《关于怀化市外贸高质量发展的对策研究》等重要调研课题取得阶段性成果，“两重两强”（重点工程项目强进度、重点规模企业强产能）、规模企业和重点项目复工复产、中稻抢收烘干收储等领域调研成果上升为市委、市政府重要决策部署，作为“红头文件”印发全市贯彻实施。</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sz w:val="32"/>
          <w:szCs w:val="32"/>
        </w:rPr>
        <w:t>3.高效报送政务信息。</w:t>
      </w:r>
      <w:r>
        <w:rPr>
          <w:rFonts w:hint="eastAsia" w:ascii="仿宋" w:hAnsi="仿宋" w:eastAsia="仿宋" w:cs="仿宋"/>
          <w:sz w:val="32"/>
          <w:szCs w:val="32"/>
        </w:rPr>
        <w:t xml:space="preserve">着力提升信息服务质量，及时掌握上级重大政策动态，广泛收集、整理外地先进做法和经验，主动总结市委市政府各项决策部署落实情况和基层工作成效，编撰《政务要情》247期，为市政府领导提供决策参考。积极做好市政府主要领导接受媒体采访和访谈的文稿服务工作，宣传推介我市精准脱贫、产业发展、生态文明等方面的好经验、好做法，提升了怀化的影响力。同时，积极配合市委政研室做好《新怀化》编辑工作，进一步推动市委市政府各项决策落实落地。 </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三、加强自身建设，推进全面从严治党向纵深发展</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认真</w:t>
      </w:r>
      <w:bookmarkStart w:id="3" w:name="_Hlk61976466"/>
      <w:r>
        <w:rPr>
          <w:rFonts w:hint="eastAsia" w:ascii="仿宋" w:hAnsi="仿宋" w:eastAsia="仿宋" w:cs="仿宋"/>
          <w:sz w:val="32"/>
          <w:szCs w:val="32"/>
        </w:rPr>
        <w:t>落实《党委（党组）落实全面从严治党主体责任规定》，不断加强机关自身建设，</w:t>
      </w:r>
      <w:bookmarkEnd w:id="3"/>
      <w:r>
        <w:rPr>
          <w:rFonts w:hint="eastAsia" w:ascii="仿宋" w:hAnsi="仿宋" w:eastAsia="仿宋" w:cs="仿宋"/>
          <w:sz w:val="32"/>
          <w:szCs w:val="32"/>
        </w:rPr>
        <w:t>努力建设一支忠诚干净担当的队伍。</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sz w:val="32"/>
          <w:szCs w:val="32"/>
        </w:rPr>
        <w:t>1.突出抓好机关党建工作。</w:t>
      </w:r>
      <w:r>
        <w:rPr>
          <w:rFonts w:hint="eastAsia" w:ascii="仿宋" w:hAnsi="仿宋" w:eastAsia="仿宋" w:cs="仿宋"/>
          <w:sz w:val="32"/>
          <w:szCs w:val="32"/>
        </w:rPr>
        <w:t>党组书记坚持“书记抓、抓书记”，定期调度党组成员“一岗双责”履行情况和党支部书记履职情况，开展“双述双评”和党建绩效考核，推动机关党建工作责任落实。党组成员严格执行双重组织生活制度，带头以普通党员身份参加支部活动。党支部大力推进“让党中央放心、让人民群众满意的模范机关”创建工作，深入推进党支部“五化”建设，严格党员教育管理监督，认真落实“三会一课”、民主评议党员等基本制度，大力开展“文明单位创建”和“创建党员先锋岗、争当服务群众标兵”、创建“示范科室”“示范岗位”等争先创优活动，不断提升党支部和党员的先进性和战斗力，努力实现“一个支部一座堡垒、一名党员一面旗帜”目标。</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b/>
          <w:sz w:val="32"/>
          <w:szCs w:val="32"/>
        </w:rPr>
      </w:pPr>
      <w:r>
        <w:rPr>
          <w:rFonts w:hint="eastAsia" w:ascii="楷体" w:hAnsi="楷体" w:eastAsia="楷体" w:cs="楷体"/>
          <w:b/>
          <w:sz w:val="32"/>
          <w:szCs w:val="32"/>
        </w:rPr>
        <w:t>2.扎实推进意识形态工作。</w:t>
      </w:r>
      <w:r>
        <w:rPr>
          <w:rFonts w:hint="eastAsia" w:ascii="仿宋" w:hAnsi="仿宋" w:eastAsia="仿宋" w:cs="仿宋"/>
          <w:sz w:val="32"/>
          <w:szCs w:val="32"/>
        </w:rPr>
        <w:t>坚持把意识形态工作作为一项重大政治任务来抓，成立意识形态和网络意识形态工作领导小组，明确党组书记负总责、分管领导具体抓、党组成员协同抓，形成了既各司其职又紧密协作的工作格局。坚持“四个一同”，开展意识形态工作专题研究和研判2次，及时解决意识形态工作推进存在的问题和困难。同时，把意识形态领域列入对党组成员、科室负责人和重点岗位人员例行谈话的重要内容，开展例行廉政谈话、任前谈话23人次，推动意识形态工作主体责任不折不扣落实到位。突出加强意识形态阵地管理，制定网络意识形态阵地管理办法、意识形态领域重大问题处置流程和重大舆情处置预案，定期对办公电脑及内外网进行安全检查，全面登记清理干部职工微信群、QQ群，进一步规范干部的网络行为，全年没有发生网络意识形态事件。</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rPr>
      </w:pPr>
      <w:r>
        <w:rPr>
          <w:rFonts w:hint="eastAsia" w:ascii="楷体" w:hAnsi="楷体" w:eastAsia="楷体" w:cs="楷体"/>
          <w:b/>
          <w:sz w:val="32"/>
          <w:szCs w:val="32"/>
        </w:rPr>
        <w:t>3.驰而不息正风肃纪。</w:t>
      </w:r>
      <w:r>
        <w:rPr>
          <w:rFonts w:hint="eastAsia" w:ascii="仿宋" w:hAnsi="仿宋" w:eastAsia="仿宋" w:cs="仿宋"/>
          <w:sz w:val="32"/>
          <w:szCs w:val="32"/>
        </w:rPr>
        <w:t>坚持管业务与管思想、管廉政相结合，室党组先后专题研究党风廉政建设3次。大力开展警示教育，及时传达学习纪委文件（通报） ，组织开展新晃“操场埋尸案”、“曾佑光案”警示教育，让廉政纪律不绝于耳、警钟长鸣。坚持“作风建设永远在路上”，认真贯彻执行《湖南省深化整治形式主义官僚主义10条措施》，大力开展作风大检查大整治行动，确保“四风”不反弹、不回潮。进一步转文风，提高文稿服务的实效性和规范性，确保综合性报告不超过5000字、专项工作报告不超过2000字，汇报材料尽量图表化；进一步转作风，严格落实“脑清、耳聪、目明、心细、手脚勤”总要求，确保各项工作精益求精、一丝不苟，雷厉风行、紧抓快办，案无积卷、事不过夜。深化运用监督执纪“四种形态”，认真落实谈话提醒制度，室党组成员共开展谈话提醒15人次，切实做到抓早抓小、抓严抓实，把问题解决在萌芽状态。积极主动接受市委巡察，对巡察组反馈问题进行边巡边改、立行立改，目前已基本整改到位。</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楷体" w:hAnsi="楷体" w:eastAsia="楷体" w:cs="楷体"/>
          <w:b/>
          <w:bCs/>
          <w:spacing w:val="-2"/>
          <w:sz w:val="32"/>
          <w:szCs w:val="32"/>
        </w:rPr>
      </w:pPr>
      <w:r>
        <w:rPr>
          <w:rFonts w:hint="eastAsia" w:ascii="楷体" w:hAnsi="楷体" w:eastAsia="楷体" w:cs="楷体"/>
          <w:b/>
          <w:sz w:val="32"/>
          <w:szCs w:val="32"/>
        </w:rPr>
        <w:t>4.着力加强干部队伍建设。</w:t>
      </w:r>
      <w:r>
        <w:rPr>
          <w:rFonts w:hint="eastAsia" w:ascii="仿宋" w:hAnsi="仿宋" w:eastAsia="仿宋" w:cs="仿宋"/>
          <w:sz w:val="32"/>
          <w:szCs w:val="32"/>
        </w:rPr>
        <w:t>坚持党管干部原则和好干部标准，调入党组成员1人，</w:t>
      </w:r>
      <w:r>
        <w:rPr>
          <w:rFonts w:hint="eastAsia" w:ascii="仿宋" w:hAnsi="仿宋" w:eastAsia="仿宋" w:cs="仿宋"/>
          <w:sz w:val="32"/>
          <w:szCs w:val="32"/>
          <w:lang w:eastAsia="zh-CN"/>
        </w:rPr>
        <w:t>晋升四级调研员</w:t>
      </w:r>
      <w:r>
        <w:rPr>
          <w:rFonts w:hint="eastAsia" w:ascii="仿宋" w:hAnsi="仿宋" w:eastAsia="仿宋" w:cs="仿宋"/>
          <w:sz w:val="32"/>
          <w:szCs w:val="32"/>
          <w:lang w:val="en-US" w:eastAsia="zh-CN"/>
        </w:rPr>
        <w:t>1人，</w:t>
      </w:r>
      <w:r>
        <w:rPr>
          <w:rFonts w:hint="eastAsia" w:ascii="仿宋" w:hAnsi="仿宋" w:eastAsia="仿宋" w:cs="仿宋"/>
          <w:sz w:val="32"/>
          <w:szCs w:val="32"/>
        </w:rPr>
        <w:t>提拔科级干部</w:t>
      </w:r>
      <w:r>
        <w:rPr>
          <w:rFonts w:hint="eastAsia" w:ascii="仿宋" w:hAnsi="仿宋" w:eastAsia="仿宋" w:cs="仿宋"/>
          <w:sz w:val="32"/>
          <w:szCs w:val="32"/>
          <w:lang w:val="en-US" w:eastAsia="zh-CN"/>
        </w:rPr>
        <w:t>2</w:t>
      </w:r>
      <w:r>
        <w:rPr>
          <w:rFonts w:hint="eastAsia" w:ascii="仿宋" w:hAnsi="仿宋" w:eastAsia="仿宋" w:cs="仿宋"/>
          <w:sz w:val="32"/>
          <w:szCs w:val="32"/>
        </w:rPr>
        <w:t>人，遴选干部3人，进一步提高了干部队伍素质，优化了干部队伍结构，增强了干部队伍的战斗力。同时，组织全市研究室干部参加为期1周期时间的业务培训，有力提高了全市研究室干部的业务能力。</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eastAsia" w:ascii="楷体" w:hAnsi="楷体" w:eastAsia="楷体" w:cs="楷体"/>
          <w:b/>
          <w:bCs/>
          <w:spacing w:val="-2"/>
          <w:sz w:val="32"/>
          <w:szCs w:val="32"/>
          <w:lang w:val="en-US" w:eastAsia="zh-CN"/>
        </w:rPr>
      </w:pPr>
      <w:r>
        <w:rPr>
          <w:rFonts w:hint="eastAsia" w:ascii="楷体" w:hAnsi="楷体" w:eastAsia="楷体" w:cs="楷体"/>
          <w:b/>
          <w:bCs/>
          <w:spacing w:val="-2"/>
          <w:sz w:val="32"/>
          <w:szCs w:val="32"/>
          <w:lang w:val="en-US" w:eastAsia="zh-CN"/>
        </w:rPr>
        <w:t>（三）有效性分析</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32" w:firstLineChars="200"/>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1、预算完成率。上年结转12.46万元，年初预算187.89万元、本年追加预算56.36万元，年末结转结余11.46。预算完成率95.54%。</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lang w:val="en-US" w:eastAsia="zh-CN"/>
        </w:rPr>
        <w:t>2、预算控制率。</w:t>
      </w:r>
      <w:r>
        <w:rPr>
          <w:rFonts w:hint="eastAsia" w:ascii="仿宋" w:hAnsi="仿宋" w:eastAsia="仿宋"/>
          <w:spacing w:val="-2"/>
          <w:sz w:val="32"/>
          <w:szCs w:val="32"/>
          <w:highlight w:val="none"/>
          <w:lang w:val="en-US" w:eastAsia="zh-CN"/>
        </w:rPr>
        <w:t>因政策性追加人员经费56.36万元（2019年绩效奖、春节一次性生活补助、课题经费等），2020年预算控制率30%，预算控制较好。</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eastAsia" w:ascii="仿宋" w:hAnsi="仿宋" w:eastAsia="仿宋"/>
          <w:spacing w:val="-2"/>
          <w:sz w:val="32"/>
          <w:szCs w:val="32"/>
          <w:lang w:val="en-US" w:eastAsia="zh-CN"/>
        </w:rPr>
      </w:pPr>
      <w:r>
        <w:rPr>
          <w:rFonts w:hint="eastAsia" w:ascii="仿宋" w:hAnsi="仿宋" w:eastAsia="仿宋"/>
          <w:spacing w:val="-2"/>
          <w:sz w:val="32"/>
          <w:szCs w:val="32"/>
          <w:lang w:val="en-US" w:eastAsia="zh-CN"/>
        </w:rPr>
        <w:t>3、公用经费控制率。2020年我单位预算管理（按部门预算经济分类）各项指标控制较好，实际支出公用经费总额83.15万元，预算安排公用经费总额97.79万元，公用经费控制率</w:t>
      </w:r>
      <w:r>
        <w:rPr>
          <w:rFonts w:hint="eastAsia" w:ascii="仿宋" w:hAnsi="仿宋" w:eastAsia="仿宋"/>
          <w:spacing w:val="-2"/>
          <w:sz w:val="32"/>
          <w:szCs w:val="32"/>
          <w:highlight w:val="none"/>
          <w:lang w:val="en-US" w:eastAsia="zh-CN"/>
        </w:rPr>
        <w:t>85.03%</w:t>
      </w:r>
      <w:r>
        <w:rPr>
          <w:rFonts w:hint="eastAsia" w:ascii="仿宋" w:hAnsi="仿宋" w:eastAsia="仿宋"/>
          <w:spacing w:val="-2"/>
          <w:sz w:val="32"/>
          <w:szCs w:val="32"/>
          <w:lang w:val="en-US" w:eastAsia="zh-CN"/>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default" w:ascii="仿宋" w:hAnsi="仿宋" w:eastAsia="仿宋"/>
          <w:spacing w:val="-2"/>
          <w:sz w:val="32"/>
          <w:szCs w:val="32"/>
          <w:lang w:val="en-US" w:eastAsia="zh-CN"/>
        </w:rPr>
      </w:pPr>
      <w:r>
        <w:rPr>
          <w:rFonts w:hint="eastAsia" w:ascii="仿宋" w:hAnsi="仿宋" w:eastAsia="仿宋"/>
          <w:spacing w:val="-2"/>
          <w:sz w:val="32"/>
          <w:szCs w:val="32"/>
          <w:lang w:val="en-US" w:eastAsia="zh-CN"/>
        </w:rPr>
        <w:t>4、“三公经费”控制率。“三公经费”实际支出数为2.28万元，预算安排11.2万元，“三公经费”控制率为20.36%。</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eastAsia" w:ascii="仿宋" w:hAnsi="仿宋" w:eastAsia="仿宋"/>
          <w:spacing w:val="-2"/>
          <w:sz w:val="32"/>
          <w:szCs w:val="32"/>
          <w:highlight w:val="none"/>
          <w:lang w:val="en-US" w:eastAsia="zh-CN"/>
        </w:rPr>
      </w:pPr>
      <w:r>
        <w:rPr>
          <w:rFonts w:hint="eastAsia" w:ascii="仿宋" w:hAnsi="仿宋" w:eastAsia="仿宋"/>
          <w:spacing w:val="-2"/>
          <w:sz w:val="32"/>
          <w:szCs w:val="32"/>
          <w:highlight w:val="none"/>
          <w:lang w:val="en-US" w:eastAsia="zh-CN"/>
        </w:rPr>
        <w:t>5、2020年度无政府采购。</w:t>
      </w:r>
    </w:p>
    <w:p>
      <w:pPr>
        <w:keepNext w:val="0"/>
        <w:keepLines w:val="0"/>
        <w:pageBreakBefore w:val="0"/>
        <w:widowControl/>
        <w:numPr>
          <w:ilvl w:val="0"/>
          <w:numId w:val="4"/>
        </w:numPr>
        <w:shd w:val="clear" w:color="auto" w:fill="FFFFFF"/>
        <w:kinsoku/>
        <w:wordWrap/>
        <w:overflowPunct/>
        <w:topLinePunct w:val="0"/>
        <w:autoSpaceDE/>
        <w:autoSpaceDN/>
        <w:bidi w:val="0"/>
        <w:adjustRightInd/>
        <w:spacing w:line="600" w:lineRule="exact"/>
        <w:ind w:firstLine="624"/>
        <w:textAlignment w:val="auto"/>
        <w:rPr>
          <w:rFonts w:hint="eastAsia" w:ascii="仿宋" w:hAnsi="仿宋" w:eastAsia="仿宋"/>
          <w:spacing w:val="-2"/>
          <w:kern w:val="2"/>
          <w:sz w:val="32"/>
          <w:szCs w:val="32"/>
          <w:lang w:val="en-US" w:eastAsia="zh-CN" w:bidi="ar-SA"/>
        </w:rPr>
      </w:pPr>
      <w:r>
        <w:rPr>
          <w:rFonts w:hint="default" w:ascii="仿宋" w:hAnsi="仿宋" w:eastAsia="仿宋"/>
          <w:spacing w:val="-2"/>
          <w:kern w:val="2"/>
          <w:sz w:val="32"/>
          <w:szCs w:val="32"/>
          <w:lang w:val="en-US" w:eastAsia="zh-CN" w:bidi="ar-SA"/>
        </w:rPr>
        <w:t>管理制度健全性</w:t>
      </w:r>
      <w:r>
        <w:rPr>
          <w:rFonts w:hint="eastAsia" w:ascii="仿宋" w:hAnsi="仿宋" w:eastAsia="仿宋"/>
          <w:spacing w:val="-2"/>
          <w:kern w:val="2"/>
          <w:sz w:val="32"/>
          <w:szCs w:val="32"/>
          <w:lang w:val="en-US" w:eastAsia="zh-CN" w:bidi="ar-SA"/>
        </w:rPr>
        <w:t>。</w:t>
      </w:r>
      <w:r>
        <w:rPr>
          <w:rFonts w:hint="default" w:ascii="仿宋" w:hAnsi="仿宋" w:eastAsia="仿宋"/>
          <w:spacing w:val="-2"/>
          <w:kern w:val="2"/>
          <w:sz w:val="32"/>
          <w:szCs w:val="32"/>
          <w:lang w:val="en-US" w:eastAsia="zh-CN" w:bidi="ar-SA"/>
        </w:rPr>
        <w:t>严格落实有关</w:t>
      </w:r>
      <w:r>
        <w:rPr>
          <w:rFonts w:hint="eastAsia" w:ascii="仿宋" w:hAnsi="仿宋" w:eastAsia="仿宋"/>
          <w:spacing w:val="-2"/>
          <w:kern w:val="2"/>
          <w:sz w:val="32"/>
          <w:szCs w:val="32"/>
          <w:lang w:val="en-US" w:eastAsia="zh-CN" w:bidi="ar-SA"/>
        </w:rPr>
        <w:t>财务</w:t>
      </w:r>
      <w:r>
        <w:rPr>
          <w:rFonts w:hint="default" w:ascii="仿宋" w:hAnsi="仿宋" w:eastAsia="仿宋"/>
          <w:spacing w:val="-2"/>
          <w:kern w:val="2"/>
          <w:sz w:val="32"/>
          <w:szCs w:val="32"/>
          <w:lang w:val="en-US" w:eastAsia="zh-CN" w:bidi="ar-SA"/>
        </w:rPr>
        <w:t>管理制度，规范财务审批程序，推行公务卡结算，严格差旅费和接待费支出标准、范围和程序的审核</w:t>
      </w:r>
      <w:r>
        <w:rPr>
          <w:rFonts w:hint="eastAsia" w:ascii="仿宋" w:hAnsi="仿宋" w:eastAsia="仿宋"/>
          <w:spacing w:val="-2"/>
          <w:kern w:val="2"/>
          <w:sz w:val="32"/>
          <w:szCs w:val="32"/>
          <w:lang w:val="en-US" w:eastAsia="zh-CN" w:bidi="ar-SA"/>
        </w:rPr>
        <w:t>。</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32" w:firstLineChars="200"/>
        <w:textAlignment w:val="auto"/>
        <w:rPr>
          <w:rFonts w:hint="default" w:ascii="仿宋" w:hAnsi="仿宋" w:eastAsia="仿宋"/>
          <w:spacing w:val="-2"/>
          <w:kern w:val="2"/>
          <w:sz w:val="32"/>
          <w:szCs w:val="32"/>
          <w:lang w:val="en-US" w:eastAsia="zh-CN" w:bidi="ar-SA"/>
        </w:rPr>
      </w:pPr>
      <w:r>
        <w:rPr>
          <w:rFonts w:hint="eastAsia" w:ascii="仿宋" w:hAnsi="仿宋" w:eastAsia="仿宋"/>
          <w:spacing w:val="-2"/>
          <w:kern w:val="2"/>
          <w:sz w:val="32"/>
          <w:szCs w:val="32"/>
          <w:lang w:val="en-US" w:eastAsia="zh-CN" w:bidi="ar-SA"/>
        </w:rPr>
        <w:t>7、</w:t>
      </w:r>
      <w:r>
        <w:rPr>
          <w:rFonts w:hint="default" w:ascii="仿宋" w:hAnsi="仿宋" w:eastAsia="仿宋"/>
          <w:spacing w:val="-2"/>
          <w:kern w:val="2"/>
          <w:sz w:val="32"/>
          <w:szCs w:val="32"/>
          <w:lang w:val="en-US" w:eastAsia="zh-CN" w:bidi="ar-SA"/>
        </w:rPr>
        <w:t> 资金使用合规性</w:t>
      </w:r>
      <w:r>
        <w:rPr>
          <w:rFonts w:hint="eastAsia" w:ascii="仿宋" w:hAnsi="仿宋" w:eastAsia="仿宋"/>
          <w:spacing w:val="-2"/>
          <w:kern w:val="2"/>
          <w:sz w:val="32"/>
          <w:szCs w:val="32"/>
          <w:lang w:val="en-US" w:eastAsia="zh-CN" w:bidi="ar-SA"/>
        </w:rPr>
        <w:t>。</w:t>
      </w:r>
      <w:r>
        <w:rPr>
          <w:rFonts w:hint="default" w:ascii="仿宋" w:hAnsi="仿宋" w:eastAsia="仿宋"/>
          <w:spacing w:val="-2"/>
          <w:kern w:val="2"/>
          <w:sz w:val="32"/>
          <w:szCs w:val="32"/>
          <w:lang w:val="en-US" w:eastAsia="zh-CN" w:bidi="ar-SA"/>
        </w:rPr>
        <w:t>严格落实中央八项规定和有关公务支出标准。加强经费合法合规性审核和预算控制，严格按制度政策办事，资金使用合法合规，支出手续齐全，程序到位。</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default" w:ascii="仿宋" w:hAnsi="仿宋" w:eastAsia="仿宋"/>
          <w:spacing w:val="-2"/>
          <w:kern w:val="2"/>
          <w:sz w:val="32"/>
          <w:szCs w:val="32"/>
          <w:lang w:val="en-US" w:eastAsia="zh-CN" w:bidi="ar-SA"/>
        </w:rPr>
      </w:pPr>
      <w:r>
        <w:rPr>
          <w:rFonts w:hint="eastAsia" w:ascii="仿宋" w:hAnsi="仿宋" w:eastAsia="仿宋"/>
          <w:spacing w:val="-2"/>
          <w:kern w:val="2"/>
          <w:sz w:val="32"/>
          <w:szCs w:val="32"/>
          <w:lang w:val="en-US" w:eastAsia="zh-CN" w:bidi="ar-SA"/>
        </w:rPr>
        <w:t>8、</w:t>
      </w:r>
      <w:r>
        <w:rPr>
          <w:rFonts w:hint="default" w:ascii="仿宋" w:hAnsi="仿宋" w:eastAsia="仿宋"/>
          <w:spacing w:val="-2"/>
          <w:kern w:val="2"/>
          <w:sz w:val="32"/>
          <w:szCs w:val="32"/>
          <w:lang w:val="en-US" w:eastAsia="zh-CN" w:bidi="ar-SA"/>
        </w:rPr>
        <w:t>预决算信息公开性</w:t>
      </w:r>
      <w:r>
        <w:rPr>
          <w:rFonts w:hint="eastAsia" w:ascii="仿宋" w:hAnsi="仿宋" w:eastAsia="仿宋"/>
          <w:spacing w:val="-2"/>
          <w:kern w:val="2"/>
          <w:sz w:val="32"/>
          <w:szCs w:val="32"/>
          <w:lang w:val="en-US" w:eastAsia="zh-CN" w:bidi="ar-SA"/>
        </w:rPr>
        <w:t>。</w:t>
      </w:r>
      <w:r>
        <w:rPr>
          <w:rFonts w:hint="default" w:ascii="仿宋" w:hAnsi="仿宋" w:eastAsia="仿宋"/>
          <w:spacing w:val="-2"/>
          <w:kern w:val="2"/>
          <w:sz w:val="32"/>
          <w:szCs w:val="32"/>
          <w:lang w:val="en-US" w:eastAsia="zh-CN" w:bidi="ar-SA"/>
        </w:rPr>
        <w:t>真实准确编制部门预算和决算，按时上报基础数据资料。对上年度部门整体支出进行了绩效评价，对标找差距。按规定时限和规定内容公开部门预算、部门决算以及绩效自评报告。各项应向社会公开的信息及时、完整、真实，更加细化，部门预决算信息透明度进一步提高。 </w:t>
      </w:r>
    </w:p>
    <w:p>
      <w:pPr>
        <w:keepNext w:val="0"/>
        <w:keepLines w:val="0"/>
        <w:pageBreakBefore w:val="0"/>
        <w:widowControl/>
        <w:numPr>
          <w:ilvl w:val="0"/>
          <w:numId w:val="0"/>
        </w:numPr>
        <w:shd w:val="clear" w:color="auto" w:fill="FFFFFF"/>
        <w:kinsoku/>
        <w:wordWrap/>
        <w:overflowPunct/>
        <w:topLinePunct w:val="0"/>
        <w:autoSpaceDE/>
        <w:autoSpaceDN/>
        <w:bidi w:val="0"/>
        <w:adjustRightInd/>
        <w:spacing w:line="600" w:lineRule="exact"/>
        <w:ind w:firstLine="624"/>
        <w:textAlignment w:val="auto"/>
        <w:rPr>
          <w:rFonts w:hint="eastAsia" w:ascii="楷体" w:hAnsi="楷体" w:eastAsia="楷体" w:cs="楷体"/>
          <w:b/>
          <w:bCs/>
          <w:spacing w:val="-2"/>
          <w:kern w:val="2"/>
          <w:sz w:val="32"/>
          <w:szCs w:val="32"/>
          <w:highlight w:val="none"/>
          <w:lang w:val="en-US" w:eastAsia="zh-CN" w:bidi="ar-SA"/>
        </w:rPr>
      </w:pPr>
      <w:r>
        <w:rPr>
          <w:rFonts w:hint="eastAsia" w:ascii="楷体" w:hAnsi="楷体" w:eastAsia="楷体" w:cs="楷体"/>
          <w:b/>
          <w:bCs/>
          <w:spacing w:val="-2"/>
          <w:kern w:val="2"/>
          <w:sz w:val="32"/>
          <w:szCs w:val="32"/>
          <w:highlight w:val="none"/>
          <w:lang w:val="en-US" w:eastAsia="zh-CN" w:bidi="ar-SA"/>
        </w:rPr>
        <w:t>（四）可持续性分析</w:t>
      </w:r>
    </w:p>
    <w:p>
      <w:pPr>
        <w:pStyle w:val="2"/>
        <w:keepNext w:val="0"/>
        <w:keepLines w:val="0"/>
        <w:pageBreakBefore w:val="0"/>
        <w:kinsoku/>
        <w:wordWrap/>
        <w:overflowPunct/>
        <w:topLinePunct w:val="0"/>
        <w:autoSpaceDE/>
        <w:autoSpaceDN/>
        <w:bidi w:val="0"/>
        <w:adjustRightInd/>
        <w:spacing w:line="600" w:lineRule="exact"/>
        <w:textAlignment w:val="auto"/>
        <w:rPr>
          <w:rFonts w:hint="eastAsia"/>
          <w:lang w:val="en-US" w:eastAsia="zh-CN"/>
        </w:rPr>
      </w:pP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2021年，将围绕进一步提高参谋服务水平，重点抓好四个方面工作：</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kern w:val="0"/>
          <w:sz w:val="32"/>
          <w:szCs w:val="32"/>
        </w:rPr>
      </w:pPr>
      <w:r>
        <w:rPr>
          <w:rFonts w:hint="eastAsia" w:ascii="楷体" w:hAnsi="楷体" w:eastAsia="楷体" w:cs="楷体"/>
          <w:b/>
          <w:sz w:val="32"/>
          <w:szCs w:val="32"/>
        </w:rPr>
        <w:t>一是始终把政治建设摆在首位。</w:t>
      </w:r>
      <w:r>
        <w:rPr>
          <w:rFonts w:hint="eastAsia" w:ascii="仿宋" w:hAnsi="仿宋" w:eastAsia="仿宋" w:cs="仿宋"/>
          <w:kern w:val="0"/>
          <w:sz w:val="32"/>
          <w:szCs w:val="32"/>
        </w:rPr>
        <w:t xml:space="preserve">坚持把旗帜鲜明讲政治铸入思想深处、融入血脉灵魂，深入学习习近平新时代中国特色社会主义思想，不断增强“四个意识”、坚定“四个自信”、做到“两个维护”，进一步提升政治判断力 、政治领悟力、政治执行力，始终站稳政治立场、把牢政治方向、提高政治站位、保持政治定力，坚决不移与习近平同志为核心的党中央保持高度一致，始终做政治上的明白人。 </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kern w:val="0"/>
          <w:sz w:val="32"/>
          <w:szCs w:val="32"/>
        </w:rPr>
      </w:pPr>
      <w:r>
        <w:rPr>
          <w:rFonts w:hint="eastAsia" w:ascii="楷体" w:hAnsi="楷体" w:eastAsia="楷体" w:cs="楷体"/>
          <w:b/>
          <w:sz w:val="32"/>
          <w:szCs w:val="32"/>
        </w:rPr>
        <w:t>二是切实提升决策参谋服务水平。</w:t>
      </w:r>
      <w:r>
        <w:rPr>
          <w:rFonts w:hint="eastAsia" w:ascii="仿宋" w:hAnsi="仿宋" w:eastAsia="仿宋" w:cs="仿宋"/>
          <w:kern w:val="0"/>
          <w:sz w:val="32"/>
          <w:szCs w:val="32"/>
        </w:rPr>
        <w:t>紧扣实施“三高四新”战略，围绕建设对接西部陆海新通道战略门户城市、打造五省边区改革开放新高地、建设国家创新型城市、加快构建现代产业体系、建立五省边区生态文明中心城市、推进新型城镇化建设、推进巩固拓展脱贫攻坚成果与乡村振兴有机衔接等课题，深入开展调查研究，撰写一批高质量的调研报告。同时，认真办好《政务要情》，配合编辑《新怀化》，精准快速报送政务信息，为市委、政府决策当好参谋、出好主意。</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kern w:val="0"/>
          <w:sz w:val="32"/>
          <w:szCs w:val="32"/>
        </w:rPr>
      </w:pPr>
      <w:r>
        <w:rPr>
          <w:rFonts w:hint="eastAsia" w:ascii="楷体" w:hAnsi="楷体" w:eastAsia="楷体" w:cs="楷体"/>
          <w:kern w:val="0"/>
          <w:sz w:val="32"/>
          <w:szCs w:val="32"/>
        </w:rPr>
        <w:t>三</w:t>
      </w:r>
      <w:r>
        <w:rPr>
          <w:rFonts w:hint="eastAsia" w:ascii="楷体" w:hAnsi="楷体" w:eastAsia="楷体" w:cs="楷体"/>
          <w:b/>
          <w:sz w:val="32"/>
          <w:szCs w:val="32"/>
        </w:rPr>
        <w:t>是高质高效开展文字综合服务。</w:t>
      </w:r>
      <w:r>
        <w:rPr>
          <w:rFonts w:hint="eastAsia" w:ascii="仿宋" w:hAnsi="仿宋" w:eastAsia="仿宋" w:cs="仿宋"/>
          <w:kern w:val="0"/>
          <w:sz w:val="32"/>
          <w:szCs w:val="32"/>
        </w:rPr>
        <w:t>立足我市实际，准确把握新发展阶段新发展理念新发展格局的实践要求，悉心领会把握市委、市政府领导的工作思路和决策取向，着重于出思路、出观点、出真招，认真做好文稿起草工作，力求与领导思路产生共鸣、合拍共振，争取多出精品力作，使文稿成为服务领导决策的“直通车”。</w:t>
      </w:r>
    </w:p>
    <w:p>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hint="eastAsia" w:ascii="黑体" w:hAnsi="黑体" w:eastAsia="黑体" w:cs="黑体"/>
          <w:b/>
          <w:spacing w:val="-2"/>
          <w:sz w:val="32"/>
          <w:szCs w:val="32"/>
          <w:lang w:eastAsia="zh-CN"/>
        </w:rPr>
      </w:pPr>
      <w:r>
        <w:rPr>
          <w:rFonts w:hint="eastAsia" w:ascii="楷体" w:hAnsi="楷体" w:eastAsia="楷体" w:cs="楷体"/>
          <w:b/>
          <w:sz w:val="32"/>
          <w:szCs w:val="32"/>
        </w:rPr>
        <w:t>四是严格落实从严治党管党措施。</w:t>
      </w:r>
      <w:r>
        <w:rPr>
          <w:rFonts w:hint="eastAsia" w:ascii="仿宋" w:hAnsi="仿宋" w:eastAsia="仿宋" w:cs="仿宋"/>
          <w:kern w:val="0"/>
          <w:sz w:val="32"/>
          <w:szCs w:val="32"/>
        </w:rPr>
        <w:t>进一步落实《党委（党组）落实全面从严治党主体责任规定》，认真抓好意识形态工作、</w:t>
      </w:r>
      <w:r>
        <w:rPr>
          <w:rFonts w:hint="eastAsia" w:ascii="仿宋" w:hAnsi="仿宋" w:eastAsia="仿宋" w:cs="仿宋"/>
          <w:sz w:val="32"/>
          <w:szCs w:val="32"/>
        </w:rPr>
        <w:t>党风廉政建设、基层党组织建设和人才队伍建设，不断提高干部履职尽责能力，建设一支政治坚定、业务精通、作风优良、清正廉洁的干部队伍。</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黑体" w:hAnsi="黑体" w:eastAsia="黑体" w:cs="黑体"/>
          <w:spacing w:val="-2"/>
          <w:sz w:val="32"/>
          <w:szCs w:val="32"/>
        </w:rPr>
      </w:pPr>
      <w:r>
        <w:rPr>
          <w:rFonts w:hint="eastAsia" w:ascii="黑体" w:hAnsi="黑体" w:eastAsia="黑体" w:cs="黑体"/>
          <w:b/>
          <w:spacing w:val="-2"/>
          <w:sz w:val="32"/>
          <w:szCs w:val="32"/>
          <w:lang w:eastAsia="zh-CN"/>
        </w:rPr>
        <w:t>五、</w:t>
      </w:r>
      <w:r>
        <w:rPr>
          <w:rFonts w:hint="eastAsia" w:ascii="黑体" w:hAnsi="黑体" w:eastAsia="黑体" w:cs="黑体"/>
          <w:b/>
          <w:spacing w:val="-2"/>
          <w:sz w:val="32"/>
          <w:szCs w:val="32"/>
        </w:rPr>
        <w:t>存在的主要问题</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default" w:ascii="仿宋" w:hAnsi="仿宋" w:eastAsia="仿宋"/>
          <w:spacing w:val="-2"/>
          <w:sz w:val="32"/>
          <w:szCs w:val="32"/>
        </w:rPr>
      </w:pPr>
      <w:r>
        <w:rPr>
          <w:rFonts w:ascii="仿宋" w:hAnsi="仿宋" w:eastAsia="仿宋"/>
          <w:spacing w:val="-2"/>
          <w:sz w:val="32"/>
          <w:szCs w:val="32"/>
        </w:rPr>
        <w:t>通过前述对</w:t>
      </w:r>
      <w:r>
        <w:rPr>
          <w:rFonts w:hint="eastAsia" w:ascii="仿宋" w:hAnsi="仿宋" w:eastAsia="仿宋"/>
          <w:spacing w:val="-2"/>
          <w:sz w:val="32"/>
          <w:szCs w:val="32"/>
          <w:lang w:eastAsia="zh-CN"/>
        </w:rPr>
        <w:t>我处</w:t>
      </w:r>
      <w:r>
        <w:rPr>
          <w:rFonts w:ascii="仿宋" w:hAnsi="仿宋" w:eastAsia="仿宋"/>
          <w:spacing w:val="-2"/>
          <w:sz w:val="32"/>
          <w:szCs w:val="32"/>
        </w:rPr>
        <w:t>整体支出情况的分析，反映出目前在整体支主要在预算执行方面还存在一些问题和不足：</w:t>
      </w:r>
      <w:r>
        <w:rPr>
          <w:rFonts w:hint="default" w:ascii="仿宋" w:hAnsi="仿宋" w:eastAsia="仿宋"/>
          <w:spacing w:val="-2"/>
          <w:sz w:val="32"/>
          <w:szCs w:val="32"/>
        </w:rPr>
        <w:t>  </w:t>
      </w:r>
    </w:p>
    <w:p>
      <w:pPr>
        <w:pStyle w:val="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textAlignment w:val="auto"/>
        <w:outlineLvl w:val="9"/>
        <w:rPr>
          <w:rFonts w:hint="eastAsia" w:ascii="楷体" w:hAnsi="楷体" w:eastAsia="楷体" w:cs="楷体"/>
          <w:color w:val="313131"/>
          <w:sz w:val="32"/>
          <w:szCs w:val="32"/>
          <w:lang w:val="en-US" w:eastAsia="zh-CN"/>
        </w:rPr>
      </w:pPr>
      <w:r>
        <w:rPr>
          <w:rFonts w:hint="eastAsia" w:ascii="楷体" w:hAnsi="楷体" w:eastAsia="楷体" w:cs="楷体"/>
          <w:color w:val="313131"/>
          <w:sz w:val="32"/>
          <w:szCs w:val="32"/>
          <w:lang w:val="en-US" w:eastAsia="zh-CN"/>
        </w:rPr>
        <w:t>年初预算的编制不够精准</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outlineLvl w:val="9"/>
        <w:rPr>
          <w:rFonts w:hint="eastAsia" w:ascii="仿宋_GB2312" w:hAnsi="仿宋_GB2312" w:eastAsia="仿宋_GB2312" w:cs="仿宋_GB2312"/>
          <w:color w:val="313131"/>
          <w:sz w:val="32"/>
          <w:szCs w:val="32"/>
          <w:lang w:val="en-US" w:eastAsia="zh-CN"/>
        </w:rPr>
      </w:pPr>
      <w:r>
        <w:rPr>
          <w:rFonts w:hint="eastAsia" w:ascii="仿宋_GB2312" w:hAnsi="仿宋_GB2312" w:eastAsia="仿宋_GB2312" w:cs="仿宋_GB2312"/>
          <w:color w:val="313131"/>
          <w:sz w:val="32"/>
          <w:szCs w:val="32"/>
          <w:lang w:val="en-US" w:eastAsia="zh-CN"/>
        </w:rPr>
        <w:t>预算编制能按类、款、项三个层级进行明细预算，基本支出和专项支出严格区分，但在实际操作中，存在交叉使用情况。</w:t>
      </w:r>
    </w:p>
    <w:p>
      <w:pPr>
        <w:pStyle w:val="5"/>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0"/>
        <w:textAlignment w:val="auto"/>
        <w:outlineLvl w:val="9"/>
        <w:rPr>
          <w:rFonts w:hint="eastAsia" w:ascii="仿宋_GB2312" w:hAnsi="仿宋_GB2312" w:eastAsia="仿宋_GB2312" w:cs="仿宋_GB2312"/>
          <w:sz w:val="32"/>
          <w:szCs w:val="32"/>
        </w:rPr>
      </w:pPr>
      <w:r>
        <w:rPr>
          <w:rFonts w:hint="eastAsia" w:ascii="楷体" w:hAnsi="楷体" w:eastAsia="楷体" w:cs="楷体"/>
          <w:color w:val="313131"/>
          <w:sz w:val="32"/>
          <w:szCs w:val="32"/>
          <w:lang w:val="en-US" w:eastAsia="zh-CN"/>
        </w:rPr>
        <w:t>预算执行力度方面</w:t>
      </w:r>
    </w:p>
    <w:p>
      <w:pPr>
        <w:pStyle w:val="5"/>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600" w:lineRule="exac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313131"/>
          <w:sz w:val="32"/>
          <w:szCs w:val="32"/>
          <w:lang w:val="en-US" w:eastAsia="zh-CN"/>
        </w:rPr>
        <w:t>需根据预算计划定期跟踪执行情况，进行分析预判。</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hint="eastAsia" w:ascii="黑体" w:hAnsi="黑体" w:eastAsia="黑体" w:cs="黑体"/>
          <w:spacing w:val="-2"/>
          <w:sz w:val="32"/>
          <w:szCs w:val="32"/>
        </w:rPr>
      </w:pPr>
      <w:r>
        <w:rPr>
          <w:rFonts w:hint="eastAsia" w:ascii="黑体" w:hAnsi="黑体" w:eastAsia="黑体" w:cs="黑体"/>
          <w:b/>
          <w:spacing w:val="-2"/>
          <w:sz w:val="32"/>
          <w:szCs w:val="32"/>
          <w:lang w:eastAsia="zh-CN"/>
        </w:rPr>
        <w:t>六</w:t>
      </w:r>
      <w:r>
        <w:rPr>
          <w:rFonts w:hint="eastAsia" w:ascii="黑体" w:hAnsi="黑体" w:eastAsia="黑体" w:cs="黑体"/>
          <w:b/>
          <w:spacing w:val="-2"/>
          <w:sz w:val="32"/>
          <w:szCs w:val="32"/>
        </w:rPr>
        <w:t>、改进措施和有关建议</w:t>
      </w:r>
    </w:p>
    <w:p>
      <w:pPr>
        <w:keepNext w:val="0"/>
        <w:keepLines w:val="0"/>
        <w:pageBreakBefore w:val="0"/>
        <w:widowControl/>
        <w:shd w:val="clear" w:color="auto" w:fill="FFFFFF"/>
        <w:kinsoku/>
        <w:wordWrap/>
        <w:overflowPunct/>
        <w:topLinePunct w:val="0"/>
        <w:autoSpaceDE/>
        <w:autoSpaceDN/>
        <w:bidi w:val="0"/>
        <w:adjustRightInd/>
        <w:spacing w:line="600" w:lineRule="exact"/>
        <w:ind w:firstLine="640"/>
        <w:textAlignment w:val="auto"/>
        <w:rPr>
          <w:rFonts w:ascii="仿宋" w:hAnsi="仿宋" w:eastAsia="仿宋"/>
          <w:spacing w:val="-2"/>
          <w:sz w:val="32"/>
          <w:szCs w:val="32"/>
        </w:rPr>
      </w:pPr>
      <w:r>
        <w:rPr>
          <w:rFonts w:hint="eastAsia" w:ascii="仿宋" w:hAnsi="仿宋" w:eastAsia="仿宋"/>
          <w:spacing w:val="-2"/>
          <w:sz w:val="32"/>
          <w:szCs w:val="32"/>
          <w:lang w:eastAsia="zh-CN"/>
        </w:rPr>
        <w:t>增强</w:t>
      </w:r>
      <w:r>
        <w:rPr>
          <w:rFonts w:hint="default" w:ascii="仿宋" w:hAnsi="仿宋" w:eastAsia="仿宋"/>
          <w:spacing w:val="-2"/>
          <w:sz w:val="32"/>
          <w:szCs w:val="32"/>
        </w:rPr>
        <w:t>预算执行的</w:t>
      </w:r>
      <w:r>
        <w:rPr>
          <w:rFonts w:hint="eastAsia" w:ascii="仿宋" w:hAnsi="仿宋" w:eastAsia="仿宋"/>
          <w:spacing w:val="-2"/>
          <w:sz w:val="32"/>
          <w:szCs w:val="32"/>
          <w:lang w:val="en-US" w:eastAsia="zh-CN"/>
        </w:rPr>
        <w:t>准确性。</w:t>
      </w:r>
      <w:r>
        <w:rPr>
          <w:rFonts w:hint="default" w:ascii="仿宋" w:hAnsi="仿宋" w:eastAsia="仿宋"/>
          <w:spacing w:val="-2"/>
          <w:sz w:val="32"/>
          <w:szCs w:val="32"/>
        </w:rPr>
        <w:t>增强预算编制的全面性、准确性，强化预算执行的严肃性。对年初没有预算安排的支出原则上不安排支出，不申请新增追加资金。严格按预算批复的用途使用资金，减少预算调整事项。 </w:t>
      </w:r>
    </w:p>
    <w:p>
      <w:pPr>
        <w:keepNext w:val="0"/>
        <w:keepLines w:val="0"/>
        <w:pageBreakBefore w:val="0"/>
        <w:kinsoku/>
        <w:wordWrap/>
        <w:overflowPunct/>
        <w:topLinePunct w:val="0"/>
        <w:autoSpaceDE/>
        <w:autoSpaceDN/>
        <w:bidi w:val="0"/>
        <w:adjustRightInd/>
        <w:spacing w:line="600" w:lineRule="exact"/>
        <w:textAlignment w:val="auto"/>
      </w:pPr>
    </w:p>
    <w:p>
      <w:pPr>
        <w:keepNext w:val="0"/>
        <w:keepLines w:val="0"/>
        <w:pageBreakBefore w:val="0"/>
        <w:kinsoku/>
        <w:wordWrap/>
        <w:overflowPunct/>
        <w:topLinePunct w:val="0"/>
        <w:autoSpaceDE/>
        <w:autoSpaceDN/>
        <w:bidi w:val="0"/>
        <w:adjustRightInd/>
        <w:spacing w:line="600" w:lineRule="exact"/>
        <w:textAlignment w:val="auto"/>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decorative"/>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92EC18"/>
    <w:multiLevelType w:val="singleLevel"/>
    <w:tmpl w:val="C092EC18"/>
    <w:lvl w:ilvl="0" w:tentative="0">
      <w:start w:val="2"/>
      <w:numFmt w:val="chineseCounting"/>
      <w:suff w:val="nothing"/>
      <w:lvlText w:val="（%1）"/>
      <w:lvlJc w:val="left"/>
      <w:rPr>
        <w:rFonts w:hint="eastAsia"/>
      </w:rPr>
    </w:lvl>
  </w:abstractNum>
  <w:abstractNum w:abstractNumId="1">
    <w:nsid w:val="F79924A0"/>
    <w:multiLevelType w:val="singleLevel"/>
    <w:tmpl w:val="F79924A0"/>
    <w:lvl w:ilvl="0" w:tentative="0">
      <w:start w:val="1"/>
      <w:numFmt w:val="chineseCounting"/>
      <w:suff w:val="nothing"/>
      <w:lvlText w:val="（%1）"/>
      <w:lvlJc w:val="left"/>
      <w:rPr>
        <w:rFonts w:hint="eastAsia"/>
      </w:rPr>
    </w:lvl>
  </w:abstractNum>
  <w:abstractNum w:abstractNumId="2">
    <w:nsid w:val="151D602B"/>
    <w:multiLevelType w:val="singleLevel"/>
    <w:tmpl w:val="151D602B"/>
    <w:lvl w:ilvl="0" w:tentative="0">
      <w:start w:val="1"/>
      <w:numFmt w:val="chineseCounting"/>
      <w:suff w:val="nothing"/>
      <w:lvlText w:val="（%1）"/>
      <w:lvlJc w:val="left"/>
      <w:rPr>
        <w:rFonts w:hint="eastAsia"/>
      </w:rPr>
    </w:lvl>
  </w:abstractNum>
  <w:abstractNum w:abstractNumId="3">
    <w:nsid w:val="690A97DA"/>
    <w:multiLevelType w:val="singleLevel"/>
    <w:tmpl w:val="690A97DA"/>
    <w:lvl w:ilvl="0" w:tentative="0">
      <w:start w:val="3"/>
      <w:numFmt w:val="decimal"/>
      <w:suff w:val="nothing"/>
      <w:lvlText w:val="%1、"/>
      <w:lvlJc w:val="left"/>
    </w:lvl>
  </w:abstractNum>
  <w:abstractNum w:abstractNumId="4">
    <w:nsid w:val="7DA9282F"/>
    <w:multiLevelType w:val="singleLevel"/>
    <w:tmpl w:val="7DA9282F"/>
    <w:lvl w:ilvl="0" w:tentative="0">
      <w:start w:val="6"/>
      <w:numFmt w:val="decimal"/>
      <w:suff w:val="nothing"/>
      <w:lvlText w:val="%1、"/>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7953E0"/>
    <w:rsid w:val="077953E0"/>
    <w:rsid w:val="0F3378D4"/>
    <w:rsid w:val="187B502B"/>
    <w:rsid w:val="197C0E04"/>
    <w:rsid w:val="31950223"/>
    <w:rsid w:val="43FC0A68"/>
    <w:rsid w:val="5E361B34"/>
    <w:rsid w:val="75D8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footer"/>
    <w:basedOn w:val="1"/>
    <w:next w:val="3"/>
    <w:unhideWhenUsed/>
    <w:qFormat/>
    <w:uiPriority w:val="99"/>
    <w:pPr>
      <w:tabs>
        <w:tab w:val="center" w:pos="4153"/>
        <w:tab w:val="right" w:pos="8306"/>
      </w:tabs>
      <w:snapToGrid w:val="0"/>
      <w:jc w:val="left"/>
    </w:pPr>
    <w:rPr>
      <w:kern w:val="0"/>
      <w:sz w:val="18"/>
      <w:szCs w:val="18"/>
    </w:rPr>
  </w:style>
  <w:style w:type="paragraph" w:styleId="3">
    <w:name w:val="index 5"/>
    <w:basedOn w:val="1"/>
    <w:next w:val="1"/>
    <w:qFormat/>
    <w:uiPriority w:val="0"/>
    <w:pPr>
      <w:spacing w:before="100" w:beforeAutospacing="1" w:after="100" w:afterAutospacing="1"/>
      <w:ind w:left="168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248</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2021-06-25T08:39:00Z</dcterms:created>
  <dc:creator>澎澎</dc:creator>
  <cp:lastModifiedBy>澎澎</cp:lastModifiedBy>
  <cp:lastPrinted>2021-06-29T01:34:00Z</cp:lastPrinted>
  <dcterms:modified xsi:type="dcterms:W3CDTF">2021-08-25T08:56:29Z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2BF7254621CA4B3D840C641894012E77</vt:lpwstr>
  </property>
</Properties>
</file>