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黑体" w:hAnsi="黑体" w:eastAsia="黑体" w:cs="黑体"/>
          <w:b w:val="0"/>
          <w:bCs w:val="0"/>
          <w:color w:val="333333"/>
          <w:sz w:val="52"/>
          <w:szCs w:val="5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color w:val="333333"/>
          <w:sz w:val="52"/>
          <w:szCs w:val="52"/>
          <w:shd w:val="clear" w:fill="FFFFFF"/>
        </w:rPr>
        <w:t>怀化市人民政府研究室2022年度部门预算</w:t>
      </w:r>
    </w:p>
    <w:p>
      <w:pPr>
        <w:rPr>
          <w:rFonts w:hint="eastAsia" w:ascii="黑体" w:hAnsi="黑体" w:eastAsia="黑体" w:cs="黑体"/>
          <w:b w:val="0"/>
          <w:bCs w:val="0"/>
          <w:color w:val="333333"/>
          <w:sz w:val="52"/>
          <w:szCs w:val="52"/>
          <w:shd w:val="clear" w:fill="FFFFFF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eastAsia="黑体"/>
          <w:b w:val="0"/>
          <w:bCs w:val="0"/>
          <w:kern w:val="0"/>
          <w:sz w:val="44"/>
          <w:szCs w:val="44"/>
        </w:rPr>
      </w:pPr>
      <w:r>
        <w:rPr>
          <w:rFonts w:eastAsia="黑体"/>
          <w:b w:val="0"/>
          <w:bCs w:val="0"/>
          <w:kern w:val="0"/>
          <w:sz w:val="44"/>
          <w:szCs w:val="44"/>
        </w:rPr>
        <w:t>目 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eastAsia="黑体"/>
          <w:b w:val="0"/>
          <w:bCs w:val="0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202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年部门预算说明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34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一、部门基本概况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34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二、部门预算单位构成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34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三、部门收支总体情况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四、一般公共预算拨款支出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五、政府性基金预算支出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六、其他重要事项的情况说明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七、名词解释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eastAsia="仿宋_GB2312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第二部分 202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年部门预算表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1、部门收支总表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2、部门收入总表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3、部门支出总表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4、财政拨款收支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总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5、一般公共预算支出表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6、一般公共预算基本支出表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7、一般公共预算“三公”经费支出表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8、政府性基金预算支出表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9、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国有资本经营预算支出表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10、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  <w:t>项目支出绩效目标表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11、部门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整体支出绩效目标表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注：以上部门预算报表中，空表表示本部门无相关收支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  <w:t>情况。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kern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44"/>
          <w:szCs w:val="44"/>
          <w:lang w:val="en-US" w:eastAsia="zh-CN"/>
        </w:rPr>
        <w:t xml:space="preserve">第一部分 </w:t>
      </w:r>
      <w:r>
        <w:rPr>
          <w:rFonts w:hint="eastAsia" w:ascii="黑体" w:hAnsi="黑体" w:eastAsia="黑体" w:cs="黑体"/>
          <w:b w:val="0"/>
          <w:bCs w:val="0"/>
          <w:kern w:val="0"/>
          <w:sz w:val="44"/>
          <w:szCs w:val="44"/>
        </w:rPr>
        <w:t>202</w:t>
      </w:r>
      <w:r>
        <w:rPr>
          <w:rFonts w:hint="eastAsia" w:ascii="黑体" w:hAnsi="黑体" w:eastAsia="黑体" w:cs="黑体"/>
          <w:b w:val="0"/>
          <w:bCs w:val="0"/>
          <w:kern w:val="0"/>
          <w:sz w:val="44"/>
          <w:szCs w:val="44"/>
          <w:lang w:val="en-US" w:eastAsia="zh-CN"/>
        </w:rPr>
        <w:t>2</w:t>
      </w:r>
      <w:r>
        <w:rPr>
          <w:rFonts w:hint="eastAsia" w:ascii="黑体" w:hAnsi="黑体" w:eastAsia="黑体" w:cs="黑体"/>
          <w:b w:val="0"/>
          <w:bCs w:val="0"/>
          <w:kern w:val="0"/>
          <w:sz w:val="44"/>
          <w:szCs w:val="44"/>
        </w:rPr>
        <w:t>年部门预算说明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99" w:lineRule="auto"/>
        <w:ind w:left="0" w:right="0" w:firstLine="627"/>
        <w:jc w:val="left"/>
        <w:rPr>
          <w:rFonts w:hint="default" w:ascii="Times New Roman" w:hAnsi="Times New Roman" w:cs="Times New Roman"/>
          <w:b w:val="0"/>
          <w:bCs w:val="0"/>
          <w:color w:val="3D3D3D"/>
          <w:sz w:val="21"/>
          <w:szCs w:val="21"/>
        </w:rPr>
      </w:pPr>
      <w:r>
        <w:rPr>
          <w:rFonts w:ascii="黑体" w:hAnsi="宋体" w:eastAsia="黑体" w:cs="黑体"/>
          <w:b w:val="0"/>
          <w:bCs w:val="0"/>
          <w:color w:val="3D3D3D"/>
          <w:sz w:val="32"/>
          <w:szCs w:val="32"/>
          <w:shd w:val="clear" w:fill="FFFFFF"/>
        </w:rPr>
        <w:t>一、部门</w:t>
      </w:r>
      <w:r>
        <w:rPr>
          <w:rFonts w:hint="eastAsia" w:ascii="黑体" w:hAnsi="宋体" w:eastAsia="黑体" w:cs="黑体"/>
          <w:b w:val="0"/>
          <w:bCs w:val="0"/>
          <w:color w:val="3D3D3D"/>
          <w:sz w:val="32"/>
          <w:szCs w:val="32"/>
          <w:shd w:val="clear" w:fill="FFFFFF"/>
        </w:rPr>
        <w:t>基本概况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99" w:lineRule="auto"/>
        <w:ind w:left="0" w:right="0" w:firstLine="630"/>
        <w:jc w:val="left"/>
        <w:rPr>
          <w:rFonts w:hint="default" w:ascii="Times New Roman" w:hAnsi="Times New Roman" w:cs="Times New Roman"/>
          <w:b w:val="0"/>
          <w:bCs w:val="0"/>
          <w:color w:val="3D3D3D"/>
          <w:sz w:val="21"/>
          <w:szCs w:val="21"/>
        </w:rPr>
      </w:pPr>
      <w:r>
        <w:rPr>
          <w:rFonts w:ascii="仿宋" w:hAnsi="仿宋" w:eastAsia="仿宋" w:cs="仿宋"/>
          <w:b w:val="0"/>
          <w:bCs w:val="0"/>
          <w:color w:val="3D3D3D"/>
          <w:sz w:val="32"/>
          <w:szCs w:val="32"/>
          <w:shd w:val="clear" w:fill="FFFFFF"/>
        </w:rPr>
        <w:t>（一）部门职责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96" w:lineRule="auto"/>
        <w:ind w:left="0" w:right="0" w:firstLine="627"/>
        <w:jc w:val="left"/>
        <w:rPr>
          <w:rFonts w:hint="default" w:ascii="Times New Roman" w:hAnsi="Times New Roman" w:cs="Times New Roman"/>
          <w:b w:val="0"/>
          <w:bCs w:val="0"/>
          <w:color w:val="3D3D3D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D3D3D"/>
          <w:sz w:val="32"/>
          <w:szCs w:val="32"/>
          <w:shd w:val="clear" w:fill="FFFFFF"/>
        </w:rPr>
        <w:t>1.负责《政府工作报告》和市政府主要领导同志重要讲话、报告、文章的起草及有关新闻稿的审定。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96" w:lineRule="auto"/>
        <w:ind w:left="0" w:right="0" w:firstLine="627"/>
        <w:jc w:val="left"/>
        <w:rPr>
          <w:rFonts w:hint="default" w:ascii="Times New Roman" w:hAnsi="Times New Roman" w:cs="Times New Roman"/>
          <w:b w:val="0"/>
          <w:bCs w:val="0"/>
          <w:color w:val="3D3D3D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D3D3D"/>
          <w:sz w:val="32"/>
          <w:szCs w:val="32"/>
          <w:shd w:val="clear" w:fill="FFFFFF"/>
        </w:rPr>
        <w:t>2.负责起草市政府向省委省政府的重要汇报材料；组织和协同有关方面起草、修改市政府的有关重要综合性文件；参与起草市委、市政府有关重要会议的文件。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96" w:lineRule="auto"/>
        <w:ind w:left="0" w:right="0" w:firstLine="627"/>
        <w:jc w:val="left"/>
        <w:rPr>
          <w:rFonts w:hint="default" w:ascii="Times New Roman" w:hAnsi="Times New Roman" w:cs="Times New Roman"/>
          <w:b w:val="0"/>
          <w:bCs w:val="0"/>
          <w:color w:val="3D3D3D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D3D3D"/>
          <w:sz w:val="32"/>
          <w:szCs w:val="32"/>
          <w:shd w:val="clear" w:fill="FFFFFF"/>
        </w:rPr>
        <w:t>3.负责牵头组织涉及全市经济建设、社会发展和改革开放等战略性、全局性、综合性重大问题的调查研究，及时综合归纳，提出供市政府决策的参考方案和政策性建议。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96" w:lineRule="auto"/>
        <w:ind w:left="0" w:right="0" w:firstLine="627"/>
        <w:jc w:val="left"/>
        <w:rPr>
          <w:rFonts w:hint="default" w:ascii="Times New Roman" w:hAnsi="Times New Roman" w:cs="Times New Roman"/>
          <w:b w:val="0"/>
          <w:bCs w:val="0"/>
          <w:color w:val="3D3D3D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D3D3D"/>
          <w:sz w:val="32"/>
          <w:szCs w:val="32"/>
          <w:shd w:val="clear" w:fill="FFFFFF"/>
        </w:rPr>
        <w:t>4.负责对市内外经济形势和社会发展政策进行分析和研究，提出政策建议；收集、分析、整理和报送经济社会发展的重要信息、动态，为市政府决策提供参考建议。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96" w:lineRule="auto"/>
        <w:ind w:left="0" w:right="0" w:firstLine="627"/>
        <w:jc w:val="left"/>
        <w:rPr>
          <w:rFonts w:hint="default" w:ascii="Times New Roman" w:hAnsi="Times New Roman" w:cs="Times New Roman"/>
          <w:b w:val="0"/>
          <w:bCs w:val="0"/>
          <w:color w:val="3D3D3D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D3D3D"/>
          <w:sz w:val="32"/>
          <w:szCs w:val="32"/>
          <w:shd w:val="clear" w:fill="FFFFFF"/>
        </w:rPr>
        <w:t>5.负责市政府主要领导联络服务工作。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96" w:lineRule="auto"/>
        <w:ind w:left="0" w:right="0" w:firstLine="627"/>
        <w:jc w:val="left"/>
        <w:rPr>
          <w:rFonts w:hint="default" w:ascii="Times New Roman" w:hAnsi="Times New Roman" w:cs="Times New Roman"/>
          <w:b w:val="0"/>
          <w:bCs w:val="0"/>
          <w:color w:val="3D3D3D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D3D3D"/>
          <w:sz w:val="32"/>
          <w:szCs w:val="32"/>
          <w:shd w:val="clear" w:fill="FFFFFF"/>
        </w:rPr>
        <w:t>6.负责组织全市政府系统经济研究工作人员的培训与业务交流。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96" w:lineRule="auto"/>
        <w:ind w:left="0" w:right="0" w:firstLine="627"/>
        <w:jc w:val="left"/>
        <w:rPr>
          <w:rFonts w:hint="default" w:ascii="Times New Roman" w:hAnsi="Times New Roman" w:cs="Times New Roman"/>
          <w:b w:val="0"/>
          <w:bCs w:val="0"/>
          <w:color w:val="3D3D3D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D3D3D"/>
          <w:sz w:val="32"/>
          <w:szCs w:val="32"/>
          <w:shd w:val="clear" w:fill="FFFFFF"/>
        </w:rPr>
        <w:t>7.负责组织专家对全市经济社会发展的重大问题、重大决策、重大项目进行研究论证、提供咨询服务。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96" w:lineRule="auto"/>
        <w:ind w:left="0" w:right="0" w:firstLine="627"/>
        <w:jc w:val="left"/>
        <w:rPr>
          <w:rFonts w:hint="default" w:ascii="Times New Roman" w:hAnsi="Times New Roman" w:cs="Times New Roman"/>
          <w:b w:val="0"/>
          <w:bCs w:val="0"/>
          <w:color w:val="3D3D3D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D3D3D"/>
          <w:sz w:val="32"/>
          <w:szCs w:val="32"/>
          <w:shd w:val="clear" w:fill="FFFFFF"/>
        </w:rPr>
        <w:t>8.承办市委、市政府交办的其他事项。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99" w:lineRule="auto"/>
        <w:ind w:left="0" w:right="0" w:firstLine="630"/>
        <w:jc w:val="left"/>
        <w:rPr>
          <w:rFonts w:hint="default" w:ascii="Times New Roman" w:hAnsi="Times New Roman" w:cs="Times New Roman"/>
          <w:b w:val="0"/>
          <w:bCs w:val="0"/>
          <w:color w:val="3D3D3D"/>
          <w:sz w:val="21"/>
          <w:szCs w:val="21"/>
        </w:rPr>
      </w:pPr>
      <w:r>
        <w:rPr>
          <w:rFonts w:hint="eastAsia" w:ascii="仿宋" w:hAnsi="仿宋" w:eastAsia="仿宋" w:cs="仿宋"/>
          <w:b w:val="0"/>
          <w:bCs w:val="0"/>
          <w:color w:val="3D3D3D"/>
          <w:sz w:val="32"/>
          <w:szCs w:val="32"/>
          <w:shd w:val="clear" w:fill="FFFFFF"/>
        </w:rPr>
        <w:t>（二）机构设置情况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96" w:lineRule="auto"/>
        <w:ind w:left="0" w:right="0" w:firstLine="627"/>
        <w:jc w:val="left"/>
        <w:rPr>
          <w:rFonts w:hint="default" w:ascii="Times New Roman" w:hAnsi="Times New Roman" w:cs="Times New Roman"/>
          <w:b w:val="0"/>
          <w:bCs w:val="0"/>
          <w:color w:val="3D3D3D"/>
          <w:sz w:val="24"/>
          <w:szCs w:val="24"/>
        </w:rPr>
      </w:pPr>
      <w:r>
        <w:rPr>
          <w:rFonts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怀化市人民政府研究室作为一级部门预算单位，内设科室为：办公室、综合调研一科、综合调研二科、综合调研三科。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99" w:lineRule="auto"/>
        <w:ind w:left="0" w:right="0" w:firstLine="627"/>
        <w:jc w:val="left"/>
        <w:rPr>
          <w:rFonts w:hint="default" w:ascii="Times New Roman" w:hAnsi="Times New Roman" w:cs="Times New Roman"/>
          <w:b w:val="0"/>
          <w:bCs w:val="0"/>
          <w:color w:val="3D3D3D"/>
          <w:sz w:val="21"/>
          <w:szCs w:val="21"/>
        </w:rPr>
      </w:pPr>
      <w:r>
        <w:rPr>
          <w:rFonts w:hint="eastAsia" w:ascii="黑体" w:hAnsi="宋体" w:eastAsia="黑体" w:cs="黑体"/>
          <w:b w:val="0"/>
          <w:bCs w:val="0"/>
          <w:color w:val="3D3D3D"/>
          <w:sz w:val="32"/>
          <w:szCs w:val="32"/>
          <w:shd w:val="clear" w:fill="FFFFFF"/>
        </w:rPr>
        <w:t>二、部门预算单位构成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96" w:lineRule="auto"/>
        <w:ind w:left="0" w:right="0" w:firstLine="640"/>
        <w:jc w:val="left"/>
        <w:rPr>
          <w:rFonts w:hint="default" w:ascii="Times New Roman" w:hAnsi="Times New Roman" w:cs="Times New Roman"/>
          <w:b w:val="0"/>
          <w:bCs w:val="0"/>
          <w:color w:val="3D3D3D"/>
          <w:sz w:val="24"/>
          <w:szCs w:val="24"/>
        </w:rPr>
      </w:pP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纳入</w:t>
      </w:r>
      <w:r>
        <w:rPr>
          <w:rFonts w:hint="default" w:ascii="Times New Roman" w:hAnsi="Times New Roman" w:cs="Times New Roman"/>
          <w:b w:val="0"/>
          <w:bCs w:val="0"/>
          <w:color w:val="3D3D3D"/>
          <w:sz w:val="32"/>
          <w:szCs w:val="32"/>
          <w:shd w:val="clear" w:fill="FFFFFF"/>
        </w:rPr>
        <w:t>202</w:t>
      </w:r>
      <w:r>
        <w:rPr>
          <w:rFonts w:hint="default" w:ascii="Times New Roman" w:hAnsi="Times New Roman" w:eastAsia="仿宋" w:cs="Times New Roman"/>
          <w:b w:val="0"/>
          <w:bCs w:val="0"/>
          <w:color w:val="3D3D3D"/>
          <w:sz w:val="32"/>
          <w:szCs w:val="32"/>
          <w:shd w:val="clear" w:fill="FFFFFF"/>
        </w:rPr>
        <w:t>2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年怀化市人民政府研究室部门预算编制范围的预算单位包括：怀化市人民政府研究室本级。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99" w:lineRule="auto"/>
        <w:ind w:left="0" w:right="0" w:firstLine="627"/>
        <w:jc w:val="left"/>
        <w:rPr>
          <w:rFonts w:hint="default" w:ascii="Times New Roman" w:hAnsi="Times New Roman" w:cs="Times New Roman"/>
          <w:b w:val="0"/>
          <w:bCs w:val="0"/>
          <w:color w:val="3D3D3D"/>
          <w:sz w:val="21"/>
          <w:szCs w:val="21"/>
        </w:rPr>
      </w:pPr>
      <w:r>
        <w:rPr>
          <w:rFonts w:hint="eastAsia" w:ascii="黑体" w:hAnsi="宋体" w:eastAsia="黑体" w:cs="黑体"/>
          <w:b w:val="0"/>
          <w:bCs w:val="0"/>
          <w:color w:val="3D3D3D"/>
          <w:sz w:val="32"/>
          <w:szCs w:val="32"/>
          <w:shd w:val="clear" w:fill="FFFFFF"/>
        </w:rPr>
        <w:t>三、部门收支总体情况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99" w:lineRule="auto"/>
        <w:ind w:left="0" w:right="0" w:firstLine="640"/>
        <w:jc w:val="left"/>
        <w:rPr>
          <w:rFonts w:hint="default" w:ascii="Times New Roman" w:hAnsi="Times New Roman" w:cs="Times New Roman"/>
          <w:b w:val="0"/>
          <w:bCs w:val="0"/>
          <w:color w:val="3D3D3D"/>
          <w:sz w:val="21"/>
          <w:szCs w:val="21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3D3D3D"/>
          <w:sz w:val="32"/>
          <w:szCs w:val="32"/>
          <w:shd w:val="clear" w:fill="FFFFFF"/>
        </w:rPr>
        <w:t>2022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年部门预算包括本单位预算内的收支情况。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99" w:lineRule="auto"/>
        <w:ind w:left="0" w:right="0" w:firstLine="627"/>
        <w:jc w:val="left"/>
        <w:rPr>
          <w:rFonts w:hint="default" w:ascii="Times New Roman" w:hAnsi="Times New Roman" w:cs="Times New Roman"/>
          <w:b w:val="0"/>
          <w:bCs w:val="0"/>
          <w:color w:val="3D3D3D"/>
          <w:sz w:val="21"/>
          <w:szCs w:val="21"/>
        </w:rPr>
      </w:pP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（一）收入预算，</w:t>
      </w:r>
      <w:r>
        <w:rPr>
          <w:rFonts w:hint="default" w:ascii="Times New Roman" w:hAnsi="Times New Roman" w:eastAsia="仿宋" w:cs="Times New Roman"/>
          <w:b w:val="0"/>
          <w:bCs w:val="0"/>
          <w:color w:val="3D3D3D"/>
          <w:sz w:val="32"/>
          <w:szCs w:val="32"/>
          <w:shd w:val="clear" w:fill="FFFFFF"/>
        </w:rPr>
        <w:t>2022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年年初预算数</w:t>
      </w:r>
      <w:r>
        <w:rPr>
          <w:rFonts w:hint="default" w:ascii="Times New Roman" w:hAnsi="Times New Roman" w:cs="Times New Roman"/>
          <w:b w:val="0"/>
          <w:bCs w:val="0"/>
          <w:color w:val="3D3D3D"/>
          <w:sz w:val="32"/>
          <w:szCs w:val="32"/>
          <w:shd w:val="clear" w:fill="FFFFFF"/>
        </w:rPr>
        <w:t>235.92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万元，其中，一般公共预算拨款</w:t>
      </w:r>
      <w:r>
        <w:rPr>
          <w:rFonts w:hint="default" w:ascii="Times New Roman" w:hAnsi="Times New Roman" w:cs="Times New Roman"/>
          <w:b w:val="0"/>
          <w:bCs w:val="0"/>
          <w:color w:val="3D3D3D"/>
          <w:sz w:val="32"/>
          <w:szCs w:val="32"/>
          <w:shd w:val="clear" w:fill="FFFFFF"/>
        </w:rPr>
        <w:t>235.92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万元，政府性基金预算拨款</w:t>
      </w:r>
      <w:r>
        <w:rPr>
          <w:rFonts w:hint="default" w:ascii="Times New Roman" w:hAnsi="Times New Roman" w:cs="Times New Roman"/>
          <w:b w:val="0"/>
          <w:bCs w:val="0"/>
          <w:color w:val="3D3D3D"/>
          <w:sz w:val="32"/>
          <w:szCs w:val="32"/>
          <w:shd w:val="clear" w:fill="FFFFFF"/>
        </w:rPr>
        <w:t>0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万元，纳入财政专户管理的非税收入拨款</w:t>
      </w:r>
      <w:r>
        <w:rPr>
          <w:rFonts w:hint="default" w:ascii="Times New Roman" w:hAnsi="Times New Roman" w:cs="Times New Roman"/>
          <w:b w:val="0"/>
          <w:bCs w:val="0"/>
          <w:color w:val="3D3D3D"/>
          <w:sz w:val="32"/>
          <w:szCs w:val="32"/>
          <w:shd w:val="clear" w:fill="FFFFFF"/>
        </w:rPr>
        <w:t>0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万元，国有资本经营预算拨款</w:t>
      </w:r>
      <w:r>
        <w:rPr>
          <w:rFonts w:hint="default" w:ascii="Times New Roman" w:hAnsi="Times New Roman" w:cs="Times New Roman"/>
          <w:b w:val="0"/>
          <w:bCs w:val="0"/>
          <w:color w:val="3D3D3D"/>
          <w:sz w:val="32"/>
          <w:szCs w:val="32"/>
          <w:shd w:val="clear" w:fill="FFFFFF"/>
        </w:rPr>
        <w:t>0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万元。压减公用经费和专项支出后，同口径对比，收入较上年增加</w:t>
      </w:r>
      <w:r>
        <w:rPr>
          <w:rFonts w:hint="default" w:ascii="Times New Roman" w:hAnsi="Times New Roman" w:cs="Times New Roman"/>
          <w:b w:val="0"/>
          <w:bCs w:val="0"/>
          <w:color w:val="3D3D3D"/>
          <w:sz w:val="32"/>
          <w:szCs w:val="32"/>
          <w:shd w:val="clear" w:fill="FFFFFF"/>
        </w:rPr>
        <w:t>13.9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万元，</w:t>
      </w:r>
      <w:r>
        <w:rPr>
          <w:rFonts w:hint="eastAsia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  <w:lang w:eastAsia="zh-CN"/>
        </w:rPr>
        <w:t>增长</w:t>
      </w:r>
      <w:r>
        <w:rPr>
          <w:rFonts w:hint="eastAsia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  <w:lang w:val="en-US" w:eastAsia="zh-CN"/>
        </w:rPr>
        <w:t>6.26%，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主要原因是基本工资调整，人员经费增加。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99" w:lineRule="auto"/>
        <w:ind w:left="0" w:right="0" w:firstLine="627"/>
        <w:jc w:val="left"/>
        <w:rPr>
          <w:rFonts w:hint="default" w:ascii="Times New Roman" w:hAnsi="Times New Roman" w:cs="Times New Roman"/>
          <w:b w:val="0"/>
          <w:bCs w:val="0"/>
          <w:color w:val="3D3D3D"/>
          <w:sz w:val="21"/>
          <w:szCs w:val="21"/>
          <w:lang w:val="en-US"/>
        </w:rPr>
      </w:pP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（二）支出预算，</w:t>
      </w:r>
      <w:r>
        <w:rPr>
          <w:rFonts w:hint="default" w:ascii="Times New Roman" w:hAnsi="Times New Roman" w:cs="Times New Roman"/>
          <w:b w:val="0"/>
          <w:bCs w:val="0"/>
          <w:color w:val="3D3D3D"/>
          <w:sz w:val="32"/>
          <w:szCs w:val="32"/>
          <w:shd w:val="clear" w:fill="FFFFFF"/>
        </w:rPr>
        <w:t>202</w:t>
      </w:r>
      <w:r>
        <w:rPr>
          <w:rFonts w:hint="default" w:ascii="Times New Roman" w:hAnsi="Times New Roman" w:eastAsia="仿宋" w:cs="Times New Roman"/>
          <w:b w:val="0"/>
          <w:bCs w:val="0"/>
          <w:color w:val="3D3D3D"/>
          <w:sz w:val="32"/>
          <w:szCs w:val="32"/>
          <w:shd w:val="clear" w:fill="FFFFFF"/>
        </w:rPr>
        <w:t>2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年年初预算数235.92万元，其中一般公共服务支出214.06万元，社会保障和就业支出14.56万元，卫生健康支出7.3万元。压减公用经费和专项支出后，同口径对比，支出较上年增加</w:t>
      </w:r>
      <w:r>
        <w:rPr>
          <w:rFonts w:hint="eastAsia" w:ascii="仿宋" w:hAnsi="仿宋" w:eastAsia="仿宋" w:cs="仿宋"/>
          <w:b w:val="0"/>
          <w:bCs w:val="0"/>
          <w:color w:val="3D3D3D"/>
          <w:sz w:val="32"/>
          <w:szCs w:val="32"/>
          <w:shd w:val="clear" w:fill="FFFFFF"/>
        </w:rPr>
        <w:t>13.9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万元，</w:t>
      </w:r>
      <w:r>
        <w:rPr>
          <w:rFonts w:hint="eastAsia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  <w:lang w:eastAsia="zh-CN"/>
        </w:rPr>
        <w:t>增长</w:t>
      </w:r>
      <w:r>
        <w:rPr>
          <w:rFonts w:hint="eastAsia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  <w:lang w:val="en-US" w:eastAsia="zh-CN"/>
        </w:rPr>
        <w:t>6.26%，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主要原因是基本工资调整，人员经费增加。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99" w:lineRule="auto"/>
        <w:ind w:left="0" w:right="0" w:firstLine="640"/>
        <w:jc w:val="left"/>
        <w:rPr>
          <w:rFonts w:hint="default" w:ascii="Times New Roman" w:hAnsi="Times New Roman" w:cs="Times New Roman"/>
          <w:b w:val="0"/>
          <w:bCs w:val="0"/>
          <w:color w:val="3D3D3D"/>
          <w:sz w:val="21"/>
          <w:szCs w:val="21"/>
        </w:rPr>
      </w:pPr>
      <w:r>
        <w:rPr>
          <w:rFonts w:hint="eastAsia" w:ascii="黑体" w:hAnsi="宋体" w:eastAsia="黑体" w:cs="黑体"/>
          <w:b w:val="0"/>
          <w:bCs w:val="0"/>
          <w:color w:val="3D3D3D"/>
          <w:sz w:val="32"/>
          <w:szCs w:val="32"/>
          <w:shd w:val="clear" w:fill="FFFFFF"/>
        </w:rPr>
        <w:t>四、一般公共预算财政拨款</w:t>
      </w:r>
      <w:r>
        <w:rPr>
          <w:rFonts w:hint="eastAsia" w:ascii="黑体" w:hAnsi="宋体" w:eastAsia="黑体" w:cs="黑体"/>
          <w:b w:val="0"/>
          <w:bCs w:val="0"/>
          <w:color w:val="3D3D3D"/>
          <w:sz w:val="32"/>
          <w:szCs w:val="32"/>
          <w:shd w:val="clear" w:fill="FFFFFF"/>
          <w:lang w:val="en-US" w:eastAsia="zh-CN"/>
        </w:rPr>
        <w:t>支出</w:t>
      </w:r>
      <w:r>
        <w:rPr>
          <w:rFonts w:hint="eastAsia" w:ascii="黑体" w:hAnsi="宋体" w:eastAsia="黑体" w:cs="黑体"/>
          <w:b w:val="0"/>
          <w:bCs w:val="0"/>
          <w:color w:val="3D3D3D"/>
          <w:sz w:val="32"/>
          <w:szCs w:val="32"/>
          <w:shd w:val="clear" w:fill="FFFFFF"/>
        </w:rPr>
        <w:t>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0"/>
        <w:jc w:val="left"/>
        <w:textAlignment w:val="auto"/>
        <w:rPr>
          <w:rFonts w:hint="eastAsia" w:ascii="仿宋_GB2312" w:hAnsi="仿宋" w:eastAsia="仿宋_GB2312" w:cs="仿宋_GB2312"/>
          <w:b w:val="0"/>
          <w:bCs w:val="0"/>
          <w:color w:val="3D3D3D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" w:eastAsia="仿宋_GB2312" w:cs="仿宋_GB2312"/>
          <w:b w:val="0"/>
          <w:bCs w:val="0"/>
          <w:color w:val="3D3D3D"/>
          <w:kern w:val="0"/>
          <w:sz w:val="32"/>
          <w:szCs w:val="32"/>
          <w:shd w:val="clear" w:fill="FFFFFF"/>
          <w:lang w:val="en-US" w:eastAsia="zh-CN" w:bidi="ar"/>
        </w:rPr>
        <w:t>2022年本部门一般公共预算拨款支出预算235.92万元，其中，一般公共服务支出214.06万元，占90.74%；社会保障和就业14.56万元，占6.17%；卫生健康支出7.3万元，占3.09%。具体安排情况如下：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97" w:lineRule="auto"/>
        <w:ind w:left="0" w:right="0" w:firstLine="641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3D3D3D"/>
          <w:sz w:val="24"/>
          <w:szCs w:val="24"/>
        </w:rPr>
      </w:pP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（一）基本支出：2022年年初预算数为175.92万元，是指为保障单位机构正常运转、完成日常工作任务而发生的各项支出，包括用于基本工资49.87万元、津贴补贴31.89元、奖金4.16万元、住房公积金10.31万元、其他工资福利</w:t>
      </w:r>
      <w:r>
        <w:rPr>
          <w:rFonts w:hint="default" w:ascii="Times New Roman" w:hAnsi="Times New Roman" w:eastAsia="仿宋" w:cs="Times New Roman"/>
          <w:b w:val="0"/>
          <w:bCs w:val="0"/>
          <w:color w:val="3D3D3D"/>
          <w:sz w:val="32"/>
          <w:szCs w:val="32"/>
          <w:shd w:val="clear" w:fill="FFFFFF"/>
        </w:rPr>
        <w:t>2.49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万元、机关事业单位养老保险缴费13.75万元、职工基本医疗保险缴费7.3万元、其他商品和服务支出34.51、工会经费1.64万元、其他交通费0.5万元、福利费6万元、委托业务费1万元、公务接待费1.5万元、办公费3万元、会议费2万元、维修费5万元、劳务费1万元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96" w:lineRule="auto"/>
        <w:ind w:left="0" w:right="0" w:firstLine="640"/>
        <w:jc w:val="left"/>
        <w:rPr>
          <w:rFonts w:hint="default" w:ascii="Times New Roman" w:hAnsi="Times New Roman" w:cs="Times New Roman"/>
          <w:b w:val="0"/>
          <w:bCs w:val="0"/>
          <w:color w:val="3D3D3D"/>
          <w:sz w:val="24"/>
          <w:szCs w:val="24"/>
        </w:rPr>
      </w:pP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（二）项目支出：2022年年初预算数为60万元，是用于开展政府工作报告起草、《政务要情》编辑、课题调研、业务培训等日常工作发生的各项支出，包括办公经费43万元、培训费</w:t>
      </w:r>
      <w:r>
        <w:rPr>
          <w:rFonts w:hint="default" w:ascii="Times New Roman" w:hAnsi="Times New Roman" w:cs="Times New Roman"/>
          <w:b w:val="0"/>
          <w:bCs w:val="0"/>
          <w:color w:val="3D3D3D"/>
          <w:sz w:val="32"/>
          <w:szCs w:val="32"/>
          <w:shd w:val="clear" w:fill="FFFFFF"/>
        </w:rPr>
        <w:t>2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万元、公务接待费</w:t>
      </w:r>
      <w:r>
        <w:rPr>
          <w:rFonts w:hint="default" w:ascii="Times New Roman" w:hAnsi="Times New Roman" w:eastAsia="仿宋" w:cs="Times New Roman"/>
          <w:b w:val="0"/>
          <w:bCs w:val="0"/>
          <w:color w:val="3D3D3D"/>
          <w:sz w:val="32"/>
          <w:szCs w:val="32"/>
          <w:shd w:val="clear" w:fill="FFFFFF"/>
        </w:rPr>
        <w:t>1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万元、其他商品和服务支出</w:t>
      </w:r>
      <w:r>
        <w:rPr>
          <w:rFonts w:hint="default" w:ascii="Times New Roman" w:hAnsi="Times New Roman" w:eastAsia="仿宋" w:cs="Times New Roman"/>
          <w:b w:val="0"/>
          <w:bCs w:val="0"/>
          <w:color w:val="3D3D3D"/>
          <w:sz w:val="32"/>
          <w:szCs w:val="32"/>
          <w:shd w:val="clear" w:fill="FFFFFF"/>
        </w:rPr>
        <w:t>8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万元、办公设备购置</w:t>
      </w:r>
      <w:r>
        <w:rPr>
          <w:rFonts w:hint="default" w:ascii="Times New Roman" w:hAnsi="Times New Roman" w:eastAsia="仿宋" w:cs="Times New Roman"/>
          <w:b w:val="0"/>
          <w:bCs w:val="0"/>
          <w:color w:val="3D3D3D"/>
          <w:sz w:val="32"/>
          <w:szCs w:val="32"/>
          <w:shd w:val="clear" w:fill="FFFFFF"/>
        </w:rPr>
        <w:t>5.5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万元、委托业务费0.5万元。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96" w:lineRule="auto"/>
        <w:ind w:left="0" w:right="0" w:firstLine="640"/>
        <w:jc w:val="left"/>
        <w:rPr>
          <w:rFonts w:hint="eastAsia" w:ascii="Times New Roman" w:hAnsi="Times New Roman" w:eastAsia="黑体" w:cs="Times New Roman"/>
          <w:b w:val="0"/>
          <w:bCs w:val="0"/>
          <w:color w:val="3D3D3D"/>
          <w:sz w:val="24"/>
          <w:szCs w:val="24"/>
          <w:lang w:val="en-US" w:eastAsia="zh-CN"/>
        </w:rPr>
      </w:pPr>
      <w:r>
        <w:rPr>
          <w:rFonts w:hint="eastAsia" w:ascii="黑体" w:hAnsi="宋体" w:eastAsia="黑体" w:cs="黑体"/>
          <w:b w:val="0"/>
          <w:bCs w:val="0"/>
          <w:color w:val="3D3D3D"/>
          <w:sz w:val="32"/>
          <w:szCs w:val="32"/>
          <w:shd w:val="clear" w:fill="FFFFFF"/>
        </w:rPr>
        <w:t>五、政府性基金支出</w:t>
      </w:r>
      <w:r>
        <w:rPr>
          <w:rFonts w:hint="eastAsia" w:ascii="黑体" w:hAnsi="宋体" w:eastAsia="黑体" w:cs="黑体"/>
          <w:b w:val="0"/>
          <w:bCs w:val="0"/>
          <w:color w:val="3D3D3D"/>
          <w:sz w:val="32"/>
          <w:szCs w:val="32"/>
          <w:shd w:val="clear" w:fill="FFFFFF"/>
          <w:lang w:val="en-US" w:eastAsia="zh-CN"/>
        </w:rPr>
        <w:t>情况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96" w:lineRule="auto"/>
        <w:ind w:left="0" w:right="0" w:firstLine="640"/>
        <w:jc w:val="left"/>
        <w:rPr>
          <w:rFonts w:hint="default" w:ascii="Times New Roman" w:hAnsi="Times New Roman" w:cs="Times New Roman"/>
          <w:b w:val="0"/>
          <w:bCs w:val="0"/>
          <w:color w:val="3D3D3D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D3D3D"/>
          <w:sz w:val="32"/>
          <w:szCs w:val="32"/>
          <w:shd w:val="clear" w:fill="FFFFFF"/>
        </w:rPr>
        <w:t>2022年无政府性基金支出。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99" w:lineRule="auto"/>
        <w:ind w:left="0" w:right="0"/>
        <w:jc w:val="left"/>
        <w:rPr>
          <w:rFonts w:hint="default" w:ascii="Times New Roman" w:hAnsi="Times New Roman" w:cs="Times New Roman"/>
          <w:b w:val="0"/>
          <w:bCs w:val="0"/>
          <w:color w:val="3D3D3D"/>
          <w:sz w:val="21"/>
          <w:szCs w:val="21"/>
        </w:rPr>
      </w:pPr>
      <w:r>
        <w:rPr>
          <w:rFonts w:hint="eastAsia" w:ascii="黑体" w:hAnsi="宋体" w:eastAsia="黑体" w:cs="黑体"/>
          <w:b w:val="0"/>
          <w:bCs w:val="0"/>
          <w:color w:val="3D3D3D"/>
          <w:sz w:val="32"/>
          <w:szCs w:val="32"/>
          <w:shd w:val="clear" w:fill="FFFFFF"/>
        </w:rPr>
        <w:t>    六、其他重要事项的情况说明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99" w:lineRule="auto"/>
        <w:ind w:left="660" w:right="0"/>
        <w:jc w:val="both"/>
        <w:rPr>
          <w:rFonts w:hint="default" w:ascii="Times New Roman" w:hAnsi="Times New Roman" w:cs="Times New Roman"/>
          <w:b w:val="0"/>
          <w:bCs w:val="0"/>
          <w:color w:val="3D3D3D"/>
          <w:sz w:val="21"/>
          <w:szCs w:val="21"/>
        </w:rPr>
      </w:pP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（一）“三公”经费预算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99" w:lineRule="auto"/>
        <w:ind w:left="0" w:right="0" w:firstLine="640"/>
        <w:jc w:val="both"/>
        <w:rPr>
          <w:rFonts w:hint="default" w:ascii="Times New Roman" w:hAnsi="Times New Roman" w:cs="Times New Roman"/>
          <w:b w:val="0"/>
          <w:bCs w:val="0"/>
          <w:color w:val="3D3D3D"/>
          <w:sz w:val="21"/>
          <w:szCs w:val="21"/>
        </w:rPr>
      </w:pPr>
      <w:r>
        <w:rPr>
          <w:rFonts w:hint="eastAsia" w:ascii="仿宋" w:hAnsi="仿宋" w:eastAsia="仿宋" w:cs="仿宋"/>
          <w:b w:val="0"/>
          <w:bCs w:val="0"/>
          <w:color w:val="3D3D3D"/>
          <w:sz w:val="32"/>
          <w:szCs w:val="32"/>
          <w:shd w:val="clear" w:fill="FFFFFF"/>
        </w:rPr>
        <w:t> </w:t>
      </w:r>
      <w:r>
        <w:rPr>
          <w:rFonts w:hint="default" w:ascii="Times New Roman" w:hAnsi="Times New Roman" w:cs="Times New Roman"/>
          <w:b w:val="0"/>
          <w:bCs w:val="0"/>
          <w:color w:val="3D3D3D"/>
          <w:sz w:val="32"/>
          <w:szCs w:val="32"/>
          <w:shd w:val="clear" w:fill="FFFFFF"/>
        </w:rPr>
        <w:t>202</w:t>
      </w:r>
      <w:r>
        <w:rPr>
          <w:rFonts w:hint="default" w:ascii="Times New Roman" w:hAnsi="Times New Roman" w:eastAsia="仿宋" w:cs="Times New Roman"/>
          <w:b w:val="0"/>
          <w:bCs w:val="0"/>
          <w:color w:val="3D3D3D"/>
          <w:sz w:val="32"/>
          <w:szCs w:val="32"/>
          <w:shd w:val="clear" w:fill="FFFFFF"/>
        </w:rPr>
        <w:t>2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年怀化市人民政府研究室部门一般公共预算拨款安排“三公”经费预算控制数为</w:t>
      </w:r>
      <w:r>
        <w:rPr>
          <w:rFonts w:hint="default" w:ascii="Times New Roman" w:hAnsi="Times New Roman" w:cs="Times New Roman"/>
          <w:b w:val="0"/>
          <w:bCs w:val="0"/>
          <w:color w:val="3D3D3D"/>
          <w:sz w:val="32"/>
          <w:szCs w:val="32"/>
          <w:shd w:val="clear" w:fill="FFFFFF"/>
        </w:rPr>
        <w:t>10.08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万元，其中公务接待费控制数</w:t>
      </w:r>
      <w:r>
        <w:rPr>
          <w:rFonts w:hint="default" w:ascii="Times New Roman" w:hAnsi="Times New Roman" w:cs="Times New Roman"/>
          <w:b w:val="0"/>
          <w:bCs w:val="0"/>
          <w:color w:val="3D3D3D"/>
          <w:sz w:val="32"/>
          <w:szCs w:val="32"/>
          <w:shd w:val="clear" w:fill="FFFFFF"/>
        </w:rPr>
        <w:t>6.3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万元，公务用车购置费</w:t>
      </w:r>
      <w:r>
        <w:rPr>
          <w:rFonts w:hint="default" w:ascii="Times New Roman" w:hAnsi="Times New Roman" w:cs="Times New Roman"/>
          <w:b w:val="0"/>
          <w:bCs w:val="0"/>
          <w:color w:val="3D3D3D"/>
          <w:sz w:val="32"/>
          <w:szCs w:val="32"/>
          <w:shd w:val="clear" w:fill="FFFFFF"/>
        </w:rPr>
        <w:t>0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万元，公务用车运行费控制数</w:t>
      </w:r>
      <w:r>
        <w:rPr>
          <w:rFonts w:hint="default" w:ascii="Times New Roman" w:hAnsi="Times New Roman" w:cs="Times New Roman"/>
          <w:b w:val="0"/>
          <w:bCs w:val="0"/>
          <w:color w:val="3D3D3D"/>
          <w:sz w:val="32"/>
          <w:szCs w:val="32"/>
          <w:shd w:val="clear" w:fill="FFFFFF"/>
        </w:rPr>
        <w:t>3.78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万元，因公出国（境）费</w:t>
      </w:r>
      <w:r>
        <w:rPr>
          <w:rFonts w:hint="default" w:ascii="Times New Roman" w:hAnsi="Times New Roman" w:cs="Times New Roman"/>
          <w:b w:val="0"/>
          <w:bCs w:val="0"/>
          <w:color w:val="3D3D3D"/>
          <w:sz w:val="32"/>
          <w:szCs w:val="32"/>
          <w:shd w:val="clear" w:fill="FFFFFF"/>
        </w:rPr>
        <w:t>0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万元。</w:t>
      </w:r>
      <w:r>
        <w:rPr>
          <w:rFonts w:hint="default" w:ascii="Times New Roman" w:hAnsi="Times New Roman" w:cs="Times New Roman"/>
          <w:b w:val="0"/>
          <w:bCs w:val="0"/>
          <w:color w:val="3D3D3D"/>
          <w:sz w:val="32"/>
          <w:szCs w:val="32"/>
          <w:shd w:val="clear" w:fill="FFFFFF"/>
        </w:rPr>
        <w:t>2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022年“三公”经费预算与上年持平</w:t>
      </w:r>
      <w:r>
        <w:rPr>
          <w:rFonts w:hint="eastAsia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  <w:lang w:eastAsia="zh-CN"/>
        </w:rPr>
        <w:t>，因为厉行节约，严控三公经费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99" w:lineRule="auto"/>
        <w:ind w:left="660" w:right="0"/>
        <w:jc w:val="both"/>
        <w:rPr>
          <w:rFonts w:hint="eastAsia" w:ascii="Times New Roman" w:hAnsi="Times New Roman" w:eastAsia="仿宋_GB2312" w:cs="Times New Roman"/>
          <w:b w:val="0"/>
          <w:bCs w:val="0"/>
          <w:color w:val="3D3D3D"/>
          <w:sz w:val="21"/>
          <w:szCs w:val="21"/>
          <w:lang w:eastAsia="zh-CN"/>
        </w:rPr>
      </w:pP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（二）机关运行经费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96" w:lineRule="auto"/>
        <w:ind w:left="0" w:right="0" w:firstLine="643"/>
        <w:jc w:val="left"/>
        <w:rPr>
          <w:rFonts w:hint="default" w:ascii="Times New Roman" w:hAnsi="Times New Roman" w:cs="Times New Roman"/>
          <w:b w:val="0"/>
          <w:bCs w:val="0"/>
          <w:color w:val="3D3D3D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FF0000"/>
          <w:sz w:val="32"/>
          <w:szCs w:val="32"/>
          <w:shd w:val="clear" w:fill="FFFFFF"/>
        </w:rPr>
        <w:t> 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2022年怀化市人民政府研究室机关运行经费</w:t>
      </w:r>
      <w:r>
        <w:rPr>
          <w:rFonts w:hint="eastAsia" w:ascii="仿宋" w:hAnsi="仿宋" w:eastAsia="仿宋" w:cs="仿宋"/>
          <w:b w:val="0"/>
          <w:bCs w:val="0"/>
          <w:color w:val="3D3D3D"/>
          <w:sz w:val="32"/>
          <w:szCs w:val="32"/>
          <w:shd w:val="clear" w:fill="FFFFFF"/>
        </w:rPr>
        <w:t>42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万元，压减公用经费后安排</w:t>
      </w:r>
      <w:r>
        <w:rPr>
          <w:rFonts w:hint="eastAsia" w:ascii="仿宋" w:hAnsi="仿宋" w:eastAsia="仿宋" w:cs="仿宋"/>
          <w:b w:val="0"/>
          <w:bCs w:val="0"/>
          <w:color w:val="3D3D3D"/>
          <w:sz w:val="32"/>
          <w:szCs w:val="32"/>
          <w:shd w:val="clear" w:fill="FFFFFF"/>
        </w:rPr>
        <w:t>33.6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万元，同口径对比，比上年预算数减少</w:t>
      </w:r>
      <w:r>
        <w:rPr>
          <w:rFonts w:hint="default" w:ascii="Times New Roman" w:hAnsi="Times New Roman" w:eastAsia="仿宋" w:cs="Times New Roman"/>
          <w:b w:val="0"/>
          <w:bCs w:val="0"/>
          <w:color w:val="3D3D3D"/>
          <w:sz w:val="32"/>
          <w:szCs w:val="32"/>
          <w:shd w:val="clear" w:fill="FFFFFF"/>
        </w:rPr>
        <w:t>2.8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万元，下降</w:t>
      </w:r>
      <w:r>
        <w:rPr>
          <w:rFonts w:hint="default" w:ascii="Times New Roman" w:hAnsi="Times New Roman" w:eastAsia="仿宋" w:cs="Times New Roman"/>
          <w:b w:val="0"/>
          <w:bCs w:val="0"/>
          <w:color w:val="3D3D3D"/>
          <w:sz w:val="32"/>
          <w:szCs w:val="32"/>
          <w:shd w:val="clear" w:fill="FFFFFF"/>
        </w:rPr>
        <w:t>7.69%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，主要因为调出</w:t>
      </w:r>
      <w:r>
        <w:rPr>
          <w:rFonts w:hint="default" w:ascii="Times New Roman" w:hAnsi="Times New Roman" w:eastAsia="仿宋" w:cs="Times New Roman"/>
          <w:b w:val="0"/>
          <w:bCs w:val="0"/>
          <w:color w:val="3D3D3D"/>
          <w:sz w:val="32"/>
          <w:szCs w:val="32"/>
          <w:shd w:val="clear" w:fill="FFFFFF"/>
        </w:rPr>
        <w:t>1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人，公用经费减少。主要用于：其他商品和服务支出34.51、工会经费1.64万元、其他交通费0.5万元、福利费6万元、委托业务费1万元、公务接待费1.5万元、办公费3万元、会议费2万元、维修费5万元、劳务费1万元。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99" w:lineRule="auto"/>
        <w:ind w:left="0" w:right="0"/>
        <w:jc w:val="both"/>
        <w:rPr>
          <w:rFonts w:hint="default" w:ascii="Times New Roman" w:hAnsi="Times New Roman" w:cs="Times New Roman"/>
          <w:b w:val="0"/>
          <w:bCs w:val="0"/>
          <w:color w:val="3D3D3D"/>
          <w:sz w:val="21"/>
          <w:szCs w:val="21"/>
        </w:rPr>
      </w:pPr>
      <w:r>
        <w:rPr>
          <w:rFonts w:hint="eastAsia" w:ascii="仿宋" w:hAnsi="仿宋" w:eastAsia="仿宋" w:cs="仿宋"/>
          <w:b w:val="0"/>
          <w:bCs w:val="0"/>
          <w:color w:val="3D3D3D"/>
          <w:sz w:val="32"/>
          <w:szCs w:val="32"/>
          <w:shd w:val="clear" w:fill="FFFFFF"/>
        </w:rPr>
        <w:t>    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（三）政府采购情况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" w:eastAsia="仿宋_GB2312" w:cs="仿宋_GB2312"/>
          <w:b w:val="0"/>
          <w:bCs w:val="0"/>
          <w:color w:val="3D3D3D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" w:eastAsia="仿宋_GB2312" w:cs="仿宋_GB2312"/>
          <w:b w:val="0"/>
          <w:bCs w:val="0"/>
          <w:color w:val="3D3D3D"/>
          <w:kern w:val="0"/>
          <w:sz w:val="32"/>
          <w:szCs w:val="32"/>
          <w:shd w:val="clear" w:fill="FFFFFF"/>
          <w:lang w:val="en-US" w:eastAsia="zh-CN" w:bidi="ar"/>
        </w:rPr>
        <w:t>2022年本部门政府采购预算总额0万元，其中，货物类采购预算0万元；工程类采购预算0万元；服务类采购预算0万元。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99" w:lineRule="auto"/>
        <w:ind w:left="0" w:right="0" w:firstLine="643"/>
        <w:jc w:val="left"/>
        <w:rPr>
          <w:rFonts w:hint="eastAsia" w:ascii="仿宋_GB2312" w:hAnsi="仿宋" w:eastAsia="仿宋_GB2312" w:cs="仿宋_GB2312"/>
          <w:b w:val="0"/>
          <w:bCs w:val="0"/>
          <w:color w:val="3D3D3D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仿宋_GB2312" w:hAnsi="仿宋" w:eastAsia="仿宋_GB2312" w:cs="仿宋_GB2312"/>
          <w:b w:val="0"/>
          <w:bCs w:val="0"/>
          <w:color w:val="3D3D3D"/>
          <w:kern w:val="0"/>
          <w:sz w:val="32"/>
          <w:szCs w:val="32"/>
          <w:shd w:val="clear" w:fill="FFFFFF"/>
          <w:lang w:val="en-US" w:eastAsia="zh-CN" w:bidi="ar"/>
        </w:rPr>
        <w:t>（四）</w:t>
      </w:r>
      <w:r>
        <w:rPr>
          <w:rFonts w:hint="eastAsia" w:ascii="仿宋_GB2312" w:hAnsi="仿宋" w:eastAsia="仿宋_GB2312" w:cs="仿宋_GB2312"/>
          <w:b w:val="0"/>
          <w:bCs w:val="0"/>
          <w:color w:val="3D3D3D"/>
          <w:kern w:val="0"/>
          <w:sz w:val="32"/>
          <w:szCs w:val="32"/>
          <w:shd w:val="clear" w:fill="FFFFFF"/>
          <w:lang w:val="en-US" w:eastAsia="zh-CN" w:bidi="ar"/>
        </w:rPr>
        <w:t>预算绩效目标说明：本部门所有支出实行绩效目标管理。纳入2022年部门整体支出绩效目标的金额为235.92万元，其中，基本支出175.92万元，项目支出60万元，具体绩效目标详见报表。详见附件2022年项目支出绩效目标表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99" w:lineRule="auto"/>
        <w:ind w:left="0" w:right="0" w:firstLine="643"/>
        <w:jc w:val="left"/>
        <w:rPr>
          <w:rFonts w:hint="default" w:ascii="Times New Roman" w:hAnsi="Times New Roman" w:cs="Times New Roman"/>
          <w:b w:val="0"/>
          <w:bCs w:val="0"/>
          <w:color w:val="3D3D3D"/>
          <w:sz w:val="21"/>
          <w:szCs w:val="21"/>
        </w:rPr>
      </w:pP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（五）国有资产占用情况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99" w:lineRule="auto"/>
        <w:ind w:left="0" w:right="0" w:firstLine="640"/>
        <w:jc w:val="left"/>
        <w:rPr>
          <w:rFonts w:hint="default" w:ascii="Times New Roman" w:hAnsi="Times New Roman" w:cs="Times New Roman"/>
          <w:b w:val="0"/>
          <w:bCs w:val="0"/>
          <w:color w:val="3D3D3D"/>
          <w:sz w:val="21"/>
          <w:szCs w:val="21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3D3D3D"/>
          <w:sz w:val="32"/>
          <w:szCs w:val="32"/>
          <w:shd w:val="clear" w:fill="FFFFFF"/>
        </w:rPr>
        <w:t>1.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截至</w:t>
      </w:r>
      <w:r>
        <w:rPr>
          <w:rFonts w:hint="default" w:ascii="Times New Roman" w:hAnsi="Times New Roman" w:eastAsia="仿宋" w:cs="Times New Roman"/>
          <w:b w:val="0"/>
          <w:bCs w:val="0"/>
          <w:color w:val="3D3D3D"/>
          <w:sz w:val="32"/>
          <w:szCs w:val="32"/>
          <w:shd w:val="clear" w:fill="FFFFFF"/>
        </w:rPr>
        <w:t>2021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年</w:t>
      </w:r>
      <w:r>
        <w:rPr>
          <w:rFonts w:hint="default" w:ascii="Times New Roman" w:hAnsi="Times New Roman" w:eastAsia="仿宋" w:cs="Times New Roman"/>
          <w:b w:val="0"/>
          <w:bCs w:val="0"/>
          <w:color w:val="3D3D3D"/>
          <w:sz w:val="32"/>
          <w:szCs w:val="32"/>
          <w:shd w:val="clear" w:fill="FFFFFF"/>
        </w:rPr>
        <w:t>12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月</w:t>
      </w:r>
      <w:r>
        <w:rPr>
          <w:rFonts w:hint="default" w:ascii="Times New Roman" w:hAnsi="Times New Roman" w:eastAsia="仿宋" w:cs="Times New Roman"/>
          <w:b w:val="0"/>
          <w:bCs w:val="0"/>
          <w:color w:val="3D3D3D"/>
          <w:sz w:val="32"/>
          <w:szCs w:val="32"/>
          <w:shd w:val="clear" w:fill="FFFFFF"/>
        </w:rPr>
        <w:t>31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日，本部门共有车辆</w:t>
      </w:r>
      <w:r>
        <w:rPr>
          <w:rFonts w:hint="default" w:ascii="Times New Roman" w:hAnsi="Times New Roman" w:eastAsia="仿宋" w:cs="Times New Roman"/>
          <w:b w:val="0"/>
          <w:bCs w:val="0"/>
          <w:color w:val="3D3D3D"/>
          <w:sz w:val="32"/>
          <w:szCs w:val="32"/>
          <w:shd w:val="clear" w:fill="FFFFFF"/>
        </w:rPr>
        <w:t>1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辆，其中，一般公务用车</w:t>
      </w:r>
      <w:r>
        <w:rPr>
          <w:rFonts w:hint="default" w:ascii="Times New Roman" w:hAnsi="Times New Roman" w:eastAsia="仿宋" w:cs="Times New Roman"/>
          <w:b w:val="0"/>
          <w:bCs w:val="0"/>
          <w:color w:val="3D3D3D"/>
          <w:sz w:val="32"/>
          <w:szCs w:val="32"/>
          <w:shd w:val="clear" w:fill="FFFFFF"/>
        </w:rPr>
        <w:t>1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辆、一般执法执勤用车</w:t>
      </w:r>
      <w:r>
        <w:rPr>
          <w:rFonts w:hint="default" w:ascii="Times New Roman" w:hAnsi="Times New Roman" w:eastAsia="仿宋" w:cs="Times New Roman"/>
          <w:b w:val="0"/>
          <w:bCs w:val="0"/>
          <w:color w:val="3D3D3D"/>
          <w:sz w:val="32"/>
          <w:szCs w:val="32"/>
          <w:shd w:val="clear" w:fill="FFFFFF"/>
        </w:rPr>
        <w:t>0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辆、</w:t>
      </w:r>
      <w:r>
        <w:rPr>
          <w:rFonts w:hint="default" w:ascii="仿宋_GB2312" w:hAnsi="Times New Roman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特种专业技术用车</w:t>
      </w:r>
      <w:r>
        <w:rPr>
          <w:rFonts w:hint="default" w:ascii="Times New Roman" w:hAnsi="Times New Roman" w:eastAsia="仿宋" w:cs="Times New Roman"/>
          <w:b w:val="0"/>
          <w:bCs w:val="0"/>
          <w:color w:val="3D3D3D"/>
          <w:sz w:val="32"/>
          <w:szCs w:val="32"/>
          <w:shd w:val="clear" w:fill="FFFFFF"/>
        </w:rPr>
        <w:t>0</w:t>
      </w:r>
      <w:r>
        <w:rPr>
          <w:rFonts w:hint="default" w:ascii="仿宋_GB2312" w:hAnsi="Times New Roman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辆、其他用车</w:t>
      </w:r>
      <w:r>
        <w:rPr>
          <w:rFonts w:hint="default" w:ascii="Times New Roman" w:hAnsi="Times New Roman" w:eastAsia="仿宋" w:cs="Times New Roman"/>
          <w:b w:val="0"/>
          <w:bCs w:val="0"/>
          <w:color w:val="3D3D3D"/>
          <w:sz w:val="32"/>
          <w:szCs w:val="32"/>
          <w:shd w:val="clear" w:fill="FFFFFF"/>
        </w:rPr>
        <w:t>0</w:t>
      </w:r>
      <w:r>
        <w:rPr>
          <w:rFonts w:hint="default" w:ascii="仿宋_GB2312" w:hAnsi="Times New Roman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辆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。</w:t>
      </w:r>
      <w:r>
        <w:rPr>
          <w:rFonts w:hint="default" w:ascii="仿宋_GB2312" w:hAnsi="Times New Roman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单位价值</w:t>
      </w:r>
      <w:r>
        <w:rPr>
          <w:rFonts w:hint="default" w:ascii="Times New Roman" w:hAnsi="Times New Roman" w:cs="Times New Roman"/>
          <w:b w:val="0"/>
          <w:bCs w:val="0"/>
          <w:color w:val="3D3D3D"/>
          <w:sz w:val="32"/>
          <w:szCs w:val="32"/>
          <w:shd w:val="clear" w:fill="FFFFFF"/>
        </w:rPr>
        <w:t>50</w:t>
      </w:r>
      <w:r>
        <w:rPr>
          <w:rFonts w:hint="default" w:ascii="仿宋_GB2312" w:hAnsi="Times New Roman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万元以上通用设备</w:t>
      </w:r>
      <w:r>
        <w:rPr>
          <w:rFonts w:hint="default" w:ascii="Times New Roman" w:hAnsi="Times New Roman" w:eastAsia="仿宋" w:cs="Times New Roman"/>
          <w:b w:val="0"/>
          <w:bCs w:val="0"/>
          <w:color w:val="3D3D3D"/>
          <w:sz w:val="32"/>
          <w:szCs w:val="32"/>
          <w:shd w:val="clear" w:fill="FFFFFF"/>
        </w:rPr>
        <w:t>0</w:t>
      </w:r>
      <w:r>
        <w:rPr>
          <w:rFonts w:hint="default" w:ascii="仿宋_GB2312" w:hAnsi="Times New Roman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台（套），单价</w:t>
      </w:r>
      <w:r>
        <w:rPr>
          <w:rFonts w:hint="default" w:ascii="Times New Roman" w:hAnsi="Times New Roman" w:cs="Times New Roman"/>
          <w:b w:val="0"/>
          <w:bCs w:val="0"/>
          <w:color w:val="3D3D3D"/>
          <w:sz w:val="32"/>
          <w:szCs w:val="32"/>
          <w:shd w:val="clear" w:fill="FFFFFF"/>
        </w:rPr>
        <w:t>100</w:t>
      </w:r>
      <w:r>
        <w:rPr>
          <w:rFonts w:hint="default" w:ascii="仿宋_GB2312" w:hAnsi="Times New Roman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万元以上专用设备</w:t>
      </w:r>
      <w:r>
        <w:rPr>
          <w:rFonts w:hint="default" w:ascii="Times New Roman" w:hAnsi="Times New Roman" w:eastAsia="仿宋" w:cs="Times New Roman"/>
          <w:b w:val="0"/>
          <w:bCs w:val="0"/>
          <w:color w:val="3D3D3D"/>
          <w:sz w:val="32"/>
          <w:szCs w:val="32"/>
          <w:shd w:val="clear" w:fill="FFFFFF"/>
        </w:rPr>
        <w:t>0</w:t>
      </w:r>
      <w:r>
        <w:rPr>
          <w:rFonts w:hint="default" w:ascii="仿宋_GB2312" w:hAnsi="Times New Roman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台（套）。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99" w:lineRule="auto"/>
        <w:ind w:left="0" w:right="0" w:firstLine="640"/>
        <w:jc w:val="left"/>
        <w:rPr>
          <w:rFonts w:hint="default" w:ascii="Times New Roman" w:hAnsi="Times New Roman" w:cs="Times New Roman"/>
          <w:b w:val="0"/>
          <w:bCs w:val="0"/>
          <w:color w:val="3D3D3D"/>
          <w:sz w:val="21"/>
          <w:szCs w:val="21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3D3D3D"/>
          <w:sz w:val="32"/>
          <w:szCs w:val="32"/>
          <w:shd w:val="clear" w:fill="FFFFFF"/>
        </w:rPr>
        <w:t>2.2022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年，本部门无新增车辆，无新增</w:t>
      </w:r>
      <w:r>
        <w:rPr>
          <w:rFonts w:hint="default" w:ascii="Times New Roman" w:hAnsi="Times New Roman" w:eastAsia="仿宋" w:cs="Times New Roman"/>
          <w:b w:val="0"/>
          <w:bCs w:val="0"/>
          <w:color w:val="3D3D3D"/>
          <w:sz w:val="32"/>
          <w:szCs w:val="32"/>
          <w:shd w:val="clear" w:fill="FFFFFF"/>
        </w:rPr>
        <w:t>50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万元以上的通用设备和专用设备预算。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99" w:lineRule="auto"/>
        <w:ind w:left="0" w:right="0" w:firstLine="643"/>
        <w:jc w:val="left"/>
        <w:rPr>
          <w:rFonts w:hint="default" w:ascii="Times New Roman" w:hAnsi="Times New Roman" w:cs="Times New Roman"/>
          <w:b w:val="0"/>
          <w:bCs w:val="0"/>
          <w:color w:val="3D3D3D"/>
          <w:sz w:val="21"/>
          <w:szCs w:val="21"/>
        </w:rPr>
      </w:pPr>
      <w:r>
        <w:rPr>
          <w:rFonts w:hint="eastAsia" w:ascii="仿宋" w:hAnsi="仿宋" w:eastAsia="仿宋" w:cs="仿宋"/>
          <w:b w:val="0"/>
          <w:bCs w:val="0"/>
          <w:color w:val="3D3D3D"/>
          <w:sz w:val="32"/>
          <w:szCs w:val="32"/>
          <w:shd w:val="clear" w:fill="FFFFFF"/>
        </w:rPr>
        <w:t>（六）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一般性支出情况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96" w:lineRule="auto"/>
        <w:ind w:left="0" w:right="0" w:firstLine="640"/>
        <w:jc w:val="left"/>
        <w:rPr>
          <w:rFonts w:hint="default" w:ascii="Times New Roman" w:hAnsi="Times New Roman" w:cs="Times New Roman"/>
          <w:b w:val="0"/>
          <w:bCs w:val="0"/>
          <w:color w:val="3D3D3D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color w:val="3D3D3D"/>
          <w:sz w:val="32"/>
          <w:szCs w:val="32"/>
          <w:shd w:val="clear" w:fill="FFFFFF"/>
        </w:rPr>
        <w:t>1.202</w:t>
      </w:r>
      <w:r>
        <w:rPr>
          <w:rFonts w:hint="default" w:ascii="Times New Roman" w:hAnsi="Times New Roman" w:eastAsia="仿宋" w:cs="Times New Roman"/>
          <w:b w:val="0"/>
          <w:bCs w:val="0"/>
          <w:color w:val="3D3D3D"/>
          <w:sz w:val="32"/>
          <w:szCs w:val="32"/>
          <w:shd w:val="clear" w:fill="FFFFFF"/>
        </w:rPr>
        <w:t>2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年，本部门会议费预算2万元，具体为全市政府系统经济研究工作人员座谈会，预计人数65人，预算2万元。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96" w:lineRule="auto"/>
        <w:ind w:left="0" w:right="0" w:firstLine="640"/>
        <w:jc w:val="left"/>
        <w:rPr>
          <w:rFonts w:hint="default" w:ascii="Times New Roman" w:hAnsi="Times New Roman" w:cs="Times New Roman"/>
          <w:b w:val="0"/>
          <w:bCs w:val="0"/>
          <w:color w:val="3D3D3D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color w:val="3D3D3D"/>
          <w:sz w:val="32"/>
          <w:szCs w:val="32"/>
          <w:shd w:val="clear" w:fill="FFFFFF"/>
        </w:rPr>
        <w:t>2.202</w:t>
      </w:r>
      <w:r>
        <w:rPr>
          <w:rFonts w:hint="default" w:ascii="Times New Roman" w:hAnsi="Times New Roman" w:eastAsia="仿宋" w:cs="Times New Roman"/>
          <w:b w:val="0"/>
          <w:bCs w:val="0"/>
          <w:color w:val="3D3D3D"/>
          <w:sz w:val="32"/>
          <w:szCs w:val="32"/>
          <w:shd w:val="clear" w:fill="FFFFFF"/>
        </w:rPr>
        <w:t>2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年，本部门培训费预算</w:t>
      </w:r>
      <w:r>
        <w:rPr>
          <w:rFonts w:hint="default" w:ascii="Times New Roman" w:hAnsi="Times New Roman" w:cs="Times New Roman"/>
          <w:b w:val="0"/>
          <w:bCs w:val="0"/>
          <w:color w:val="3D3D3D"/>
          <w:sz w:val="32"/>
          <w:szCs w:val="32"/>
          <w:shd w:val="clear" w:fill="FFFFFF"/>
        </w:rPr>
        <w:t>2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万元，具体为：全市政府系统经济研究工作人员培训，预计人数</w:t>
      </w:r>
      <w:r>
        <w:rPr>
          <w:rFonts w:hint="default" w:ascii="Times New Roman" w:hAnsi="Times New Roman" w:cs="Times New Roman"/>
          <w:b w:val="0"/>
          <w:bCs w:val="0"/>
          <w:color w:val="3D3D3D"/>
          <w:sz w:val="32"/>
          <w:szCs w:val="32"/>
          <w:shd w:val="clear" w:fill="FFFFFF"/>
        </w:rPr>
        <w:t>65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人，预算</w:t>
      </w:r>
      <w:r>
        <w:rPr>
          <w:rFonts w:hint="default" w:ascii="Times New Roman" w:hAnsi="Times New Roman" w:cs="Times New Roman"/>
          <w:b w:val="0"/>
          <w:bCs w:val="0"/>
          <w:color w:val="3D3D3D"/>
          <w:sz w:val="32"/>
          <w:szCs w:val="32"/>
          <w:shd w:val="clear" w:fill="FFFFFF"/>
        </w:rPr>
        <w:t>2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万元。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96" w:lineRule="auto"/>
        <w:ind w:left="0" w:right="0" w:firstLine="640"/>
        <w:jc w:val="left"/>
        <w:rPr>
          <w:rFonts w:hint="default" w:ascii="Times New Roman" w:hAnsi="Times New Roman" w:cs="Times New Roman"/>
          <w:b w:val="0"/>
          <w:bCs w:val="0"/>
          <w:color w:val="3D3D3D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color w:val="3D3D3D"/>
          <w:sz w:val="32"/>
          <w:szCs w:val="32"/>
          <w:shd w:val="clear" w:fill="FFFFFF"/>
        </w:rPr>
        <w:t>3.202</w:t>
      </w:r>
      <w:r>
        <w:rPr>
          <w:rFonts w:hint="default" w:ascii="Times New Roman" w:hAnsi="Times New Roman" w:eastAsia="仿宋" w:cs="Times New Roman"/>
          <w:b w:val="0"/>
          <w:bCs w:val="0"/>
          <w:color w:val="3D3D3D"/>
          <w:sz w:val="32"/>
          <w:szCs w:val="32"/>
          <w:shd w:val="clear" w:fill="FFFFFF"/>
        </w:rPr>
        <w:t>2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年本部门无举办节庆、晚会、论坛、赛事等预算。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99" w:lineRule="auto"/>
        <w:ind w:left="0" w:right="0" w:firstLine="640"/>
        <w:jc w:val="left"/>
        <w:rPr>
          <w:rFonts w:hint="default" w:ascii="Times New Roman" w:hAnsi="Times New Roman" w:cs="Times New Roman"/>
          <w:b w:val="0"/>
          <w:bCs w:val="0"/>
          <w:color w:val="3D3D3D"/>
          <w:sz w:val="21"/>
          <w:szCs w:val="21"/>
        </w:rPr>
      </w:pPr>
      <w:r>
        <w:rPr>
          <w:rFonts w:hint="eastAsia" w:ascii="黑体" w:hAnsi="宋体" w:eastAsia="黑体" w:cs="黑体"/>
          <w:b w:val="0"/>
          <w:bCs w:val="0"/>
          <w:color w:val="3D3D3D"/>
          <w:sz w:val="32"/>
          <w:szCs w:val="32"/>
          <w:shd w:val="clear" w:fill="FFFFFF"/>
        </w:rPr>
        <w:t>七、专业名词解释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99" w:lineRule="auto"/>
        <w:ind w:left="0" w:right="0" w:firstLine="643"/>
        <w:jc w:val="left"/>
        <w:rPr>
          <w:rFonts w:hint="default" w:ascii="Times New Roman" w:hAnsi="Times New Roman" w:cs="Times New Roman"/>
          <w:b w:val="0"/>
          <w:bCs w:val="0"/>
          <w:color w:val="3D3D3D"/>
          <w:sz w:val="21"/>
          <w:szCs w:val="21"/>
        </w:rPr>
      </w:pPr>
      <w:r>
        <w:rPr>
          <w:rFonts w:ascii="楷体_GB2312" w:hAnsi="楷体" w:eastAsia="楷体_GB2312" w:cs="楷体_GB2312"/>
          <w:b w:val="0"/>
          <w:bCs w:val="0"/>
          <w:color w:val="3D3D3D"/>
          <w:sz w:val="32"/>
          <w:szCs w:val="32"/>
          <w:shd w:val="clear" w:fill="FFFFFF"/>
        </w:rPr>
        <w:t>1.机关运行经费：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为保障行政单位（包括参照公务员法管理的事业单位）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99" w:lineRule="auto"/>
        <w:ind w:left="0" w:right="0" w:firstLine="643"/>
        <w:jc w:val="left"/>
        <w:rPr>
          <w:rFonts w:hint="default" w:ascii="Times New Roman" w:hAnsi="Times New Roman" w:cs="Times New Roman"/>
          <w:b w:val="0"/>
          <w:bCs w:val="0"/>
          <w:color w:val="3D3D3D"/>
          <w:sz w:val="21"/>
          <w:szCs w:val="21"/>
        </w:rPr>
      </w:pPr>
      <w:r>
        <w:rPr>
          <w:rFonts w:hint="default" w:ascii="楷体_GB2312" w:hAnsi="楷体" w:eastAsia="楷体_GB2312" w:cs="楷体_GB2312"/>
          <w:b w:val="0"/>
          <w:bCs w:val="0"/>
          <w:color w:val="3D3D3D"/>
          <w:sz w:val="32"/>
          <w:szCs w:val="32"/>
          <w:shd w:val="clear" w:fill="FFFFFF"/>
        </w:rPr>
        <w:t>2.“三公”经费：</w:t>
      </w:r>
      <w:r>
        <w:rPr>
          <w:rFonts w:hint="default" w:ascii="仿宋_GB2312" w:hAnsi="仿宋" w:eastAsia="仿宋_GB2312" w:cs="仿宋_GB2312"/>
          <w:b w:val="0"/>
          <w:bCs w:val="0"/>
          <w:color w:val="3D3D3D"/>
          <w:sz w:val="32"/>
          <w:szCs w:val="32"/>
          <w:shd w:val="clear" w:fill="FFFFFF"/>
        </w:rPr>
        <w:t>纳入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p>
      <w:pPr>
        <w:rPr>
          <w:b w:val="0"/>
          <w:bCs w:val="0"/>
        </w:rPr>
      </w:pPr>
    </w:p>
    <w:p>
      <w:pPr>
        <w:rPr>
          <w:b w:val="0"/>
          <w:bCs w:val="0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880" w:firstLineChars="200"/>
        <w:jc w:val="center"/>
        <w:textAlignment w:val="auto"/>
        <w:rPr>
          <w:rFonts w:hint="eastAsia" w:ascii="黑体" w:hAnsi="黑体" w:eastAsia="黑体" w:cs="黑体"/>
          <w:b w:val="0"/>
          <w:bCs w:val="0"/>
          <w:kern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44"/>
          <w:szCs w:val="44"/>
        </w:rPr>
        <w:t>202</w:t>
      </w:r>
      <w:r>
        <w:rPr>
          <w:rFonts w:hint="eastAsia" w:ascii="黑体" w:hAnsi="黑体" w:eastAsia="黑体" w:cs="黑体"/>
          <w:b w:val="0"/>
          <w:bCs w:val="0"/>
          <w:kern w:val="0"/>
          <w:sz w:val="44"/>
          <w:szCs w:val="44"/>
          <w:lang w:val="en-US" w:eastAsia="zh-CN"/>
        </w:rPr>
        <w:t>2</w:t>
      </w:r>
      <w:r>
        <w:rPr>
          <w:rFonts w:hint="eastAsia" w:ascii="黑体" w:hAnsi="黑体" w:eastAsia="黑体" w:cs="黑体"/>
          <w:b w:val="0"/>
          <w:bCs w:val="0"/>
          <w:kern w:val="0"/>
          <w:sz w:val="44"/>
          <w:szCs w:val="44"/>
        </w:rPr>
        <w:t>年部门预算表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center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见附件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eastAsia="zh-CN"/>
        </w:rPr>
        <w:t>）</w:t>
      </w:r>
    </w:p>
    <w:p>
      <w:pPr>
        <w:rPr>
          <w:b w:val="0"/>
          <w:bCs w:val="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A0957C"/>
    <w:multiLevelType w:val="singleLevel"/>
    <w:tmpl w:val="19A0957C"/>
    <w:lvl w:ilvl="0" w:tentative="0">
      <w:start w:val="1"/>
      <w:numFmt w:val="chineseCounting"/>
      <w:suff w:val="space"/>
      <w:lvlText w:val="第%1部分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4MjM4OGRjMjA1YmIwNDg3YWY0MmMwNWU4YTAwYjIifQ=="/>
  </w:docVars>
  <w:rsids>
    <w:rsidRoot w:val="301228B8"/>
    <w:rsid w:val="14374B24"/>
    <w:rsid w:val="158716A3"/>
    <w:rsid w:val="183D0B4A"/>
    <w:rsid w:val="20353445"/>
    <w:rsid w:val="301228B8"/>
    <w:rsid w:val="39683F37"/>
    <w:rsid w:val="3E726C4E"/>
    <w:rsid w:val="42BC00DB"/>
    <w:rsid w:val="43CC2A7B"/>
    <w:rsid w:val="50245B70"/>
    <w:rsid w:val="551F7E74"/>
    <w:rsid w:val="6F44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qFormat/>
    <w:uiPriority w:val="0"/>
    <w:rPr>
      <w:color w:val="333333"/>
      <w:u w:val="none"/>
    </w:rPr>
  </w:style>
  <w:style w:type="character" w:styleId="7">
    <w:name w:val="Emphasis"/>
    <w:basedOn w:val="5"/>
    <w:qFormat/>
    <w:uiPriority w:val="0"/>
  </w:style>
  <w:style w:type="character" w:styleId="8">
    <w:name w:val="HTML Definition"/>
    <w:basedOn w:val="5"/>
    <w:qFormat/>
    <w:uiPriority w:val="0"/>
  </w:style>
  <w:style w:type="character" w:styleId="9">
    <w:name w:val="HTML Acronym"/>
    <w:basedOn w:val="5"/>
    <w:qFormat/>
    <w:uiPriority w:val="0"/>
  </w:style>
  <w:style w:type="character" w:styleId="10">
    <w:name w:val="HTML Variable"/>
    <w:basedOn w:val="5"/>
    <w:qFormat/>
    <w:uiPriority w:val="0"/>
  </w:style>
  <w:style w:type="character" w:styleId="11">
    <w:name w:val="Hyperlink"/>
    <w:basedOn w:val="5"/>
    <w:qFormat/>
    <w:uiPriority w:val="0"/>
    <w:rPr>
      <w:color w:val="333333"/>
      <w:u w:val="none"/>
    </w:rPr>
  </w:style>
  <w:style w:type="character" w:styleId="12">
    <w:name w:val="HTML Code"/>
    <w:basedOn w:val="5"/>
    <w:qFormat/>
    <w:uiPriority w:val="0"/>
    <w:rPr>
      <w:rFonts w:ascii="Courier New" w:hAnsi="Courier New"/>
      <w:sz w:val="20"/>
    </w:rPr>
  </w:style>
  <w:style w:type="character" w:styleId="13">
    <w:name w:val="HTML Cite"/>
    <w:basedOn w:val="5"/>
    <w:qFormat/>
    <w:uiPriority w:val="0"/>
  </w:style>
  <w:style w:type="character" w:customStyle="1" w:styleId="14">
    <w:name w:val="hover8"/>
    <w:basedOn w:val="5"/>
    <w:qFormat/>
    <w:uiPriority w:val="0"/>
  </w:style>
  <w:style w:type="character" w:customStyle="1" w:styleId="15">
    <w:name w:val="last-child"/>
    <w:basedOn w:val="5"/>
    <w:qFormat/>
    <w:uiPriority w:val="0"/>
    <w:rPr>
      <w:color w:val="257CB7"/>
    </w:rPr>
  </w:style>
  <w:style w:type="character" w:customStyle="1" w:styleId="16">
    <w:name w:val="docinfo_title"/>
    <w:basedOn w:val="5"/>
    <w:qFormat/>
    <w:uiPriority w:val="0"/>
    <w:rPr>
      <w:b/>
      <w:bCs/>
    </w:rPr>
  </w:style>
  <w:style w:type="character" w:customStyle="1" w:styleId="17">
    <w:name w:val="hover6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2564</Words>
  <Characters>2829</Characters>
  <Lines>0</Lines>
  <Paragraphs>0</Paragraphs>
  <TotalTime>73</TotalTime>
  <ScaleCrop>false</ScaleCrop>
  <LinksUpToDate>false</LinksUpToDate>
  <CharactersWithSpaces>2832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2023-09-04T07:53:00Z</dcterms:created>
  <dc:creator>Administrator</dc:creator>
  <cp:lastModifiedBy>非鱼</cp:lastModifiedBy>
  <dcterms:modified xsi:type="dcterms:W3CDTF">2023-10-12T02:53:21Z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A8F403BAFC734A13BFE61BD97F242FE7_11</vt:lpwstr>
  </property>
</Properties>
</file>