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topLinePunct w:val="0"/>
        <w:autoSpaceDE/>
        <w:autoSpaceDN/>
        <w:bidi w:val="0"/>
        <w:spacing w:line="600" w:lineRule="exact"/>
        <w:jc w:val="center"/>
        <w:rPr>
          <w:rFonts w:hint="eastAsia" w:ascii="方正小标宋简体" w:hAnsi="方正小标宋简体" w:eastAsia="方正小标宋简体" w:cs="方正小标宋简体"/>
          <w:b w:val="0"/>
          <w:bCs/>
          <w:spacing w:val="-2"/>
          <w:sz w:val="44"/>
          <w:szCs w:val="56"/>
          <w:lang w:val="en-US" w:eastAsia="zh-CN"/>
        </w:rPr>
      </w:pPr>
    </w:p>
    <w:p>
      <w:pPr>
        <w:keepNext w:val="0"/>
        <w:keepLines w:val="0"/>
        <w:pageBreakBefore w:val="0"/>
        <w:widowControl/>
        <w:shd w:val="clear" w:color="auto" w:fill="FFFFFF"/>
        <w:kinsoku/>
        <w:wordWrap/>
        <w:topLinePunct w:val="0"/>
        <w:autoSpaceDE/>
        <w:autoSpaceDN/>
        <w:bidi w:val="0"/>
        <w:spacing w:line="600" w:lineRule="exact"/>
        <w:jc w:val="center"/>
        <w:rPr>
          <w:rFonts w:hint="eastAsia" w:ascii="方正小标宋简体" w:hAnsi="方正小标宋简体" w:eastAsia="方正小标宋简体" w:cs="方正小标宋简体"/>
          <w:b w:val="0"/>
          <w:bCs/>
          <w:spacing w:val="-2"/>
          <w:sz w:val="44"/>
          <w:szCs w:val="56"/>
          <w:lang w:val="en-US" w:eastAsia="zh-CN"/>
        </w:rPr>
      </w:pPr>
      <w:r>
        <w:rPr>
          <w:rFonts w:hint="eastAsia" w:ascii="方正小标宋简体" w:hAnsi="方正小标宋简体" w:eastAsia="方正小标宋简体" w:cs="方正小标宋简体"/>
          <w:b w:val="0"/>
          <w:bCs/>
          <w:spacing w:val="-2"/>
          <w:sz w:val="44"/>
          <w:szCs w:val="56"/>
          <w:lang w:val="en-US" w:eastAsia="zh-CN"/>
        </w:rPr>
        <w:t>怀化市人民政府研究室</w:t>
      </w:r>
    </w:p>
    <w:p>
      <w:pPr>
        <w:keepNext w:val="0"/>
        <w:keepLines w:val="0"/>
        <w:pageBreakBefore w:val="0"/>
        <w:widowControl/>
        <w:shd w:val="clear" w:color="auto" w:fill="FFFFFF"/>
        <w:kinsoku/>
        <w:wordWrap/>
        <w:topLinePunct w:val="0"/>
        <w:autoSpaceDE/>
        <w:autoSpaceDN/>
        <w:bidi w:val="0"/>
        <w:spacing w:line="600" w:lineRule="exact"/>
        <w:jc w:val="center"/>
        <w:rPr>
          <w:rFonts w:hint="eastAsia" w:ascii="方正小标宋简体" w:hAnsi="方正小标宋简体" w:eastAsia="方正小标宋简体" w:cs="方正小标宋简体"/>
          <w:b w:val="0"/>
          <w:bCs/>
          <w:spacing w:val="-2"/>
          <w:sz w:val="44"/>
          <w:szCs w:val="56"/>
        </w:rPr>
      </w:pPr>
      <w:r>
        <w:rPr>
          <w:rFonts w:hint="eastAsia" w:ascii="方正小标宋简体" w:hAnsi="方正小标宋简体" w:eastAsia="方正小标宋简体" w:cs="方正小标宋简体"/>
          <w:b w:val="0"/>
          <w:bCs/>
          <w:spacing w:val="-2"/>
          <w:sz w:val="44"/>
          <w:szCs w:val="56"/>
        </w:rPr>
        <w:t>部门整体支出绩效评价报告</w:t>
      </w:r>
    </w:p>
    <w:p>
      <w:pPr>
        <w:keepNext w:val="0"/>
        <w:keepLines w:val="0"/>
        <w:pageBreakBefore w:val="0"/>
        <w:widowControl/>
        <w:shd w:val="clear" w:color="auto" w:fill="FFFFFF"/>
        <w:kinsoku/>
        <w:wordWrap/>
        <w:topLinePunct w:val="0"/>
        <w:autoSpaceDE/>
        <w:autoSpaceDN/>
        <w:bidi w:val="0"/>
        <w:spacing w:line="600" w:lineRule="exact"/>
        <w:jc w:val="center"/>
        <w:rPr>
          <w:rFonts w:hint="eastAsia" w:eastAsia="仿宋_GB2312"/>
          <w:b/>
          <w:spacing w:val="-2"/>
          <w:sz w:val="40"/>
          <w:szCs w:val="52"/>
        </w:rPr>
      </w:pP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黑体" w:hAnsi="黑体" w:eastAsia="黑体" w:cs="黑体"/>
          <w:b w:val="0"/>
          <w:bCs/>
          <w:spacing w:val="-2"/>
          <w:sz w:val="32"/>
          <w:szCs w:val="21"/>
        </w:rPr>
      </w:pPr>
      <w:r>
        <w:rPr>
          <w:rFonts w:hint="eastAsia" w:ascii="黑体" w:hAnsi="黑体" w:eastAsia="黑体" w:cs="黑体"/>
          <w:b w:val="0"/>
          <w:bCs/>
          <w:spacing w:val="-2"/>
          <w:sz w:val="32"/>
          <w:szCs w:val="32"/>
        </w:rPr>
        <w:t>一、部门概况</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（一）部门基本情况</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1、在职人员情况</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我</w:t>
      </w:r>
      <w:r>
        <w:rPr>
          <w:rFonts w:hint="eastAsia" w:ascii="Times New Roman" w:hAnsi="Times New Roman" w:eastAsia="仿宋_GB2312" w:cs="仿宋_GB2312"/>
          <w:spacing w:val="-2"/>
          <w:sz w:val="32"/>
          <w:szCs w:val="32"/>
          <w:lang w:val="en-US" w:eastAsia="zh-CN"/>
        </w:rPr>
        <w:t>单位</w:t>
      </w:r>
      <w:r>
        <w:rPr>
          <w:rFonts w:hint="eastAsia" w:ascii="Times New Roman" w:hAnsi="Times New Roman" w:eastAsia="仿宋_GB2312" w:cs="仿宋_GB2312"/>
          <w:spacing w:val="-2"/>
          <w:sz w:val="32"/>
          <w:szCs w:val="32"/>
        </w:rPr>
        <w:t>2021年人员编制数</w:t>
      </w:r>
      <w:bookmarkStart w:id="2" w:name="_GoBack"/>
      <w:bookmarkEnd w:id="2"/>
      <w:r>
        <w:rPr>
          <w:rFonts w:hint="eastAsia" w:ascii="Times New Roman" w:hAnsi="Times New Roman" w:eastAsia="仿宋_GB2312" w:cs="仿宋_GB2312"/>
          <w:spacing w:val="-2"/>
          <w:sz w:val="32"/>
          <w:szCs w:val="32"/>
          <w:lang w:val="en-US" w:eastAsia="zh-CN"/>
        </w:rPr>
        <w:t>13</w:t>
      </w:r>
      <w:r>
        <w:rPr>
          <w:rFonts w:hint="eastAsia" w:ascii="Times New Roman" w:hAnsi="Times New Roman" w:eastAsia="仿宋_GB2312" w:cs="仿宋_GB2312"/>
          <w:spacing w:val="-2"/>
          <w:sz w:val="32"/>
          <w:szCs w:val="32"/>
        </w:rPr>
        <w:t>人</w:t>
      </w:r>
      <w:r>
        <w:rPr>
          <w:rFonts w:hint="eastAsia" w:ascii="Times New Roman" w:hAnsi="Times New Roman" w:eastAsia="仿宋_GB2312" w:cs="仿宋_GB2312"/>
          <w:spacing w:val="-2"/>
          <w:sz w:val="32"/>
          <w:szCs w:val="32"/>
          <w:lang w:eastAsia="zh-CN"/>
        </w:rPr>
        <w:t>，</w:t>
      </w:r>
      <w:r>
        <w:rPr>
          <w:rFonts w:hint="eastAsia" w:ascii="Times New Roman" w:hAnsi="Times New Roman" w:eastAsia="仿宋_GB2312" w:cs="仿宋_GB2312"/>
          <w:spacing w:val="-2"/>
          <w:sz w:val="32"/>
          <w:szCs w:val="32"/>
          <w:lang w:val="en-US" w:eastAsia="zh-CN"/>
        </w:rPr>
        <w:t>年末在职在编人员12人</w:t>
      </w:r>
      <w:r>
        <w:rPr>
          <w:rFonts w:hint="eastAsia" w:ascii="Times New Roman" w:hAnsi="Times New Roman" w:eastAsia="仿宋_GB2312" w:cs="仿宋_GB2312"/>
          <w:spacing w:val="-2"/>
          <w:sz w:val="32"/>
          <w:szCs w:val="32"/>
        </w:rPr>
        <w:t>。</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2、机构设置</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eastAsia="zh-CN"/>
        </w:rPr>
      </w:pPr>
      <w:r>
        <w:rPr>
          <w:rFonts w:hint="eastAsia" w:ascii="Times New Roman" w:hAnsi="Times New Roman" w:eastAsia="仿宋_GB2312" w:cs="仿宋_GB2312"/>
          <w:spacing w:val="-2"/>
          <w:sz w:val="32"/>
          <w:szCs w:val="32"/>
        </w:rPr>
        <w:t>怀化市人民政府研究室作为一级部门预算单位，内设科室为：办公室、综合调研一科、综合调研二科、综合调研三科</w:t>
      </w:r>
      <w:r>
        <w:rPr>
          <w:rFonts w:hint="eastAsia" w:ascii="Times New Roman" w:hAnsi="Times New Roman" w:eastAsia="仿宋_GB2312" w:cs="仿宋_GB2312"/>
          <w:spacing w:val="-2"/>
          <w:sz w:val="32"/>
          <w:szCs w:val="32"/>
          <w:lang w:eastAsia="zh-CN"/>
        </w:rPr>
        <w:t>。</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3、部门职能</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（1）负责《政府工作报告》和市政府主要领导同志重要讲话、报告、文章的起草及有关新闻稿的审定。</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（2）负责起草市政府向省委省政府的重要汇报材料；组织和协同有关方面起草、修改市政府的有关重要综合性文件；参与起草市委、市政府有关重要会议的文件。</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（3）负责牵头组织涉及全市经济建设、社会发展和改革开放等战略性、全局性、综合性重大问题的调查研究，及时综合归纳，提出供市政府决策的参考方案和政策性建议。</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（4）负责对市内外经济形势和社会发展政策进行分析和研究，提出政策建议；收集、分析、整理和报送经济社会发展的重要信息、动态，为市政府决策提供参考建议。</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（5）负责市政府主要领导联络服务工作。</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（6）负责组织全市政府系统经济研究工作人员的培训与业务交流。</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（7）负责组织专家对全市经济社会发展的重大问题、重大决策、重大项目进行研究论证、提供咨询服务。</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（8）承办市委、市政府交办的其他事项。</w:t>
      </w:r>
    </w:p>
    <w:p>
      <w:pPr>
        <w:keepNext w:val="0"/>
        <w:keepLines w:val="0"/>
        <w:pageBreakBefore w:val="0"/>
        <w:widowControl/>
        <w:numPr>
          <w:ilvl w:val="0"/>
          <w:numId w:val="1"/>
        </w:numPr>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kern w:val="2"/>
          <w:sz w:val="32"/>
          <w:szCs w:val="32"/>
          <w:lang w:val="en-US" w:eastAsia="zh-CN" w:bidi="ar-SA"/>
        </w:rPr>
      </w:pPr>
      <w:r>
        <w:rPr>
          <w:rFonts w:hint="eastAsia" w:ascii="Times New Roman" w:hAnsi="Times New Roman" w:eastAsia="仿宋_GB2312" w:cs="仿宋_GB2312"/>
          <w:spacing w:val="-2"/>
          <w:sz w:val="32"/>
          <w:szCs w:val="32"/>
          <w:lang w:val="en-US" w:eastAsia="zh-CN"/>
        </w:rPr>
        <w:t>主要任务</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（1）旗帜鲜明讲政治，坚定捍卫“两个确立”。坚持把讲政治融入我室工作的全过程、各环节，切实提高政治判断力、政治领悟力、政治执行力。</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（2）突出重点强主业，切实提升参政设谋水平。积极克服人少事多的困难，不分昼夜，加班加点，较好完成以文辅政的任务。</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（3）严格对标抓党建，不断加强机关自身建设。坚持党建工作和业务工作同谋划、同部署、同落实，努力打造一支政治坚定、作风过硬、纪律严明队伍。</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spacing w:val="-2"/>
          <w:sz w:val="32"/>
          <w:szCs w:val="32"/>
          <w:lang w:eastAsia="zh-CN"/>
        </w:rPr>
      </w:pPr>
      <w:r>
        <w:rPr>
          <w:rFonts w:hint="eastAsia" w:ascii="楷体_GB2312" w:hAnsi="楷体_GB2312" w:eastAsia="楷体_GB2312" w:cs="楷体_GB2312"/>
          <w:spacing w:val="-2"/>
          <w:sz w:val="32"/>
          <w:szCs w:val="32"/>
          <w:lang w:eastAsia="zh-CN"/>
        </w:rPr>
        <w:t>（二）</w:t>
      </w:r>
      <w:r>
        <w:rPr>
          <w:rFonts w:hint="eastAsia" w:ascii="楷体_GB2312" w:hAnsi="楷体_GB2312" w:eastAsia="楷体_GB2312" w:cs="楷体_GB2312"/>
          <w:spacing w:val="-2"/>
          <w:sz w:val="32"/>
          <w:szCs w:val="32"/>
        </w:rPr>
        <w:t>部门整体支出</w:t>
      </w:r>
      <w:r>
        <w:rPr>
          <w:rFonts w:hint="eastAsia" w:ascii="楷体_GB2312" w:hAnsi="楷体_GB2312" w:eastAsia="楷体_GB2312" w:cs="楷体_GB2312"/>
          <w:spacing w:val="-2"/>
          <w:sz w:val="32"/>
          <w:szCs w:val="32"/>
          <w:lang w:eastAsia="zh-CN"/>
        </w:rPr>
        <w:t>情况</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lang w:val="en-US" w:eastAsia="zh-CN"/>
        </w:rPr>
        <w:t>1、</w:t>
      </w:r>
      <w:r>
        <w:rPr>
          <w:rFonts w:hint="eastAsia" w:ascii="Times New Roman" w:hAnsi="Times New Roman" w:eastAsia="仿宋_GB2312" w:cs="仿宋_GB2312"/>
          <w:spacing w:val="-2"/>
          <w:sz w:val="32"/>
          <w:szCs w:val="32"/>
        </w:rPr>
        <w:t>收入预算，2021年年初预算数213.62万元，其中，一般公共预算拨款213.62万元。收入较去年增加25.73万元，主要原因是因公开遴选、人员调入等原因增加了4名工作人员。</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lang w:val="en-US" w:eastAsia="zh-CN"/>
        </w:rPr>
        <w:t>2、</w:t>
      </w:r>
      <w:r>
        <w:rPr>
          <w:rFonts w:hint="eastAsia" w:ascii="Times New Roman" w:hAnsi="Times New Roman" w:eastAsia="仿宋_GB2312" w:cs="仿宋_GB2312"/>
          <w:spacing w:val="-2"/>
          <w:sz w:val="32"/>
          <w:szCs w:val="32"/>
        </w:rPr>
        <w:t>支出预算，</w:t>
      </w:r>
      <w:r>
        <w:rPr>
          <w:rFonts w:hint="eastAsia" w:ascii="Times New Roman" w:hAnsi="Times New Roman" w:eastAsia="仿宋_GB2312" w:cs="仿宋_GB2312"/>
          <w:spacing w:val="-2"/>
          <w:sz w:val="32"/>
          <w:szCs w:val="32"/>
          <w:lang w:val="en-US" w:eastAsia="zh-CN"/>
        </w:rPr>
        <w:t>2</w:t>
      </w:r>
      <w:r>
        <w:rPr>
          <w:rFonts w:hint="eastAsia" w:ascii="Times New Roman" w:hAnsi="Times New Roman" w:eastAsia="仿宋_GB2312" w:cs="仿宋_GB2312"/>
          <w:spacing w:val="-2"/>
          <w:sz w:val="32"/>
          <w:szCs w:val="32"/>
        </w:rPr>
        <w:t>021年年初预算数213.62万元，其中工资福利支出99.84万元，商品和服务支出99.85万元，对个人和家庭的补助10.93万元，资本性支出3</w:t>
      </w:r>
      <w:r>
        <w:rPr>
          <w:rFonts w:hint="eastAsia" w:ascii="Times New Roman" w:hAnsi="Times New Roman" w:eastAsia="仿宋_GB2312" w:cs="仿宋_GB2312"/>
          <w:spacing w:val="-2"/>
          <w:sz w:val="32"/>
          <w:szCs w:val="32"/>
          <w:lang w:val="en-US" w:eastAsia="zh-CN"/>
        </w:rPr>
        <w:t>.00</w:t>
      </w:r>
      <w:r>
        <w:rPr>
          <w:rFonts w:hint="eastAsia" w:ascii="Times New Roman" w:hAnsi="Times New Roman" w:eastAsia="仿宋_GB2312" w:cs="仿宋_GB2312"/>
          <w:spacing w:val="-2"/>
          <w:sz w:val="32"/>
          <w:szCs w:val="32"/>
        </w:rPr>
        <w:t>万元。支出较去年减少增加25.73万元，主要原因是工作人员增加，工资福利支出增加。</w:t>
      </w:r>
    </w:p>
    <w:p>
      <w:pPr>
        <w:keepNext w:val="0"/>
        <w:keepLines w:val="0"/>
        <w:pageBreakBefore w:val="0"/>
        <w:widowControl/>
        <w:shd w:val="clear" w:color="auto" w:fill="FFFFFF"/>
        <w:kinsoku/>
        <w:wordWrap/>
        <w:topLinePunct w:val="0"/>
        <w:autoSpaceDE/>
        <w:autoSpaceDN/>
        <w:bidi w:val="0"/>
        <w:spacing w:line="600" w:lineRule="exact"/>
        <w:ind w:firstLine="640"/>
        <w:rPr>
          <w:rFonts w:hint="default"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3、支出决算，2021年决算支出数261.38万元，其中，一般公共服务支出215.27万元、科学技术支出3.00万元、社会保障和就业支出35.55万元、卫生健康支出7.55万元。</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黑体" w:hAnsi="黑体" w:eastAsia="黑体" w:cs="黑体"/>
          <w:b w:val="0"/>
          <w:bCs/>
          <w:spacing w:val="-2"/>
          <w:sz w:val="32"/>
          <w:szCs w:val="21"/>
        </w:rPr>
      </w:pPr>
      <w:r>
        <w:rPr>
          <w:rFonts w:hint="eastAsia" w:ascii="黑体" w:hAnsi="黑体" w:eastAsia="黑体" w:cs="黑体"/>
          <w:b w:val="0"/>
          <w:bCs/>
          <w:spacing w:val="-2"/>
          <w:sz w:val="32"/>
          <w:szCs w:val="32"/>
        </w:rPr>
        <w:t>二、部门整体支出管理及使用情况</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（一）基本支出</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1．基本支出总体情况</w:t>
      </w:r>
    </w:p>
    <w:p>
      <w:pPr>
        <w:keepNext w:val="0"/>
        <w:keepLines w:val="0"/>
        <w:pageBreakBefore w:val="0"/>
        <w:widowControl/>
        <w:shd w:val="clear" w:color="auto" w:fill="FFFFFF"/>
        <w:kinsoku/>
        <w:wordWrap/>
        <w:topLinePunct w:val="0"/>
        <w:autoSpaceDE/>
        <w:autoSpaceDN/>
        <w:bidi w:val="0"/>
        <w:spacing w:line="600" w:lineRule="exact"/>
        <w:ind w:firstLine="640"/>
        <w:rPr>
          <w:rFonts w:hint="default"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rPr>
        <w:t>202</w:t>
      </w:r>
      <w:r>
        <w:rPr>
          <w:rFonts w:hint="eastAsia" w:ascii="Times New Roman" w:hAnsi="Times New Roman" w:eastAsia="仿宋_GB2312" w:cs="仿宋_GB2312"/>
          <w:spacing w:val="-2"/>
          <w:sz w:val="32"/>
          <w:szCs w:val="32"/>
          <w:lang w:val="en-US" w:eastAsia="zh-CN"/>
        </w:rPr>
        <w:t>1</w:t>
      </w:r>
      <w:r>
        <w:rPr>
          <w:rFonts w:hint="eastAsia" w:ascii="Times New Roman" w:hAnsi="Times New Roman" w:eastAsia="仿宋_GB2312" w:cs="仿宋_GB2312"/>
          <w:spacing w:val="-2"/>
          <w:sz w:val="32"/>
          <w:szCs w:val="32"/>
        </w:rPr>
        <w:t>年部门预算总收入</w:t>
      </w:r>
      <w:r>
        <w:rPr>
          <w:rFonts w:hint="eastAsia" w:ascii="Times New Roman" w:hAnsi="Times New Roman" w:eastAsia="仿宋_GB2312" w:cs="仿宋_GB2312"/>
          <w:spacing w:val="-2"/>
          <w:sz w:val="32"/>
          <w:szCs w:val="32"/>
          <w:lang w:val="en-US" w:eastAsia="zh-CN"/>
        </w:rPr>
        <w:t>153.62</w:t>
      </w:r>
      <w:r>
        <w:rPr>
          <w:rFonts w:hint="eastAsia" w:ascii="Times New Roman" w:hAnsi="Times New Roman" w:eastAsia="仿宋_GB2312" w:cs="仿宋_GB2312"/>
          <w:spacing w:val="-2"/>
          <w:sz w:val="32"/>
          <w:szCs w:val="32"/>
        </w:rPr>
        <w:t>万元，</w:t>
      </w:r>
      <w:r>
        <w:rPr>
          <w:rFonts w:hint="eastAsia" w:ascii="Times New Roman" w:hAnsi="Times New Roman" w:eastAsia="仿宋_GB2312" w:cs="仿宋_GB2312"/>
          <w:spacing w:val="-2"/>
          <w:sz w:val="32"/>
          <w:szCs w:val="32"/>
          <w:lang w:val="en-US" w:eastAsia="zh-CN"/>
        </w:rPr>
        <w:t>均为</w:t>
      </w:r>
      <w:r>
        <w:rPr>
          <w:rFonts w:hint="eastAsia" w:ascii="Times New Roman" w:hAnsi="Times New Roman" w:eastAsia="仿宋_GB2312" w:cs="仿宋_GB2312"/>
          <w:spacing w:val="-2"/>
          <w:sz w:val="32"/>
          <w:szCs w:val="32"/>
        </w:rPr>
        <w:t>一般公共预算拨款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1</w:t>
      </w:r>
      <w:r>
        <w:rPr>
          <w:rFonts w:eastAsia="仿宋_GB2312"/>
          <w:sz w:val="32"/>
          <w:szCs w:val="32"/>
        </w:rPr>
        <w:t>年部门决算</w:t>
      </w:r>
      <w:r>
        <w:rPr>
          <w:rFonts w:ascii="Times New Roman" w:hAnsi="Times New Roman" w:eastAsia="仿宋_GB2312" w:cs="Times New Roman"/>
          <w:sz w:val="32"/>
          <w:szCs w:val="32"/>
        </w:rPr>
        <w:t>总</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lang w:val="en-US" w:eastAsia="zh-CN"/>
        </w:rPr>
        <w:t>205.00</w:t>
      </w:r>
      <w:r>
        <w:rPr>
          <w:rFonts w:ascii="Times New Roman" w:hAnsi="Times New Roman" w:eastAsia="仿宋_GB2312" w:cs="Times New Roman"/>
          <w:sz w:val="32"/>
          <w:szCs w:val="32"/>
        </w:rPr>
        <w:t>万元，</w:t>
      </w:r>
      <w:r>
        <w:rPr>
          <w:rFonts w:hint="eastAsia" w:ascii="Times New Roman" w:hAnsi="Times New Roman" w:eastAsia="仿宋_GB2312" w:cs="仿宋_GB2312"/>
          <w:spacing w:val="-2"/>
          <w:sz w:val="32"/>
          <w:szCs w:val="32"/>
          <w:lang w:val="en-US" w:eastAsia="zh-CN"/>
        </w:rPr>
        <w:t>均为</w:t>
      </w:r>
      <w:r>
        <w:rPr>
          <w:rFonts w:hint="eastAsia" w:ascii="Times New Roman" w:hAnsi="Times New Roman" w:eastAsia="仿宋_GB2312" w:cs="仿宋_GB2312"/>
          <w:spacing w:val="-2"/>
          <w:sz w:val="32"/>
          <w:szCs w:val="32"/>
        </w:rPr>
        <w:t>一般公共预算拨款</w:t>
      </w:r>
      <w:r>
        <w:rPr>
          <w:rFonts w:hint="eastAsia" w:ascii="Times New Roman" w:hAnsi="Times New Roman" w:eastAsia="仿宋_GB2312" w:cs="Times New Roman"/>
          <w:sz w:val="32"/>
          <w:szCs w:val="32"/>
          <w:lang w:val="en-US" w:eastAsia="zh-CN"/>
        </w:rPr>
        <w:t>。</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2021年部门决算总支出</w:t>
      </w:r>
      <w:r>
        <w:rPr>
          <w:rFonts w:hint="eastAsia" w:ascii="Times New Roman" w:hAnsi="Times New Roman" w:eastAsia="仿宋_GB2312" w:cs="Times New Roman"/>
          <w:sz w:val="32"/>
          <w:szCs w:val="32"/>
          <w:lang w:val="en-US" w:eastAsia="zh-CN"/>
        </w:rPr>
        <w:t>205.00</w:t>
      </w:r>
      <w:r>
        <w:rPr>
          <w:rFonts w:hint="eastAsia" w:ascii="Times New Roman" w:hAnsi="Times New Roman" w:eastAsia="仿宋_GB2312" w:cs="仿宋_GB2312"/>
          <w:spacing w:val="-2"/>
          <w:sz w:val="32"/>
          <w:szCs w:val="32"/>
          <w:lang w:val="en-US" w:eastAsia="zh-CN"/>
        </w:rPr>
        <w:t>万元，其中：</w:t>
      </w:r>
      <w:r>
        <w:rPr>
          <w:rFonts w:hint="eastAsia"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157.24万元、公用经费47.77万元</w:t>
      </w:r>
      <w:r>
        <w:rPr>
          <w:rFonts w:hint="eastAsia" w:ascii="Times New Roman" w:hAnsi="Times New Roman" w:eastAsia="仿宋_GB2312" w:cs="仿宋_GB2312"/>
          <w:spacing w:val="-2"/>
          <w:sz w:val="32"/>
          <w:szCs w:val="32"/>
          <w:lang w:val="en-US" w:eastAsia="zh-CN"/>
        </w:rPr>
        <w:t>。</w:t>
      </w:r>
    </w:p>
    <w:p>
      <w:pPr>
        <w:pStyle w:val="8"/>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“三公经费”支出使用和管理情况</w:t>
      </w:r>
    </w:p>
    <w:p>
      <w:pPr>
        <w:pStyle w:val="8"/>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（1）20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年“三公经费支出情况”</w:t>
      </w:r>
    </w:p>
    <w:p>
      <w:pPr>
        <w:pStyle w:val="8"/>
        <w:keepNext w:val="0"/>
        <w:keepLines w:val="0"/>
        <w:pageBreakBefore w:val="0"/>
        <w:widowControl/>
        <w:kinsoku/>
        <w:wordWrap/>
        <w:topLinePunct w:val="0"/>
        <w:autoSpaceDE/>
        <w:autoSpaceDN/>
        <w:bidi w:val="0"/>
        <w:spacing w:line="600" w:lineRule="exact"/>
        <w:ind w:left="210" w:leftChars="100" w:firstLine="420"/>
        <w:jc w:val="right"/>
        <w:rPr>
          <w:rFonts w:ascii="Times New Roman" w:hAnsi="Times New Roman"/>
          <w:szCs w:val="21"/>
        </w:rPr>
      </w:pPr>
      <w:r>
        <w:rPr>
          <w:rFonts w:ascii="Times New Roman" w:hAnsi="Times New Roman"/>
          <w:szCs w:val="21"/>
        </w:rPr>
        <w:t>单位：万元</w:t>
      </w:r>
    </w:p>
    <w:tbl>
      <w:tblPr>
        <w:tblStyle w:val="6"/>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2083"/>
        <w:gridCol w:w="2083"/>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keepNext w:val="0"/>
              <w:keepLines w:val="0"/>
              <w:pageBreakBefore w:val="0"/>
              <w:kinsoku/>
              <w:wordWrap/>
              <w:topLinePunct w:val="0"/>
              <w:autoSpaceDE/>
              <w:autoSpaceDN/>
              <w:bidi w:val="0"/>
              <w:spacing w:line="600" w:lineRule="exact"/>
              <w:ind w:firstLine="422" w:firstLineChars="200"/>
              <w:jc w:val="center"/>
              <w:rPr>
                <w:b/>
                <w:szCs w:val="21"/>
              </w:rPr>
            </w:pPr>
            <w:r>
              <w:rPr>
                <w:b/>
                <w:szCs w:val="21"/>
              </w:rPr>
              <w:t>费用项目</w:t>
            </w:r>
          </w:p>
        </w:tc>
        <w:tc>
          <w:tcPr>
            <w:tcW w:w="2083" w:type="dxa"/>
            <w:noWrap w:val="0"/>
            <w:vAlign w:val="center"/>
          </w:tcPr>
          <w:p>
            <w:pPr>
              <w:keepNext w:val="0"/>
              <w:keepLines w:val="0"/>
              <w:pageBreakBefore w:val="0"/>
              <w:kinsoku/>
              <w:wordWrap/>
              <w:topLinePunct w:val="0"/>
              <w:autoSpaceDE/>
              <w:autoSpaceDN/>
              <w:bidi w:val="0"/>
              <w:spacing w:line="600" w:lineRule="exact"/>
              <w:jc w:val="center"/>
              <w:rPr>
                <w:b/>
                <w:szCs w:val="21"/>
              </w:rPr>
            </w:pPr>
            <w:r>
              <w:rPr>
                <w:b/>
                <w:szCs w:val="21"/>
              </w:rPr>
              <w:t>本年预算金额</w:t>
            </w:r>
          </w:p>
        </w:tc>
        <w:tc>
          <w:tcPr>
            <w:tcW w:w="2083" w:type="dxa"/>
            <w:noWrap w:val="0"/>
            <w:vAlign w:val="center"/>
          </w:tcPr>
          <w:p>
            <w:pPr>
              <w:keepNext w:val="0"/>
              <w:keepLines w:val="0"/>
              <w:pageBreakBefore w:val="0"/>
              <w:kinsoku/>
              <w:wordWrap/>
              <w:topLinePunct w:val="0"/>
              <w:autoSpaceDE/>
              <w:autoSpaceDN/>
              <w:bidi w:val="0"/>
              <w:spacing w:line="600" w:lineRule="exact"/>
              <w:jc w:val="center"/>
              <w:rPr>
                <w:b/>
                <w:szCs w:val="21"/>
              </w:rPr>
            </w:pPr>
            <w:r>
              <w:rPr>
                <w:b/>
                <w:szCs w:val="21"/>
              </w:rPr>
              <w:t>本年决算金额</w:t>
            </w:r>
          </w:p>
        </w:tc>
        <w:tc>
          <w:tcPr>
            <w:tcW w:w="2083" w:type="dxa"/>
            <w:noWrap w:val="0"/>
            <w:vAlign w:val="center"/>
          </w:tcPr>
          <w:p>
            <w:pPr>
              <w:keepNext w:val="0"/>
              <w:keepLines w:val="0"/>
              <w:pageBreakBefore w:val="0"/>
              <w:kinsoku/>
              <w:wordWrap/>
              <w:topLinePunct w:val="0"/>
              <w:autoSpaceDE/>
              <w:autoSpaceDN/>
              <w:bidi w:val="0"/>
              <w:spacing w:line="600" w:lineRule="exact"/>
              <w:jc w:val="center"/>
              <w:rPr>
                <w:b/>
                <w:szCs w:val="21"/>
              </w:rPr>
            </w:pPr>
            <w:r>
              <w:rPr>
                <w:b/>
                <w:szCs w:val="21"/>
              </w:rPr>
              <w:t>结余“-”/超支“+”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keepNext w:val="0"/>
              <w:keepLines w:val="0"/>
              <w:pageBreakBefore w:val="0"/>
              <w:kinsoku/>
              <w:wordWrap/>
              <w:topLinePunct w:val="0"/>
              <w:autoSpaceDE/>
              <w:autoSpaceDN/>
              <w:bidi w:val="0"/>
              <w:spacing w:line="600" w:lineRule="exact"/>
              <w:rPr>
                <w:szCs w:val="21"/>
              </w:rPr>
            </w:pPr>
            <w:r>
              <w:rPr>
                <w:szCs w:val="21"/>
              </w:rPr>
              <w:t>公务接待费</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6.30</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eastAsia="宋体"/>
                <w:szCs w:val="21"/>
                <w:lang w:val="en-US" w:eastAsia="zh-CN"/>
              </w:rPr>
              <w:t>0.37</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eastAsia="宋体"/>
                <w:szCs w:val="21"/>
                <w:lang w:val="en-US" w:eastAsia="zh-CN"/>
              </w:rPr>
              <w:t>-5.93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keepNext w:val="0"/>
              <w:keepLines w:val="0"/>
              <w:pageBreakBefore w:val="0"/>
              <w:kinsoku/>
              <w:wordWrap/>
              <w:topLinePunct w:val="0"/>
              <w:autoSpaceDE/>
              <w:autoSpaceDN/>
              <w:bidi w:val="0"/>
              <w:spacing w:line="600" w:lineRule="exact"/>
              <w:ind w:firstLine="422" w:firstLineChars="200"/>
              <w:jc w:val="center"/>
              <w:rPr>
                <w:b/>
                <w:szCs w:val="21"/>
              </w:rPr>
            </w:pPr>
            <w:r>
              <w:rPr>
                <w:b/>
                <w:szCs w:val="21"/>
              </w:rPr>
              <w:t>费用项目</w:t>
            </w:r>
          </w:p>
        </w:tc>
        <w:tc>
          <w:tcPr>
            <w:tcW w:w="2083" w:type="dxa"/>
            <w:noWrap w:val="0"/>
            <w:vAlign w:val="center"/>
          </w:tcPr>
          <w:p>
            <w:pPr>
              <w:keepNext w:val="0"/>
              <w:keepLines w:val="0"/>
              <w:pageBreakBefore w:val="0"/>
              <w:kinsoku/>
              <w:wordWrap/>
              <w:topLinePunct w:val="0"/>
              <w:autoSpaceDE/>
              <w:autoSpaceDN/>
              <w:bidi w:val="0"/>
              <w:spacing w:line="600" w:lineRule="exact"/>
              <w:jc w:val="center"/>
              <w:rPr>
                <w:b/>
                <w:szCs w:val="21"/>
              </w:rPr>
            </w:pPr>
            <w:r>
              <w:rPr>
                <w:b/>
                <w:szCs w:val="21"/>
              </w:rPr>
              <w:t>本年预算金额</w:t>
            </w:r>
          </w:p>
        </w:tc>
        <w:tc>
          <w:tcPr>
            <w:tcW w:w="2083" w:type="dxa"/>
            <w:noWrap w:val="0"/>
            <w:vAlign w:val="center"/>
          </w:tcPr>
          <w:p>
            <w:pPr>
              <w:keepNext w:val="0"/>
              <w:keepLines w:val="0"/>
              <w:pageBreakBefore w:val="0"/>
              <w:kinsoku/>
              <w:wordWrap/>
              <w:topLinePunct w:val="0"/>
              <w:autoSpaceDE/>
              <w:autoSpaceDN/>
              <w:bidi w:val="0"/>
              <w:spacing w:line="600" w:lineRule="exact"/>
              <w:jc w:val="center"/>
              <w:rPr>
                <w:b/>
                <w:szCs w:val="21"/>
              </w:rPr>
            </w:pPr>
            <w:r>
              <w:rPr>
                <w:b/>
                <w:szCs w:val="21"/>
              </w:rPr>
              <w:t>本年决算金额</w:t>
            </w:r>
          </w:p>
        </w:tc>
        <w:tc>
          <w:tcPr>
            <w:tcW w:w="2083" w:type="dxa"/>
            <w:noWrap w:val="0"/>
            <w:vAlign w:val="center"/>
          </w:tcPr>
          <w:p>
            <w:pPr>
              <w:keepNext w:val="0"/>
              <w:keepLines w:val="0"/>
              <w:pageBreakBefore w:val="0"/>
              <w:kinsoku/>
              <w:wordWrap/>
              <w:topLinePunct w:val="0"/>
              <w:autoSpaceDE/>
              <w:autoSpaceDN/>
              <w:bidi w:val="0"/>
              <w:spacing w:line="600" w:lineRule="exact"/>
              <w:jc w:val="center"/>
              <w:rPr>
                <w:b/>
                <w:szCs w:val="21"/>
              </w:rPr>
            </w:pPr>
            <w:r>
              <w:rPr>
                <w:b/>
                <w:szCs w:val="21"/>
              </w:rPr>
              <w:t>结余“-”/超支“+”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szCs w:val="21"/>
              </w:rPr>
            </w:pPr>
            <w:r>
              <w:rPr>
                <w:rFonts w:hint="eastAsia"/>
                <w:szCs w:val="21"/>
              </w:rPr>
              <w:t>公务用车购置及运行维护费</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3.78</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1.43</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eastAsia="宋体"/>
                <w:szCs w:val="21"/>
                <w:lang w:val="en-US" w:eastAsia="zh-CN"/>
              </w:rPr>
              <w:t>-2.35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keepNext w:val="0"/>
              <w:keepLines w:val="0"/>
              <w:pageBreakBefore w:val="0"/>
              <w:kinsoku/>
              <w:wordWrap/>
              <w:topLinePunct w:val="0"/>
              <w:autoSpaceDE/>
              <w:autoSpaceDN/>
              <w:bidi w:val="0"/>
              <w:spacing w:line="600" w:lineRule="exact"/>
              <w:rPr>
                <w:szCs w:val="21"/>
              </w:rPr>
            </w:pPr>
            <w:r>
              <w:rPr>
                <w:szCs w:val="21"/>
              </w:rPr>
              <w:t>因公出国费用</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0.00</w:t>
            </w:r>
          </w:p>
        </w:tc>
        <w:tc>
          <w:tcPr>
            <w:tcW w:w="2083" w:type="dxa"/>
            <w:noWrap w:val="0"/>
            <w:vAlign w:val="center"/>
          </w:tcPr>
          <w:p>
            <w:pPr>
              <w:keepNext w:val="0"/>
              <w:keepLines w:val="0"/>
              <w:pageBreakBefore w:val="0"/>
              <w:kinsoku/>
              <w:wordWrap/>
              <w:topLinePunct w:val="0"/>
              <w:autoSpaceDE/>
              <w:autoSpaceDN/>
              <w:bidi w:val="0"/>
              <w:spacing w:line="600" w:lineRule="exact"/>
              <w:jc w:val="right"/>
              <w:rPr>
                <w:szCs w:val="21"/>
              </w:rPr>
            </w:pPr>
            <w:r>
              <w:rPr>
                <w:rFonts w:hint="eastAsia"/>
                <w:szCs w:val="21"/>
                <w:lang w:val="en-US" w:eastAsia="zh-CN"/>
              </w:rPr>
              <w:t>0.00</w:t>
            </w:r>
          </w:p>
        </w:tc>
        <w:tc>
          <w:tcPr>
            <w:tcW w:w="2083" w:type="dxa"/>
            <w:noWrap w:val="0"/>
            <w:vAlign w:val="center"/>
          </w:tcPr>
          <w:p>
            <w:pPr>
              <w:keepNext w:val="0"/>
              <w:keepLines w:val="0"/>
              <w:pageBreakBefore w:val="0"/>
              <w:kinsoku/>
              <w:wordWrap/>
              <w:topLinePunct w:val="0"/>
              <w:autoSpaceDE/>
              <w:autoSpaceDN/>
              <w:bidi w:val="0"/>
              <w:spacing w:line="600" w:lineRule="exact"/>
              <w:jc w:val="right"/>
              <w:rPr>
                <w:szCs w:val="21"/>
              </w:rPr>
            </w:pPr>
            <w:r>
              <w:rPr>
                <w:rFonts w:hint="eastAsia"/>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pPr>
              <w:keepNext w:val="0"/>
              <w:keepLines w:val="0"/>
              <w:pageBreakBefore w:val="0"/>
              <w:kinsoku/>
              <w:wordWrap/>
              <w:topLinePunct w:val="0"/>
              <w:autoSpaceDE/>
              <w:autoSpaceDN/>
              <w:bidi w:val="0"/>
              <w:spacing w:line="600" w:lineRule="exact"/>
              <w:ind w:firstLine="422" w:firstLineChars="200"/>
              <w:jc w:val="center"/>
              <w:rPr>
                <w:b/>
                <w:szCs w:val="21"/>
              </w:rPr>
            </w:pPr>
            <w:r>
              <w:rPr>
                <w:b/>
                <w:szCs w:val="21"/>
              </w:rPr>
              <w:t>合计</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eastAsia="宋体"/>
                <w:b/>
                <w:szCs w:val="21"/>
                <w:lang w:val="en-US" w:eastAsia="zh-CN"/>
              </w:rPr>
            </w:pPr>
            <w:r>
              <w:rPr>
                <w:rFonts w:hint="eastAsia"/>
                <w:b/>
                <w:szCs w:val="21"/>
                <w:lang w:val="en-US" w:eastAsia="zh-CN"/>
              </w:rPr>
              <w:t>10.08</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1.80</w:t>
            </w:r>
          </w:p>
        </w:tc>
        <w:tc>
          <w:tcPr>
            <w:tcW w:w="2083" w:type="dxa"/>
            <w:noWrap w:val="0"/>
            <w:vAlign w:val="center"/>
          </w:tcPr>
          <w:p>
            <w:pPr>
              <w:keepNext w:val="0"/>
              <w:keepLines w:val="0"/>
              <w:pageBreakBefore w:val="0"/>
              <w:kinsoku/>
              <w:wordWrap/>
              <w:topLinePunct w:val="0"/>
              <w:autoSpaceDE/>
              <w:autoSpaceDN/>
              <w:bidi w:val="0"/>
              <w:spacing w:line="600" w:lineRule="exact"/>
              <w:jc w:val="right"/>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-8.28</w:t>
            </w:r>
          </w:p>
        </w:tc>
      </w:tr>
    </w:tbl>
    <w:p>
      <w:pPr>
        <w:pStyle w:val="8"/>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从上表分析，20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年三公经费预算支出</w:t>
      </w:r>
      <w:r>
        <w:rPr>
          <w:rFonts w:hint="eastAsia" w:ascii="Times New Roman" w:hAnsi="Times New Roman" w:eastAsia="仿宋_GB2312"/>
          <w:sz w:val="32"/>
          <w:szCs w:val="32"/>
          <w:lang w:val="en-US" w:eastAsia="zh-CN"/>
        </w:rPr>
        <w:t>10.08</w:t>
      </w:r>
      <w:r>
        <w:rPr>
          <w:rFonts w:ascii="Times New Roman" w:hAnsi="Times New Roman" w:eastAsia="仿宋_GB2312"/>
          <w:sz w:val="32"/>
          <w:szCs w:val="32"/>
        </w:rPr>
        <w:t>万元，决算支出</w:t>
      </w:r>
      <w:r>
        <w:rPr>
          <w:rFonts w:hint="eastAsia" w:ascii="Times New Roman" w:hAnsi="Times New Roman" w:eastAsia="仿宋_GB2312"/>
          <w:sz w:val="32"/>
          <w:szCs w:val="32"/>
          <w:lang w:val="en-US" w:eastAsia="zh-CN"/>
        </w:rPr>
        <w:t>1.80</w:t>
      </w:r>
      <w:r>
        <w:rPr>
          <w:rFonts w:ascii="Times New Roman" w:hAnsi="Times New Roman" w:eastAsia="仿宋_GB2312"/>
          <w:sz w:val="32"/>
          <w:szCs w:val="32"/>
        </w:rPr>
        <w:t>万元，结余</w:t>
      </w:r>
      <w:r>
        <w:rPr>
          <w:rFonts w:hint="eastAsia" w:ascii="Times New Roman" w:hAnsi="Times New Roman" w:eastAsia="仿宋_GB2312"/>
          <w:sz w:val="32"/>
          <w:szCs w:val="32"/>
          <w:lang w:val="en-US" w:eastAsia="zh-CN"/>
        </w:rPr>
        <w:t>8.28</w:t>
      </w:r>
      <w:r>
        <w:rPr>
          <w:rFonts w:ascii="Times New Roman" w:hAnsi="Times New Roman" w:eastAsia="仿宋_GB2312"/>
          <w:sz w:val="32"/>
          <w:szCs w:val="32"/>
        </w:rPr>
        <w:t>万元，三公经费总额控制在预算范围内。</w:t>
      </w:r>
    </w:p>
    <w:p>
      <w:pPr>
        <w:pStyle w:val="8"/>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highlight w:val="yellow"/>
        </w:rPr>
      </w:pPr>
      <w:r>
        <w:rPr>
          <w:rFonts w:ascii="Times New Roman" w:hAnsi="Times New Roman" w:eastAsia="仿宋_GB2312"/>
          <w:sz w:val="32"/>
          <w:szCs w:val="32"/>
        </w:rPr>
        <w:t>从三公经费的支出明细项目分析，公务接待费支出</w:t>
      </w:r>
      <w:r>
        <w:rPr>
          <w:rFonts w:hint="eastAsia" w:ascii="Times New Roman" w:hAnsi="Times New Roman" w:eastAsia="仿宋_GB2312"/>
          <w:sz w:val="32"/>
          <w:szCs w:val="32"/>
          <w:lang w:val="en-US" w:eastAsia="zh-CN"/>
        </w:rPr>
        <w:t>0.37</w:t>
      </w:r>
      <w:r>
        <w:rPr>
          <w:rFonts w:ascii="Times New Roman" w:hAnsi="Times New Roman" w:eastAsia="仿宋_GB2312"/>
          <w:sz w:val="32"/>
          <w:szCs w:val="32"/>
        </w:rPr>
        <w:t>万元，结余</w:t>
      </w:r>
      <w:r>
        <w:rPr>
          <w:rFonts w:hint="eastAsia" w:ascii="Times New Roman" w:hAnsi="Times New Roman" w:eastAsia="仿宋_GB2312"/>
          <w:sz w:val="32"/>
          <w:szCs w:val="32"/>
          <w:lang w:val="en-US" w:eastAsia="zh-CN"/>
        </w:rPr>
        <w:t>5.93</w:t>
      </w:r>
      <w:r>
        <w:rPr>
          <w:rFonts w:ascii="Times New Roman" w:hAnsi="Times New Roman" w:eastAsia="仿宋_GB2312"/>
          <w:sz w:val="32"/>
          <w:szCs w:val="32"/>
        </w:rPr>
        <w:t>万元；</w:t>
      </w:r>
      <w:r>
        <w:rPr>
          <w:rFonts w:hint="eastAsia" w:ascii="Times New Roman" w:hAnsi="Times New Roman" w:eastAsia="仿宋_GB2312"/>
          <w:sz w:val="32"/>
          <w:szCs w:val="32"/>
        </w:rPr>
        <w:t>公务用车购置及运行维护费</w:t>
      </w:r>
      <w:r>
        <w:rPr>
          <w:rFonts w:ascii="Times New Roman" w:hAnsi="Times New Roman" w:eastAsia="仿宋_GB2312"/>
          <w:sz w:val="32"/>
          <w:szCs w:val="32"/>
        </w:rPr>
        <w:t>支出</w:t>
      </w:r>
      <w:r>
        <w:rPr>
          <w:rFonts w:hint="eastAsia" w:ascii="Times New Roman" w:hAnsi="Times New Roman" w:eastAsia="仿宋_GB2312"/>
          <w:sz w:val="32"/>
          <w:szCs w:val="32"/>
          <w:lang w:val="en-US" w:eastAsia="zh-CN"/>
        </w:rPr>
        <w:t>1.43</w:t>
      </w:r>
      <w:r>
        <w:rPr>
          <w:rFonts w:ascii="Times New Roman" w:hAnsi="Times New Roman" w:eastAsia="仿宋_GB2312"/>
          <w:sz w:val="32"/>
          <w:szCs w:val="32"/>
        </w:rPr>
        <w:t>万元，结余</w:t>
      </w:r>
      <w:r>
        <w:rPr>
          <w:rFonts w:hint="eastAsia" w:ascii="Times New Roman" w:hAnsi="Times New Roman" w:eastAsia="仿宋_GB2312"/>
          <w:sz w:val="32"/>
          <w:szCs w:val="32"/>
          <w:lang w:val="en-US" w:eastAsia="zh-CN"/>
        </w:rPr>
        <w:t>2.35</w:t>
      </w:r>
      <w:r>
        <w:rPr>
          <w:rFonts w:ascii="Times New Roman" w:hAnsi="Times New Roman" w:eastAsia="仿宋_GB2312"/>
          <w:sz w:val="32"/>
          <w:szCs w:val="32"/>
        </w:rPr>
        <w:t>万元；因公出国费用支出</w:t>
      </w:r>
      <w:r>
        <w:rPr>
          <w:rFonts w:hint="eastAsia" w:ascii="Times New Roman" w:hAnsi="Times New Roman" w:eastAsia="仿宋_GB2312"/>
          <w:sz w:val="32"/>
          <w:szCs w:val="32"/>
          <w:lang w:val="en-US" w:eastAsia="zh-CN"/>
        </w:rPr>
        <w:t>0.00</w:t>
      </w:r>
      <w:r>
        <w:rPr>
          <w:rFonts w:ascii="Times New Roman" w:hAnsi="Times New Roman" w:eastAsia="仿宋_GB2312"/>
          <w:sz w:val="32"/>
          <w:szCs w:val="32"/>
        </w:rPr>
        <w:t>万元，</w:t>
      </w:r>
      <w:r>
        <w:rPr>
          <w:rFonts w:hint="eastAsia" w:ascii="Times New Roman" w:hAnsi="Times New Roman" w:eastAsia="仿宋_GB2312"/>
          <w:sz w:val="32"/>
          <w:szCs w:val="32"/>
        </w:rPr>
        <w:t>未超支结余，</w:t>
      </w:r>
      <w:r>
        <w:rPr>
          <w:rFonts w:ascii="Times New Roman" w:hAnsi="Times New Roman" w:eastAsia="仿宋_GB2312"/>
          <w:sz w:val="32"/>
          <w:szCs w:val="32"/>
        </w:rPr>
        <w:t>三公经费明细均在</w:t>
      </w:r>
      <w:r>
        <w:rPr>
          <w:rFonts w:hint="eastAsia" w:ascii="Times New Roman" w:hAnsi="Times New Roman" w:eastAsia="仿宋_GB2312"/>
          <w:sz w:val="32"/>
          <w:szCs w:val="32"/>
          <w:lang w:val="en-US" w:eastAsia="zh-CN"/>
        </w:rPr>
        <w:t>预算</w:t>
      </w:r>
      <w:r>
        <w:rPr>
          <w:rFonts w:ascii="Times New Roman" w:hAnsi="Times New Roman" w:eastAsia="仿宋_GB2312"/>
          <w:sz w:val="32"/>
          <w:szCs w:val="32"/>
        </w:rPr>
        <w:t>控制</w:t>
      </w:r>
      <w:r>
        <w:rPr>
          <w:rFonts w:hint="eastAsia" w:ascii="Times New Roman" w:hAnsi="Times New Roman" w:eastAsia="仿宋_GB2312"/>
          <w:sz w:val="32"/>
          <w:szCs w:val="32"/>
          <w:lang w:val="en-US" w:eastAsia="zh-CN"/>
        </w:rPr>
        <w:t>内</w:t>
      </w:r>
      <w:r>
        <w:rPr>
          <w:rFonts w:ascii="Times New Roman" w:hAnsi="Times New Roman" w:eastAsia="仿宋_GB2312"/>
          <w:sz w:val="32"/>
          <w:szCs w:val="32"/>
        </w:rPr>
        <w:t>。</w:t>
      </w:r>
    </w:p>
    <w:p>
      <w:pPr>
        <w:pStyle w:val="8"/>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（2）与上年度比较“三公经费”控制情况</w:t>
      </w:r>
    </w:p>
    <w:p>
      <w:pPr>
        <w:keepNext w:val="0"/>
        <w:keepLines w:val="0"/>
        <w:pageBreakBefore w:val="0"/>
        <w:widowControl/>
        <w:shd w:val="clear" w:color="auto" w:fill="FFFFFF"/>
        <w:kinsoku/>
        <w:wordWrap/>
        <w:topLinePunct w:val="0"/>
        <w:autoSpaceDE/>
        <w:autoSpaceDN/>
        <w:bidi w:val="0"/>
        <w:spacing w:line="600" w:lineRule="exact"/>
        <w:ind w:firstLine="643"/>
        <w:rPr>
          <w:rFonts w:hint="default"/>
          <w:lang w:val="en-US" w:eastAsia="zh-CN"/>
        </w:rPr>
      </w:pPr>
      <w:r>
        <w:rPr>
          <w:rFonts w:hint="eastAsia" w:ascii="Times New Roman" w:hAnsi="Times New Roman" w:eastAsia="仿宋_GB2312" w:cs="Times New Roman"/>
          <w:kern w:val="2"/>
          <w:sz w:val="32"/>
          <w:szCs w:val="32"/>
          <w:lang w:val="en-US" w:eastAsia="zh-CN" w:bidi="ar-SA"/>
        </w:rPr>
        <w:t>我室较2020年度三公经费支出减少27.93%，主要系公务接待支出有所减少。</w:t>
      </w:r>
    </w:p>
    <w:p>
      <w:pPr>
        <w:keepNext w:val="0"/>
        <w:keepLines w:val="0"/>
        <w:pageBreakBefore w:val="0"/>
        <w:widowControl/>
        <w:shd w:val="clear" w:color="auto" w:fill="FFFFFF"/>
        <w:kinsoku/>
        <w:wordWrap/>
        <w:topLinePunct w:val="0"/>
        <w:autoSpaceDE/>
        <w:autoSpaceDN/>
        <w:bidi w:val="0"/>
        <w:spacing w:line="600" w:lineRule="exact"/>
        <w:ind w:firstLine="643"/>
        <w:rPr>
          <w:rFonts w:hint="eastAsia" w:ascii="楷体_GB2312" w:hAnsi="楷体_GB2312" w:eastAsia="楷体_GB2312" w:cs="楷体_GB2312"/>
          <w:b w:val="0"/>
          <w:bCs/>
          <w:spacing w:val="-2"/>
          <w:sz w:val="32"/>
          <w:szCs w:val="21"/>
        </w:rPr>
      </w:pPr>
      <w:r>
        <w:rPr>
          <w:rFonts w:hint="eastAsia" w:ascii="楷体_GB2312" w:hAnsi="楷体_GB2312" w:eastAsia="楷体_GB2312" w:cs="楷体_GB2312"/>
          <w:b w:val="0"/>
          <w:bCs/>
          <w:spacing w:val="-2"/>
          <w:sz w:val="32"/>
          <w:szCs w:val="32"/>
        </w:rPr>
        <w:t>（二）专项支出</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项目</w:t>
      </w:r>
      <w:r>
        <w:rPr>
          <w:rFonts w:hint="eastAsia" w:ascii="Times New Roman" w:hAnsi="Times New Roman" w:eastAsia="仿宋_GB2312" w:cs="Times New Roman"/>
          <w:sz w:val="32"/>
          <w:szCs w:val="32"/>
          <w:lang w:eastAsia="zh-CN"/>
        </w:rPr>
        <w:t>专项</w:t>
      </w:r>
      <w:r>
        <w:rPr>
          <w:rFonts w:ascii="Times New Roman" w:hAnsi="Times New Roman" w:eastAsia="仿宋_GB2312" w:cs="Times New Roman"/>
          <w:sz w:val="32"/>
          <w:szCs w:val="32"/>
        </w:rPr>
        <w:t>支出是在基本支出之外为完成其特定的工作任务而发生的支出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lang w:val="en-US" w:eastAsia="zh-CN"/>
        </w:rPr>
        <w:t>室</w:t>
      </w:r>
      <w:r>
        <w:rPr>
          <w:rFonts w:ascii="Times New Roman" w:hAnsi="Times New Roman" w:eastAsia="仿宋_GB2312" w:cs="Times New Roman"/>
          <w:sz w:val="32"/>
          <w:szCs w:val="32"/>
        </w:rPr>
        <w:t>的项目支出主要用于</w:t>
      </w:r>
      <w:r>
        <w:rPr>
          <w:rFonts w:hint="eastAsia" w:ascii="Times New Roman" w:hAnsi="Times New Roman" w:eastAsia="仿宋_GB2312" w:cs="Times New Roman"/>
          <w:sz w:val="32"/>
          <w:szCs w:val="32"/>
        </w:rPr>
        <w:t>开展政府工作报告起草、《政务要情》编辑、课题调研、业务培训等日常工作发生的各项</w:t>
      </w:r>
      <w:r>
        <w:rPr>
          <w:rFonts w:hint="eastAsia" w:ascii="Times New Roman" w:hAnsi="Times New Roman" w:eastAsia="仿宋_GB2312" w:cs="Times New Roman"/>
          <w:sz w:val="32"/>
          <w:szCs w:val="32"/>
          <w:lang w:val="en-US" w:eastAsia="zh-CN"/>
        </w:rPr>
        <w:t>专项工作经费。</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项目资金实际使用情况</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年年初预算项目支出</w:t>
      </w:r>
      <w:r>
        <w:rPr>
          <w:rFonts w:hint="eastAsia" w:ascii="Times New Roman" w:hAnsi="Times New Roman" w:eastAsia="仿宋_GB2312" w:cs="Times New Roman"/>
          <w:sz w:val="32"/>
          <w:szCs w:val="32"/>
          <w:lang w:eastAsia="zh-CN"/>
        </w:rPr>
        <w:t>批复</w:t>
      </w:r>
      <w:r>
        <w:rPr>
          <w:rFonts w:hint="eastAsia" w:ascii="Times New Roman" w:hAnsi="Times New Roman" w:eastAsia="仿宋_GB2312" w:cs="Times New Roman"/>
          <w:sz w:val="32"/>
          <w:szCs w:val="32"/>
        </w:rPr>
        <w:t>金额</w:t>
      </w:r>
      <w:r>
        <w:rPr>
          <w:rFonts w:ascii="Times New Roman" w:hAnsi="Times New Roman" w:eastAsia="仿宋_GB2312" w:cs="Times New Roman"/>
          <w:sz w:val="32"/>
          <w:szCs w:val="32"/>
        </w:rPr>
        <w:t>为</w:t>
      </w:r>
      <w:bookmarkStart w:id="0" w:name="_Hlk42203504"/>
      <w:r>
        <w:rPr>
          <w:rFonts w:hint="eastAsia" w:ascii="Times New Roman" w:hAnsi="Times New Roman" w:eastAsia="仿宋_GB2312" w:cs="Times New Roman"/>
          <w:sz w:val="32"/>
          <w:szCs w:val="32"/>
          <w:lang w:val="en-US" w:eastAsia="zh-CN"/>
        </w:rPr>
        <w:t>60.00</w:t>
      </w:r>
      <w:r>
        <w:rPr>
          <w:rFonts w:ascii="Times New Roman" w:hAnsi="Times New Roman" w:eastAsia="仿宋_GB2312" w:cs="Times New Roman"/>
          <w:sz w:val="32"/>
          <w:szCs w:val="32"/>
        </w:rPr>
        <w:t>万元</w:t>
      </w:r>
      <w:bookmarkEnd w:id="0"/>
      <w:r>
        <w:rPr>
          <w:rFonts w:ascii="Times New Roman" w:hAnsi="Times New Roman" w:eastAsia="仿宋_GB2312" w:cs="Times New Roman"/>
          <w:sz w:val="32"/>
          <w:szCs w:val="32"/>
        </w:rPr>
        <w:t>，</w:t>
      </w:r>
      <w:bookmarkStart w:id="1" w:name="_Hlk43148525"/>
      <w:r>
        <w:rPr>
          <w:rFonts w:hint="eastAsia" w:ascii="Times New Roman" w:hAnsi="Times New Roman" w:eastAsia="仿宋_GB2312" w:cs="Times New Roman"/>
          <w:sz w:val="32"/>
          <w:szCs w:val="32"/>
          <w:lang w:eastAsia="zh-CN"/>
        </w:rPr>
        <w:t>其中：</w:t>
      </w:r>
      <w:bookmarkEnd w:id="1"/>
      <w:r>
        <w:rPr>
          <w:rFonts w:hint="eastAsia" w:ascii="Times New Roman" w:hAnsi="Times New Roman" w:eastAsia="仿宋_GB2312" w:cs="Times New Roman"/>
          <w:sz w:val="32"/>
          <w:szCs w:val="32"/>
        </w:rPr>
        <w:t>办公费21</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万元、印刷费4</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万元、邮电费4</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万元、差旅费7</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万元、培训费2</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万元、公务接待费2</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万元、劳务费5</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万元、其他交通费2</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万元、其他商品和服务支出10</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万元、办公设备购置3</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年决算项目支出</w:t>
      </w:r>
      <w:r>
        <w:rPr>
          <w:rFonts w:hint="eastAsia" w:ascii="Times New Roman" w:hAnsi="Times New Roman" w:eastAsia="仿宋_GB2312" w:cs="Times New Roman"/>
          <w:sz w:val="32"/>
          <w:szCs w:val="32"/>
        </w:rPr>
        <w:t>金额</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lang w:val="en-US" w:eastAsia="zh-CN"/>
        </w:rPr>
        <w:t>56.38</w:t>
      </w:r>
      <w:r>
        <w:rPr>
          <w:rFonts w:hint="eastAsia" w:ascii="Times New Roman" w:hAnsi="Times New Roman" w:eastAsia="仿宋_GB2312" w:cs="Times New Roman"/>
          <w:sz w:val="32"/>
          <w:szCs w:val="32"/>
        </w:rPr>
        <w:t>万元，其中：办公费2</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.0</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万元、印刷费</w:t>
      </w:r>
      <w:r>
        <w:rPr>
          <w:rFonts w:hint="eastAsia" w:ascii="Times New Roman" w:hAnsi="Times New Roman" w:eastAsia="仿宋_GB2312" w:cs="Times New Roman"/>
          <w:sz w:val="32"/>
          <w:szCs w:val="32"/>
          <w:lang w:val="en-US" w:eastAsia="zh-CN"/>
        </w:rPr>
        <w:t>9.60</w:t>
      </w:r>
      <w:r>
        <w:rPr>
          <w:rFonts w:hint="eastAsia" w:ascii="Times New Roman" w:hAnsi="Times New Roman" w:eastAsia="仿宋_GB2312" w:cs="Times New Roman"/>
          <w:sz w:val="32"/>
          <w:szCs w:val="32"/>
        </w:rPr>
        <w:t>万元、邮电费</w:t>
      </w:r>
      <w:r>
        <w:rPr>
          <w:rFonts w:hint="eastAsia" w:ascii="Times New Roman" w:hAnsi="Times New Roman" w:eastAsia="仿宋_GB2312" w:cs="Times New Roman"/>
          <w:sz w:val="32"/>
          <w:szCs w:val="32"/>
          <w:lang w:val="en-US" w:eastAsia="zh-CN"/>
        </w:rPr>
        <w:t>2.89</w:t>
      </w:r>
      <w:r>
        <w:rPr>
          <w:rFonts w:hint="eastAsia" w:ascii="Times New Roman" w:hAnsi="Times New Roman" w:eastAsia="仿宋_GB2312" w:cs="Times New Roman"/>
          <w:sz w:val="32"/>
          <w:szCs w:val="32"/>
        </w:rPr>
        <w:t>万元、差旅费</w:t>
      </w:r>
      <w:r>
        <w:rPr>
          <w:rFonts w:hint="eastAsia" w:ascii="Times New Roman" w:hAnsi="Times New Roman" w:eastAsia="仿宋_GB2312" w:cs="Times New Roman"/>
          <w:sz w:val="32"/>
          <w:szCs w:val="32"/>
          <w:lang w:val="en-US" w:eastAsia="zh-CN"/>
        </w:rPr>
        <w:t>8.09</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维修费0.03万元、</w:t>
      </w:r>
      <w:r>
        <w:rPr>
          <w:rFonts w:hint="eastAsia"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0.19</w:t>
      </w:r>
      <w:r>
        <w:rPr>
          <w:rFonts w:hint="eastAsia" w:ascii="Times New Roman" w:hAnsi="Times New Roman" w:eastAsia="仿宋_GB2312" w:cs="Times New Roman"/>
          <w:sz w:val="32"/>
          <w:szCs w:val="32"/>
        </w:rPr>
        <w:t>万元、劳务费0</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委托业务费0.08万元、</w:t>
      </w:r>
      <w:r>
        <w:rPr>
          <w:rFonts w:hint="eastAsia" w:ascii="Times New Roman" w:hAnsi="Times New Roman" w:eastAsia="仿宋_GB2312" w:cs="Times New Roman"/>
          <w:sz w:val="32"/>
          <w:szCs w:val="32"/>
        </w:rPr>
        <w:t>其他交通费</w:t>
      </w:r>
      <w:r>
        <w:rPr>
          <w:rFonts w:hint="eastAsia" w:ascii="Times New Roman" w:hAnsi="Times New Roman" w:eastAsia="仿宋_GB2312" w:cs="Times New Roman"/>
          <w:sz w:val="32"/>
          <w:szCs w:val="32"/>
          <w:lang w:val="en-US" w:eastAsia="zh-CN"/>
        </w:rPr>
        <w:t>0.10</w:t>
      </w:r>
      <w:r>
        <w:rPr>
          <w:rFonts w:hint="eastAsia" w:ascii="Times New Roman" w:hAnsi="Times New Roman" w:eastAsia="仿宋_GB2312" w:cs="Times New Roman"/>
          <w:sz w:val="32"/>
          <w:szCs w:val="32"/>
        </w:rPr>
        <w:t>万元、其他商品和服务支出</w:t>
      </w:r>
      <w:r>
        <w:rPr>
          <w:rFonts w:hint="eastAsia" w:ascii="Times New Roman" w:hAnsi="Times New Roman" w:eastAsia="仿宋_GB2312" w:cs="Times New Roman"/>
          <w:sz w:val="32"/>
          <w:szCs w:val="32"/>
          <w:lang w:val="en-US" w:eastAsia="zh-CN"/>
        </w:rPr>
        <w:t>14.84</w:t>
      </w:r>
      <w:r>
        <w:rPr>
          <w:rFonts w:hint="eastAsia" w:ascii="Times New Roman" w:hAnsi="Times New Roman" w:eastAsia="仿宋_GB2312" w:cs="Times New Roman"/>
          <w:sz w:val="32"/>
          <w:szCs w:val="32"/>
        </w:rPr>
        <w:t>万元、办公设备购置</w:t>
      </w:r>
      <w:r>
        <w:rPr>
          <w:rFonts w:hint="eastAsia" w:ascii="Times New Roman" w:hAnsi="Times New Roman" w:eastAsia="仿宋_GB2312" w:cs="Times New Roman"/>
          <w:sz w:val="32"/>
          <w:szCs w:val="32"/>
          <w:lang w:val="en-US" w:eastAsia="zh-CN"/>
        </w:rPr>
        <w:t>0.44</w:t>
      </w:r>
      <w:r>
        <w:rPr>
          <w:rFonts w:hint="eastAsia" w:ascii="Times New Roman" w:hAnsi="Times New Roman" w:eastAsia="仿宋_GB2312" w:cs="Times New Roman"/>
          <w:sz w:val="32"/>
          <w:szCs w:val="32"/>
        </w:rPr>
        <w:t>万元。</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项目资金管理情况</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lang w:val="en-US" w:eastAsia="zh-CN"/>
        </w:rPr>
        <w:t>室</w:t>
      </w:r>
      <w:r>
        <w:rPr>
          <w:rFonts w:ascii="Times New Roman" w:hAnsi="Times New Roman" w:eastAsia="仿宋_GB2312" w:cs="Times New Roman"/>
          <w:sz w:val="32"/>
          <w:szCs w:val="32"/>
        </w:rPr>
        <w:t>为加强财务管理工作，合理合规使用财政项目资金，严格按照财务管理要求，对批准的预算开支内容，做好账务设置和账务管理，</w:t>
      </w:r>
      <w:r>
        <w:rPr>
          <w:rFonts w:hint="eastAsia" w:ascii="Times New Roman" w:hAnsi="Times New Roman" w:eastAsia="仿宋_GB2312" w:cs="Times New Roman"/>
          <w:sz w:val="32"/>
          <w:szCs w:val="32"/>
          <w:lang w:eastAsia="zh-CN"/>
        </w:rPr>
        <w:t>实行专项核算</w:t>
      </w:r>
      <w:r>
        <w:rPr>
          <w:rFonts w:ascii="Times New Roman" w:hAnsi="Times New Roman" w:eastAsia="仿宋_GB2312" w:cs="Times New Roman"/>
          <w:sz w:val="32"/>
          <w:szCs w:val="32"/>
        </w:rPr>
        <w:t>，在资金使用过程中，严把监督审核关，建立健全了内部审批制度。针对项目支出，制定了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内部控制基本制度》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《财务</w:t>
      </w:r>
      <w:r>
        <w:rPr>
          <w:rFonts w:hint="eastAsia" w:ascii="Times New Roman" w:hAnsi="Times New Roman" w:eastAsia="仿宋_GB2312" w:cs="Times New Roman"/>
          <w:sz w:val="32"/>
          <w:szCs w:val="32"/>
          <w:lang w:eastAsia="zh-CN"/>
        </w:rPr>
        <w:t>管理</w:t>
      </w:r>
      <w:r>
        <w:rPr>
          <w:rFonts w:ascii="Times New Roman" w:hAnsi="Times New Roman" w:eastAsia="仿宋_GB2312" w:cs="Times New Roman"/>
          <w:sz w:val="32"/>
          <w:szCs w:val="32"/>
        </w:rPr>
        <w:t>制度》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课题项目资金使用管理制度</w:t>
      </w:r>
      <w:r>
        <w:rPr>
          <w:rFonts w:ascii="Times New Roman" w:hAnsi="Times New Roman" w:eastAsia="仿宋_GB2312" w:cs="Times New Roman"/>
          <w:sz w:val="32"/>
          <w:szCs w:val="32"/>
        </w:rPr>
        <w:t>》等相关制度，对资金使用审批流程、资金监督、签字权限等方面做出了详细规定。</w:t>
      </w:r>
    </w:p>
    <w:p>
      <w:pPr>
        <w:keepNext w:val="0"/>
        <w:keepLines w:val="0"/>
        <w:pageBreakBefore w:val="0"/>
        <w:widowControl/>
        <w:numPr>
          <w:ilvl w:val="0"/>
          <w:numId w:val="2"/>
        </w:numPr>
        <w:shd w:val="clear" w:color="auto" w:fill="FFFFFF"/>
        <w:kinsoku/>
        <w:wordWrap/>
        <w:topLinePunct w:val="0"/>
        <w:autoSpaceDE/>
        <w:autoSpaceDN/>
        <w:bidi w:val="0"/>
        <w:spacing w:line="600" w:lineRule="exact"/>
        <w:ind w:firstLine="640"/>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部门专项组织实施情况</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项目组织情况</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2021年</w:t>
      </w: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lang w:val="en-US" w:eastAsia="zh-CN"/>
        </w:rPr>
        <w:t>室</w:t>
      </w:r>
      <w:r>
        <w:rPr>
          <w:rFonts w:ascii="Times New Roman" w:hAnsi="Times New Roman" w:eastAsia="仿宋_GB2312" w:cs="Times New Roman"/>
          <w:sz w:val="32"/>
          <w:szCs w:val="32"/>
        </w:rPr>
        <w:t>认真落实上级主管部门的决策部署，全面推进各项重点工作，较好的完成了各项目</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目标任务。各项目由专人负责实施，实行事项前置审批及事后支付审批制度；采购事项均按照政府采购相关规定执行，属政府采购范围的一律通过政府采购平台，按照规定流程进行采购；费用支出严格按照《财务</w:t>
      </w:r>
      <w:r>
        <w:rPr>
          <w:rFonts w:hint="eastAsia" w:ascii="Times New Roman" w:hAnsi="Times New Roman" w:eastAsia="仿宋_GB2312" w:cs="Times New Roman"/>
          <w:sz w:val="32"/>
          <w:szCs w:val="32"/>
          <w:lang w:eastAsia="zh-CN"/>
        </w:rPr>
        <w:t>管理</w:t>
      </w:r>
      <w:r>
        <w:rPr>
          <w:rFonts w:ascii="Times New Roman" w:hAnsi="Times New Roman" w:eastAsia="仿宋_GB2312" w:cs="Times New Roman"/>
          <w:sz w:val="32"/>
          <w:szCs w:val="32"/>
        </w:rPr>
        <w:t>制度》等制度规定的开支范围、标准、审批权限、审批流程、报销要求等进行审核。</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（二）项目管理情况</w:t>
      </w:r>
    </w:p>
    <w:p>
      <w:pPr>
        <w:keepNext w:val="0"/>
        <w:keepLines w:val="0"/>
        <w:pageBreakBefore w:val="0"/>
        <w:kinsoku/>
        <w:wordWrap/>
        <w:topLinePunct w:val="0"/>
        <w:autoSpaceDE/>
        <w:autoSpaceDN/>
        <w:bidi w:val="0"/>
        <w:spacing w:line="600" w:lineRule="exact"/>
        <w:ind w:firstLine="640"/>
      </w:pPr>
      <w:r>
        <w:rPr>
          <w:rFonts w:hint="eastAsia" w:eastAsia="仿宋_GB2312"/>
          <w:sz w:val="32"/>
          <w:szCs w:val="32"/>
        </w:rPr>
        <w:t>为加强项目资金管理，规范项目资金管理行为，提高项目管理水平及项目资金使用效益，</w:t>
      </w:r>
      <w:r>
        <w:rPr>
          <w:rFonts w:hint="eastAsia" w:eastAsia="仿宋_GB2312"/>
          <w:sz w:val="32"/>
          <w:szCs w:val="32"/>
          <w:lang w:val="en-US" w:eastAsia="zh-CN"/>
        </w:rPr>
        <w:t>我单位</w:t>
      </w:r>
      <w:r>
        <w:rPr>
          <w:rFonts w:hint="eastAsia" w:eastAsia="仿宋_GB2312"/>
          <w:sz w:val="32"/>
          <w:szCs w:val="32"/>
        </w:rPr>
        <w:t>制定了财务管理制度、项目资金管理制度等</w:t>
      </w:r>
      <w:r>
        <w:rPr>
          <w:rFonts w:hint="eastAsia" w:eastAsia="仿宋_GB2312"/>
          <w:sz w:val="32"/>
          <w:szCs w:val="32"/>
          <w:lang w:eastAsia="zh-CN"/>
        </w:rPr>
        <w:t>业务管理制度</w:t>
      </w:r>
      <w:r>
        <w:rPr>
          <w:rFonts w:hint="eastAsia" w:eastAsia="仿宋_GB2312"/>
          <w:sz w:val="32"/>
          <w:szCs w:val="32"/>
        </w:rPr>
        <w:t>，对项目管理职责、申报与组织实施、项目资金的管理、监督检查与验收等进行了规定，明确工作职责、</w:t>
      </w:r>
      <w:r>
        <w:rPr>
          <w:rFonts w:hint="eastAsia" w:eastAsia="仿宋_GB2312"/>
          <w:b w:val="0"/>
          <w:bCs w:val="0"/>
          <w:sz w:val="32"/>
          <w:szCs w:val="32"/>
          <w:highlight w:val="none"/>
        </w:rPr>
        <w:t>项目实施细则、考核办法等。项目资金严格按指定用途专款专用</w:t>
      </w:r>
      <w:r>
        <w:rPr>
          <w:rFonts w:hint="eastAsia" w:eastAsia="仿宋_GB2312"/>
          <w:sz w:val="32"/>
          <w:szCs w:val="32"/>
        </w:rPr>
        <w:t>，并接受财政部门或上级部门的检查、验收。202</w:t>
      </w:r>
      <w:r>
        <w:rPr>
          <w:rFonts w:hint="eastAsia" w:eastAsia="仿宋_GB2312"/>
          <w:sz w:val="32"/>
          <w:szCs w:val="32"/>
          <w:lang w:val="en-US" w:eastAsia="zh-CN"/>
        </w:rPr>
        <w:t>1</w:t>
      </w:r>
      <w:r>
        <w:rPr>
          <w:rFonts w:hint="eastAsia" w:eastAsia="仿宋_GB2312"/>
          <w:sz w:val="32"/>
          <w:szCs w:val="32"/>
        </w:rPr>
        <w:t>年本</w:t>
      </w:r>
      <w:r>
        <w:rPr>
          <w:rFonts w:hint="eastAsia" w:eastAsia="仿宋_GB2312"/>
          <w:sz w:val="32"/>
          <w:szCs w:val="32"/>
          <w:lang w:val="en-US" w:eastAsia="zh-CN"/>
        </w:rPr>
        <w:t>单位</w:t>
      </w:r>
      <w:r>
        <w:rPr>
          <w:rFonts w:hint="eastAsia" w:eastAsia="仿宋_GB2312"/>
          <w:sz w:val="32"/>
          <w:szCs w:val="32"/>
        </w:rPr>
        <w:t>项目支出，基本能够严格按照相关制度规定等进行。</w:t>
      </w:r>
    </w:p>
    <w:p>
      <w:pPr>
        <w:keepNext w:val="0"/>
        <w:keepLines w:val="0"/>
        <w:pageBreakBefore w:val="0"/>
        <w:widowControl/>
        <w:shd w:val="clear" w:color="auto" w:fill="FFFFFF"/>
        <w:kinsoku/>
        <w:wordWrap/>
        <w:topLinePunct w:val="0"/>
        <w:autoSpaceDE/>
        <w:autoSpaceDN/>
        <w:bidi w:val="0"/>
        <w:spacing w:line="600" w:lineRule="exact"/>
        <w:ind w:firstLine="632" w:firstLineChars="200"/>
        <w:rPr>
          <w:rFonts w:hint="eastAsia" w:ascii="黑体" w:hAnsi="黑体" w:eastAsia="黑体" w:cs="黑体"/>
          <w:b w:val="0"/>
          <w:bCs/>
          <w:spacing w:val="-2"/>
          <w:sz w:val="32"/>
          <w:szCs w:val="21"/>
        </w:rPr>
      </w:pPr>
      <w:r>
        <w:rPr>
          <w:rFonts w:hint="eastAsia" w:ascii="黑体" w:hAnsi="黑体" w:eastAsia="黑体" w:cs="黑体"/>
          <w:b w:val="0"/>
          <w:bCs/>
          <w:spacing w:val="-2"/>
          <w:sz w:val="32"/>
          <w:szCs w:val="32"/>
        </w:rPr>
        <w:t>四、资产管理情况</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我室根据《行政事业单位内部控制规范（试行）》、《事 业单位国有资产管理暂行办法》及省、市有关规定，制定了《固定资产管理》等制度，及时入账，定期盘点清查，按要求编报资产月报与年报。 </w:t>
      </w:r>
    </w:p>
    <w:p>
      <w:pPr>
        <w:pStyle w:val="5"/>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截至2021年12月31日，我单位固定资产原值75.22万元，累计折旧45.26万元，账面净值29.96万元。主要为通用设备。</w:t>
      </w:r>
    </w:p>
    <w:p>
      <w:pPr>
        <w:keepNext w:val="0"/>
        <w:keepLines w:val="0"/>
        <w:pageBreakBefore w:val="0"/>
        <w:widowControl/>
        <w:numPr>
          <w:ilvl w:val="0"/>
          <w:numId w:val="2"/>
        </w:numPr>
        <w:shd w:val="clear" w:color="auto" w:fill="FFFFFF"/>
        <w:kinsoku/>
        <w:wordWrap/>
        <w:topLinePunct w:val="0"/>
        <w:autoSpaceDE/>
        <w:autoSpaceDN/>
        <w:bidi w:val="0"/>
        <w:spacing w:line="600" w:lineRule="exact"/>
        <w:ind w:left="0" w:leftChars="0" w:firstLine="640" w:firstLineChars="0"/>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部门整体支出绩效情况</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（一）经济性分析</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1、预算配置控制较好。财政供养人员控制在预算编制以内，编制内在职人员控制率92.31%，未超过控制标准。</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预算执行与管理。2021年财政决算收入261.38万元，其中一般公共预算财政拨款收入253.65万元，上年结转7.73万元；决算支出为261.38万元，其中基本支出205.00万元、项目支出56.38万元，公用经费、三公经费等相关支出均未超过控制标准。</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（二）有效性和效率性分析</w:t>
      </w:r>
    </w:p>
    <w:p>
      <w:pPr>
        <w:pStyle w:val="2"/>
        <w:keepNext w:val="0"/>
        <w:keepLines w:val="0"/>
        <w:pageBreakBefore w:val="0"/>
        <w:kinsoku/>
        <w:wordWrap/>
        <w:topLinePunct w:val="0"/>
        <w:autoSpaceDE/>
        <w:autoSpaceDN/>
        <w:bidi w:val="0"/>
        <w:spacing w:line="600" w:lineRule="exact"/>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通过对2021全年工作进行梳理和总结，我室2021年主要产出和效益如下：</w:t>
      </w:r>
    </w:p>
    <w:p>
      <w:pPr>
        <w:pStyle w:val="9"/>
        <w:keepNext w:val="0"/>
        <w:keepLines w:val="0"/>
        <w:pageBreakBefore w:val="0"/>
        <w:kinsoku/>
        <w:wordWrap/>
        <w:overflowPunct w:val="0"/>
        <w:topLinePunct w:val="0"/>
        <w:autoSpaceDE/>
        <w:autoSpaceDN/>
        <w:bidi w:val="0"/>
        <w:spacing w:line="600" w:lineRule="exact"/>
        <w:ind w:firstLine="640"/>
        <w:rPr>
          <w:rFonts w:hint="default" w:ascii="Times New Roman" w:hAnsi="Times New Roman" w:eastAsia="仿宋_GB2312" w:cs="Times New Roman"/>
          <w:kern w:val="0"/>
          <w:sz w:val="32"/>
          <w:szCs w:val="32"/>
          <w:lang w:val="en-US" w:eastAsia="zh-CN" w:bidi="ar-SA"/>
        </w:rPr>
      </w:pP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lang w:eastAsia="zh-CN"/>
        </w:rPr>
        <w:t>旗帜鲜明讲政治，坚定捍卫“两个确立”。</w:t>
      </w:r>
      <w:r>
        <w:rPr>
          <w:rFonts w:hint="eastAsia" w:ascii="Times New Roman" w:hAnsi="Times New Roman" w:eastAsia="仿宋_GB2312" w:cs="Times New Roman"/>
          <w:kern w:val="0"/>
          <w:sz w:val="32"/>
          <w:szCs w:val="32"/>
          <w:lang w:val="en-US" w:eastAsia="zh-CN" w:bidi="ar-SA"/>
        </w:rPr>
        <w:t>一是强化政治建设。始终把政治建设摆在首位，不断增强“四个意识”，坚定“四个自信”，做到“两个维护”，自觉在思想上政治上行动上同以习近平同志为核心的党中央保持高度一致，并把“两个维护”体现在坚决贯彻党中央、省委、市委决策部署的具体行动上。同时，召开党组会议及时传达学习党中央国务院、省委省政府、市委市政府重要文件、重大会议和领导讲话精神，研究具体贯彻落实意见，并融入参政设谋服务之中，确保上级决策部署落地见效。二是强化理论武装。始终把学习贯彻习近平新时达中国特色社会主义思想作为“第一议题”，坚持党组集体学习和个人自学相结合，坚持政治学习与业务学习相结合，全年共开展理论学习中心组集中学习14次，引导党员干部深入学习党的十九大及十九届历次全会精神，及时传达贯彻习近平总书记最新重要讲话批示精神和中央、省、市重要文件精神，进一步学深悟透习近平新时代中国特色社会主义思想的核心要义、深刻内涵、基本要求。三是强化纪律规矩。始终坚持把政治纪律和政治规矩挺在前面，做到党中央提倡的坚决响应，党中央决定的坚决执行，党中央禁止的坚决不做，做到“五个必须”，杜绝“七个有之”。坚持在市委、市政府的领导下开展工作，严格落实重大事项请示报告制度。凡是涉及重大决策、重要事项均及时向市委、市政府报告或提请研究解决，始终与市委、市政府保持认识上一致、思想上统一、行动上同步。</w:t>
      </w:r>
    </w:p>
    <w:p>
      <w:pPr>
        <w:pStyle w:val="9"/>
        <w:keepNext w:val="0"/>
        <w:keepLines w:val="0"/>
        <w:pageBreakBefore w:val="0"/>
        <w:kinsoku/>
        <w:wordWrap/>
        <w:overflowPunct w:val="0"/>
        <w:topLinePunct w:val="0"/>
        <w:autoSpaceDE/>
        <w:autoSpaceDN/>
        <w:bidi w:val="0"/>
        <w:spacing w:line="600" w:lineRule="exact"/>
        <w:ind w:firstLine="640"/>
        <w:rPr>
          <w:rFonts w:hint="eastAsia" w:ascii="Times New Roman" w:hAnsi="Times New Roman" w:eastAsia="仿宋_GB2312" w:cs="Times New Roman"/>
          <w:kern w:val="0"/>
          <w:sz w:val="32"/>
          <w:szCs w:val="32"/>
          <w:lang w:val="en-US" w:eastAsia="zh-CN" w:bidi="ar-SA"/>
        </w:rPr>
      </w:pP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lang w:eastAsia="zh-CN"/>
        </w:rPr>
        <w:t>突出重点强主业，切实提升参政设谋水平。</w:t>
      </w:r>
      <w:r>
        <w:rPr>
          <w:rFonts w:hint="eastAsia" w:ascii="Times New Roman" w:hAnsi="Times New Roman" w:eastAsia="仿宋_GB2312" w:cs="Times New Roman"/>
          <w:kern w:val="0"/>
          <w:sz w:val="32"/>
          <w:szCs w:val="32"/>
          <w:lang w:val="en-US" w:eastAsia="zh-CN" w:bidi="ar-SA"/>
        </w:rPr>
        <w:t>一是全力搞好文稿服务。始终将文稿起草作为市政府研究室工作的重中之重，高质量完成政府工作报告、经济工作会议、大型会议材料，以及市政府主要领导相关材料的起草工作。一年来，为市政府及市长、常务副市长起草会议讲话、工作汇报等各类文稿600余篇、共计200多万字，把关政府主要领导新闻稿200余篇、20余万字。其中，起草的《关于开展环境提升百日行动方案》《关于推动高质量跨越式发展的实施意见》等重要文件，获得充分肯定。特别是10月以来，我室高质量撰写市《政府工作报告》，经过数二十余稿反复修改、精心打磨，《报告》最终得到市人大代表、政协委员的高度认可。二是全力搞好参政设谋。围绕市委、市政府年度重点工作部署和人民群众关注的重点热点难点问题，精选了农村人居环境整治、特色街区打造、职业教育发展等6个重点课题开展专题调研，写出了高质量的调研报告。同时，紧盯上级重大政策进行研究并提出贯彻落实意见建议，供市委、市政府决策参考。比如，分析研究了《关于打造“三个高地”促进湖南高质量发展的实施方案》（湘办发〔2021〕7号）文件，形成了《关于&lt;关于打造“三个高地”促进湖南高质量发展的实施方案&gt;的贯彻落实建议》。三是全力搞好信息报送。着力提升信息服务质量，及时掌握上级重大政策动态，广泛收集、整理外地先进做法和经验，主动总结市委市政府各项决策部署落实情况和基层工作成效，编撰《政务要情》57期，为市政府领导提供决策参考。积极做好市政府主要领导接受媒体采访和访谈的文稿服务工作，宣传推介我市产业发展、生态文明、农村环境整治等方面的好经验、好做法，提升了怀化的影响力。同时，积极配合市委政研室做好《新怀化》编辑工作，进一步推动市委市政府各项决策落实落地。</w:t>
      </w:r>
    </w:p>
    <w:p>
      <w:pPr>
        <w:pStyle w:val="9"/>
        <w:keepNext w:val="0"/>
        <w:keepLines w:val="0"/>
        <w:pageBreakBefore w:val="0"/>
        <w:kinsoku/>
        <w:wordWrap/>
        <w:topLinePunct w:val="0"/>
        <w:autoSpaceDE/>
        <w:autoSpaceDN/>
        <w:bidi w:val="0"/>
        <w:spacing w:line="600" w:lineRule="exact"/>
        <w:ind w:firstLine="643" w:firstLineChars="200"/>
        <w:rPr>
          <w:rFonts w:hint="eastAsia" w:ascii="Times New Roman" w:hAnsi="Times New Roman" w:eastAsia="仿宋_GB2312" w:cs="Times New Roman"/>
          <w:kern w:val="0"/>
          <w:sz w:val="32"/>
          <w:szCs w:val="32"/>
          <w:lang w:val="en-US" w:eastAsia="zh-CN" w:bidi="ar-SA"/>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lang w:eastAsia="zh-CN"/>
        </w:rPr>
        <w:t>严格对标抓党建，不断加强机关自身建设。</w:t>
      </w:r>
      <w:r>
        <w:rPr>
          <w:rFonts w:hint="eastAsia" w:ascii="Times New Roman" w:hAnsi="Times New Roman" w:eastAsia="仿宋_GB2312" w:cs="Times New Roman"/>
          <w:kern w:val="0"/>
          <w:sz w:val="32"/>
          <w:szCs w:val="32"/>
          <w:lang w:val="en-US" w:eastAsia="zh-CN" w:bidi="ar-SA"/>
        </w:rPr>
        <w:t>一是扎实抓好机关党的建设。坚持把抓好党建工作作为第一责任，不以业务工作取代党务工作，坚持做到同部署、同推动、同考核。严肃党内政治生活，认真落实“三会一课”、民主生活会、组织生活会和谈心谈话等制度，着力把党的组织资源转化为发展资源，把党的组织优势转化为发展优势。同时，牢牢把握学史明理、学史增信、学史崇德、学史力行的目标要求，高质量开展党史学习教育，做到了四个“结合”：注重党组学习与党支部学习相结合，党组理论学习中心组（扩大）会先后4次开展专题学习研讨。注重书本学习与参加系列活动相结合，引导党员认真学习重点书目、重点篇目，组织党员干部到向警予纪念馆、辰溪县湘西剿匪胜利纪念园等红色圣地开展了现场教学和体验。注重党史学习与理论学习相结合，全年开展党组（扩大）集中学习14次。注重党史学习教育与为民办实事相结合，认真组织开展“我为群众办实事”活动，为扶贫、乡村振兴联系村拨付经费14万余元解决部分群众“急难愁盼”问题，赴辰溪县思源学校看望慰问2名困难学生，到鹤城天生塘社区看望慰问1名重病群众。</w:t>
      </w:r>
    </w:p>
    <w:p>
      <w:pPr>
        <w:pStyle w:val="9"/>
        <w:keepNext w:val="0"/>
        <w:keepLines w:val="0"/>
        <w:pageBreakBefore w:val="0"/>
        <w:kinsoku/>
        <w:wordWrap/>
        <w:topLinePunct w:val="0"/>
        <w:autoSpaceDE/>
        <w:autoSpaceDN/>
        <w:bidi w:val="0"/>
        <w:spacing w:line="600" w:lineRule="exact"/>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是扎实推进意识形态管理。坚持把意识形态工作作为一项重大政治任务来抓，成立由党组书记任组长的意识形态工作领导小组，明确党组书记第一责任、分管领导直接责任和党组其他成员“一岗双责”，形成了党组书记负总责、分管领导具体抓、党组成员协同抓、各科室抓落实的工作责任体系。坚持“四个一同”，开展意识形态工作专题研究和研判2次，及时解决意识形态工作推进存在的问题和困难。同时，把意识形态领域列入对党组成员、科室负责人和重点岗位人员例行谈话的重要内容。突出加强意识形态阵地管理，制定网络意识形态阵地管理办法、意识形态领域重大问题处置流程和重大舆情处置预案，定期对办公电脑及内外网进行安全检查，全面登记清理干部职工微信群、QQ群，引导党员干部通过新媒体传播身边榜样典型，弘扬社会新风尚，营造绿色网络环境。三是扎实开展正风肃纪工作。坚持管业务与管思想、管廉政相结合，室党组先后专题研究党风廉政建设3次。大力开展警示教育，及时传达学习纪委文件（通报） ，让廉政纪律不绝于耳、警钟长鸣。坚持“作风建设永远在路上”，以巡察整改为契机，认真贯彻执行《湖南省深化整治形式主义官僚主义10条措施》，大力开展作风大检查大整治行动，确保“四风”不反弹、不回潮。进一步转文风，提高文稿服务的实效性和规范性，确保综合性报告不超过5000字、专项工作报告不超过2000字，汇报材料尽量图表化；进一步转作风，严格落实“脑清、耳聪、目明、心细、手脚勤”总要求，确保各项工作精益求精、一丝不苟，雷厉风行、紧抓快办，案无积卷、事不过夜。深化运用监督执纪“四种形态”，开展例行廉政谈话34人次、任前谈话1人次，切实做到抓早抓小、抓严抓实，把问题解决在萌芽状态。</w:t>
      </w:r>
    </w:p>
    <w:p>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（三）可持续性分析</w:t>
      </w:r>
    </w:p>
    <w:p>
      <w:pPr>
        <w:pStyle w:val="9"/>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一</w:t>
      </w:r>
      <w:r>
        <w:rPr>
          <w:rFonts w:hint="default" w:ascii="Times New Roman" w:hAnsi="Times New Roman" w:eastAsia="仿宋_GB2312" w:cs="Times New Roman"/>
          <w:kern w:val="0"/>
          <w:sz w:val="32"/>
          <w:szCs w:val="32"/>
          <w:lang w:val="en-US" w:eastAsia="zh-CN" w:bidi="ar-SA"/>
        </w:rPr>
        <w:t>是切实提升决策参谋服务水平。紧扣实施“三高四新”战略，围绕建设对接西部陆海新通道战略门户城市、打造五省边区改革开放新高地、建设国家创新型城市、加快构建现代产业体系、建立五省边区生态文明中心城市、推进新型城镇化建设、推进巩固拓展脱贫攻坚成果与乡村振兴有机衔接等课题，深入开展调查研究，撰写一批高质量的调研报告。同时，认真办好《政务要情》，配合编辑《新怀化》，精准快速报送政务信息，为市委、政府决策当好参谋、出好主意。</w:t>
      </w:r>
    </w:p>
    <w:p>
      <w:pPr>
        <w:pStyle w:val="9"/>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二</w:t>
      </w:r>
      <w:r>
        <w:rPr>
          <w:rFonts w:hint="default" w:ascii="Times New Roman" w:hAnsi="Times New Roman" w:eastAsia="仿宋_GB2312" w:cs="Times New Roman"/>
          <w:kern w:val="0"/>
          <w:sz w:val="32"/>
          <w:szCs w:val="32"/>
          <w:lang w:val="en-US" w:eastAsia="zh-CN" w:bidi="ar-SA"/>
        </w:rPr>
        <w:t>是严格落实从严治党管党措施。进一步落实《党委（党组）落实全面从严治党主体责任规定》，认真抓好意识形态工作、党风廉政建设、基层党组织建设和人才队伍建设，不断提高干部履职尽责能力，建设一支政治坚定、业务精通、作风优良、清正廉洁的干部队伍。</w:t>
      </w:r>
    </w:p>
    <w:p>
      <w:pPr>
        <w:keepNext w:val="0"/>
        <w:keepLines w:val="0"/>
        <w:pageBreakBefore w:val="0"/>
        <w:widowControl/>
        <w:numPr>
          <w:ilvl w:val="0"/>
          <w:numId w:val="0"/>
        </w:numPr>
        <w:shd w:val="clear" w:color="auto" w:fill="FFFFFF"/>
        <w:kinsoku/>
        <w:wordWrap/>
        <w:topLinePunct w:val="0"/>
        <w:autoSpaceDE/>
        <w:autoSpaceDN/>
        <w:bidi w:val="0"/>
        <w:spacing w:line="600" w:lineRule="exact"/>
        <w:ind w:left="640" w:leftChars="0"/>
        <w:rPr>
          <w:rFonts w:hint="eastAsia" w:ascii="黑体" w:hAnsi="黑体" w:eastAsia="黑体" w:cs="黑体"/>
          <w:b w:val="0"/>
          <w:bCs/>
          <w:spacing w:val="-2"/>
          <w:sz w:val="32"/>
          <w:szCs w:val="32"/>
        </w:rPr>
      </w:pPr>
      <w:r>
        <w:rPr>
          <w:rFonts w:hint="eastAsia" w:ascii="黑体" w:hAnsi="黑体" w:eastAsia="黑体" w:cs="黑体"/>
          <w:b w:val="0"/>
          <w:bCs/>
          <w:spacing w:val="-2"/>
          <w:sz w:val="32"/>
          <w:szCs w:val="32"/>
          <w:lang w:eastAsia="zh-CN"/>
        </w:rPr>
        <w:t>六、</w:t>
      </w:r>
      <w:r>
        <w:rPr>
          <w:rFonts w:hint="eastAsia" w:ascii="黑体" w:hAnsi="黑体" w:eastAsia="黑体" w:cs="黑体"/>
          <w:b w:val="0"/>
          <w:bCs/>
          <w:spacing w:val="-2"/>
          <w:sz w:val="32"/>
          <w:szCs w:val="32"/>
        </w:rPr>
        <w:t>综合评价情况及评价结论</w:t>
      </w:r>
    </w:p>
    <w:p>
      <w:pPr>
        <w:pStyle w:val="5"/>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rPr>
          <w:highlight w:val="none"/>
        </w:rPr>
      </w:pPr>
      <w:r>
        <w:rPr>
          <w:rFonts w:ascii="Times New Roman" w:hAnsi="Times New Roman" w:eastAsia="仿宋_GB2312" w:cs="Times New Roman"/>
          <w:kern w:val="2"/>
          <w:sz w:val="32"/>
          <w:szCs w:val="32"/>
        </w:rPr>
        <w:t>我</w:t>
      </w:r>
      <w:r>
        <w:rPr>
          <w:rFonts w:hint="eastAsia" w:ascii="Times New Roman" w:hAnsi="Times New Roman" w:eastAsia="仿宋_GB2312" w:cs="Times New Roman"/>
          <w:kern w:val="2"/>
          <w:sz w:val="32"/>
          <w:szCs w:val="32"/>
          <w:lang w:val="en-US" w:eastAsia="zh-CN"/>
        </w:rPr>
        <w:t>室</w:t>
      </w:r>
      <w:r>
        <w:rPr>
          <w:rFonts w:ascii="Times New Roman" w:hAnsi="Times New Roman" w:eastAsia="仿宋_GB2312" w:cs="Times New Roman"/>
          <w:kern w:val="2"/>
          <w:sz w:val="32"/>
          <w:szCs w:val="32"/>
        </w:rPr>
        <w:t>积极组织实施了20</w:t>
      </w:r>
      <w:r>
        <w:rPr>
          <w:rFonts w:hint="eastAsia" w:ascii="Times New Roman" w:hAnsi="Times New Roman" w:eastAsia="仿宋_GB2312" w:cs="Times New Roman"/>
          <w:kern w:val="2"/>
          <w:sz w:val="32"/>
          <w:szCs w:val="32"/>
        </w:rPr>
        <w:t>2</w:t>
      </w:r>
      <w:r>
        <w:rPr>
          <w:rFonts w:hint="eastAsia" w:ascii="Times New Roman" w:hAnsi="Times New Roman" w:eastAsia="仿宋_GB2312" w:cs="Times New Roman"/>
          <w:kern w:val="2"/>
          <w:sz w:val="32"/>
          <w:szCs w:val="32"/>
          <w:lang w:val="en-US" w:eastAsia="zh-CN"/>
        </w:rPr>
        <w:t>1</w:t>
      </w:r>
      <w:r>
        <w:rPr>
          <w:rFonts w:ascii="Times New Roman" w:hAnsi="Times New Roman" w:eastAsia="仿宋_GB2312" w:cs="Times New Roman"/>
          <w:kern w:val="2"/>
          <w:sz w:val="32"/>
          <w:szCs w:val="32"/>
        </w:rPr>
        <w:t>年度专项资金管理，建立了专项资金和项目管理制度，规范了实施程序，较好地完成了20</w:t>
      </w:r>
      <w:r>
        <w:rPr>
          <w:rFonts w:hint="eastAsia" w:ascii="Times New Roman" w:hAnsi="Times New Roman" w:eastAsia="仿宋_GB2312" w:cs="Times New Roman"/>
          <w:kern w:val="2"/>
          <w:sz w:val="32"/>
          <w:szCs w:val="32"/>
        </w:rPr>
        <w:t>2</w:t>
      </w:r>
      <w:r>
        <w:rPr>
          <w:rFonts w:hint="eastAsia" w:ascii="Times New Roman" w:hAnsi="Times New Roman" w:eastAsia="仿宋_GB2312" w:cs="Times New Roman"/>
          <w:kern w:val="2"/>
          <w:sz w:val="32"/>
          <w:szCs w:val="32"/>
          <w:lang w:val="en-US" w:eastAsia="zh-CN"/>
        </w:rPr>
        <w:t>1</w:t>
      </w:r>
      <w:r>
        <w:rPr>
          <w:rFonts w:ascii="Times New Roman" w:hAnsi="Times New Roman" w:eastAsia="仿宋_GB2312" w:cs="Times New Roman"/>
          <w:kern w:val="2"/>
          <w:sz w:val="32"/>
          <w:szCs w:val="32"/>
        </w:rPr>
        <w:t>年度工作目标，但仍存在</w:t>
      </w:r>
      <w:r>
        <w:rPr>
          <w:rFonts w:hint="eastAsia" w:ascii="Times New Roman" w:hAnsi="Times New Roman" w:eastAsia="仿宋_GB2312" w:cs="Times New Roman"/>
          <w:kern w:val="2"/>
          <w:sz w:val="32"/>
          <w:szCs w:val="32"/>
          <w:lang w:eastAsia="zh-CN"/>
        </w:rPr>
        <w:t>绩效目标不够细化、量化；预算调整率偏高</w:t>
      </w:r>
      <w:r>
        <w:rPr>
          <w:rFonts w:ascii="Times New Roman" w:hAnsi="Times New Roman" w:eastAsia="仿宋_GB2312" w:cs="Times New Roman"/>
          <w:kern w:val="2"/>
          <w:sz w:val="32"/>
          <w:szCs w:val="32"/>
        </w:rPr>
        <w:t>等问题。根据《部门整体</w:t>
      </w:r>
      <w:r>
        <w:rPr>
          <w:rFonts w:ascii="Times New Roman" w:hAnsi="Times New Roman" w:eastAsia="仿宋_GB2312" w:cs="Times New Roman"/>
          <w:kern w:val="2"/>
          <w:sz w:val="32"/>
          <w:szCs w:val="32"/>
          <w:highlight w:val="none"/>
        </w:rPr>
        <w:t>支出绩效评价指标表》，20</w:t>
      </w:r>
      <w:r>
        <w:rPr>
          <w:rFonts w:hint="eastAsia" w:ascii="Times New Roman" w:hAnsi="Times New Roman" w:eastAsia="仿宋_GB2312" w:cs="Times New Roman"/>
          <w:kern w:val="2"/>
          <w:sz w:val="32"/>
          <w:szCs w:val="32"/>
          <w:highlight w:val="none"/>
        </w:rPr>
        <w:t>2</w:t>
      </w:r>
      <w:r>
        <w:rPr>
          <w:rFonts w:hint="eastAsia" w:ascii="Times New Roman" w:hAnsi="Times New Roman" w:eastAsia="仿宋_GB2312" w:cs="Times New Roman"/>
          <w:kern w:val="2"/>
          <w:sz w:val="32"/>
          <w:szCs w:val="32"/>
          <w:highlight w:val="none"/>
          <w:lang w:val="en-US" w:eastAsia="zh-CN"/>
        </w:rPr>
        <w:t>1</w:t>
      </w:r>
      <w:r>
        <w:rPr>
          <w:rFonts w:ascii="Times New Roman" w:hAnsi="Times New Roman" w:eastAsia="仿宋_GB2312" w:cs="Times New Roman"/>
          <w:kern w:val="2"/>
          <w:sz w:val="32"/>
          <w:szCs w:val="32"/>
          <w:highlight w:val="none"/>
        </w:rPr>
        <w:t>年度部门整体绩效自评综合评分为</w:t>
      </w:r>
      <w:r>
        <w:rPr>
          <w:rFonts w:hint="eastAsia" w:ascii="Times New Roman" w:hAnsi="Times New Roman" w:eastAsia="仿宋_GB2312" w:cs="Times New Roman"/>
          <w:sz w:val="32"/>
          <w:szCs w:val="32"/>
          <w:highlight w:val="none"/>
          <w:lang w:val="en-US" w:eastAsia="zh-CN"/>
        </w:rPr>
        <w:t>98</w:t>
      </w:r>
      <w:r>
        <w:rPr>
          <w:rFonts w:ascii="Times New Roman" w:hAnsi="Times New Roman" w:eastAsia="仿宋_GB2312" w:cs="Times New Roman"/>
          <w:sz w:val="32"/>
          <w:szCs w:val="32"/>
          <w:highlight w:val="none"/>
        </w:rPr>
        <w:t>分</w:t>
      </w:r>
      <w:r>
        <w:rPr>
          <w:rFonts w:ascii="Times New Roman" w:hAnsi="Times New Roman" w:eastAsia="仿宋_GB2312" w:cs="Times New Roman"/>
          <w:kern w:val="2"/>
          <w:sz w:val="32"/>
          <w:szCs w:val="32"/>
          <w:highlight w:val="none"/>
        </w:rPr>
        <w:t>，</w:t>
      </w:r>
      <w:r>
        <w:rPr>
          <w:rFonts w:ascii="Times New Roman" w:hAnsi="Times New Roman" w:eastAsia="仿宋_GB2312" w:cs="Times New Roman"/>
          <w:sz w:val="32"/>
          <w:szCs w:val="32"/>
          <w:highlight w:val="none"/>
        </w:rPr>
        <w:t>评价等级为“</w:t>
      </w:r>
      <w:r>
        <w:rPr>
          <w:rFonts w:hint="eastAsia" w:ascii="Times New Roman" w:hAnsi="Times New Roman" w:eastAsia="仿宋_GB2312" w:cs="Times New Roman"/>
          <w:sz w:val="32"/>
          <w:szCs w:val="32"/>
          <w:highlight w:val="none"/>
          <w:lang w:eastAsia="zh-CN"/>
        </w:rPr>
        <w:t>优</w:t>
      </w:r>
      <w:r>
        <w:rPr>
          <w:rFonts w:ascii="Times New Roman" w:hAnsi="Times New Roman" w:eastAsia="仿宋_GB2312" w:cs="Times New Roman"/>
          <w:sz w:val="32"/>
          <w:szCs w:val="32"/>
          <w:highlight w:val="none"/>
        </w:rPr>
        <w:t>”</w:t>
      </w:r>
      <w:r>
        <w:rPr>
          <w:rFonts w:ascii="Times New Roman" w:hAnsi="Times New Roman" w:eastAsia="仿宋_GB2312" w:cs="Times New Roman"/>
          <w:kern w:val="2"/>
          <w:sz w:val="32"/>
          <w:szCs w:val="32"/>
          <w:highlight w:val="none"/>
        </w:rPr>
        <w:t>。</w:t>
      </w:r>
    </w:p>
    <w:p>
      <w:pPr>
        <w:keepNext w:val="0"/>
        <w:keepLines w:val="0"/>
        <w:pageBreakBefore w:val="0"/>
        <w:widowControl/>
        <w:numPr>
          <w:ilvl w:val="0"/>
          <w:numId w:val="0"/>
        </w:numPr>
        <w:shd w:val="clear" w:color="auto" w:fill="FFFFFF"/>
        <w:kinsoku/>
        <w:wordWrap/>
        <w:topLinePunct w:val="0"/>
        <w:autoSpaceDE/>
        <w:autoSpaceDN/>
        <w:bidi w:val="0"/>
        <w:spacing w:line="600" w:lineRule="exact"/>
        <w:ind w:left="640" w:leftChars="0"/>
      </w:pPr>
      <w:r>
        <w:rPr>
          <w:rFonts w:hint="eastAsia" w:ascii="黑体" w:hAnsi="黑体" w:eastAsia="黑体" w:cs="黑体"/>
          <w:b w:val="0"/>
          <w:bCs/>
          <w:spacing w:val="-2"/>
          <w:sz w:val="32"/>
          <w:szCs w:val="32"/>
          <w:lang w:eastAsia="zh-CN"/>
        </w:rPr>
        <w:t>七、</w:t>
      </w:r>
      <w:r>
        <w:rPr>
          <w:rFonts w:hint="eastAsia" w:ascii="黑体" w:hAnsi="黑体" w:eastAsia="黑体" w:cs="黑体"/>
          <w:b w:val="0"/>
          <w:bCs/>
          <w:spacing w:val="-2"/>
          <w:sz w:val="32"/>
          <w:szCs w:val="32"/>
        </w:rPr>
        <w:t>存在的主要问题</w:t>
      </w:r>
    </w:p>
    <w:p>
      <w:pPr>
        <w:pStyle w:val="4"/>
        <w:keepNext w:val="0"/>
        <w:keepLines w:val="0"/>
        <w:pageBreakBefore w:val="0"/>
        <w:kinsoku/>
        <w:wordWrap/>
        <w:topLinePunct w:val="0"/>
        <w:autoSpaceDE/>
        <w:autoSpaceDN/>
        <w:bidi w:val="0"/>
        <w:spacing w:line="600" w:lineRule="exact"/>
        <w:ind w:firstLine="640" w:firstLineChars="200"/>
        <w:rPr>
          <w:rFonts w:hint="eastAsia" w:ascii="楷体_GB2312" w:hAnsi="楷体_GB2312" w:eastAsia="楷体_GB2312" w:cs="楷体_GB2312"/>
          <w:b w:val="0"/>
          <w:bCs w:val="0"/>
          <w:lang w:val="en-US" w:eastAsia="zh-CN"/>
        </w:rPr>
      </w:pPr>
      <w:r>
        <w:rPr>
          <w:rFonts w:hint="eastAsia" w:ascii="楷体_GB2312" w:hAnsi="楷体_GB2312" w:eastAsia="楷体_GB2312" w:cs="楷体_GB2312"/>
          <w:b w:val="0"/>
          <w:bCs w:val="0"/>
          <w:sz w:val="32"/>
          <w:szCs w:val="32"/>
          <w:lang w:val="en-US" w:eastAsia="zh-CN"/>
        </w:rPr>
        <w:t>（一）绩效管理意识待加强</w:t>
      </w:r>
    </w:p>
    <w:p>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Arial"/>
          <w:b/>
          <w:bCs/>
          <w:snapToGrid w:val="0"/>
          <w:color w:val="000000"/>
          <w:kern w:val="0"/>
          <w:sz w:val="32"/>
          <w:szCs w:val="32"/>
          <w:lang w:val="en-US" w:eastAsia="zh-CN"/>
        </w:rPr>
      </w:pPr>
      <w:r>
        <w:rPr>
          <w:rFonts w:hint="eastAsia" w:ascii="Times New Roman" w:hAnsi="Times New Roman" w:eastAsia="仿宋_GB2312" w:cs="Times New Roman"/>
          <w:sz w:val="32"/>
          <w:szCs w:val="32"/>
          <w:lang w:val="en-US" w:eastAsia="zh-CN"/>
        </w:rPr>
        <w:t>通过组织对财政局绩效评价政策文件的不断学习，我单位已逐渐树立了绩效目标管理观念，但绩效管理意识还有待加强，各项目部门需要进一步将绩效目标和预算相结合，在年初报预算时，设置更加详细、合理、可衡量的绩效目标。</w:t>
      </w:r>
    </w:p>
    <w:p>
      <w:pPr>
        <w:pStyle w:val="4"/>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（二）预算调整率偏高</w:t>
      </w:r>
    </w:p>
    <w:p>
      <w:pPr>
        <w:keepNext w:val="0"/>
        <w:keepLines w:val="0"/>
        <w:pageBreakBefore w:val="0"/>
        <w:numPr>
          <w:ilvl w:val="0"/>
          <w:numId w:val="0"/>
        </w:numPr>
        <w:kinsoku/>
        <w:wordWrap/>
        <w:overflowPunct/>
        <w:topLinePunct w:val="0"/>
        <w:autoSpaceDE/>
        <w:autoSpaceDN/>
        <w:bidi w:val="0"/>
        <w:spacing w:line="600" w:lineRule="exact"/>
        <w:ind w:firstLine="640" w:firstLineChars="200"/>
      </w:pPr>
      <w:r>
        <w:rPr>
          <w:rFonts w:hint="eastAsia" w:ascii="Times New Roman" w:hAnsi="Times New Roman" w:eastAsia="仿宋_GB2312" w:cs="Times New Roman"/>
          <w:sz w:val="32"/>
          <w:szCs w:val="32"/>
          <w:lang w:val="en-US" w:eastAsia="zh-CN"/>
        </w:rPr>
        <w:t>年初预算有待科学合理，执行预算欠严格落实。经统计，2021年度本部门基本支出预算调整数为51.38万元，预算数为213.62万元，预算调整率=（预算调整数/预算数）×100%=24.05%，预算调整率偏高。</w:t>
      </w:r>
    </w:p>
    <w:p>
      <w:pPr>
        <w:keepNext w:val="0"/>
        <w:keepLines w:val="0"/>
        <w:pageBreakBefore w:val="0"/>
        <w:widowControl/>
        <w:numPr>
          <w:ilvl w:val="0"/>
          <w:numId w:val="0"/>
        </w:numPr>
        <w:shd w:val="clear" w:color="auto" w:fill="FFFFFF"/>
        <w:kinsoku/>
        <w:wordWrap/>
        <w:topLinePunct w:val="0"/>
        <w:autoSpaceDE/>
        <w:autoSpaceDN/>
        <w:bidi w:val="0"/>
        <w:spacing w:line="600" w:lineRule="exact"/>
        <w:ind w:left="640" w:leftChars="0"/>
        <w:rPr>
          <w:rFonts w:hint="eastAsia" w:ascii="黑体" w:hAnsi="黑体" w:eastAsia="黑体" w:cs="黑体"/>
          <w:b w:val="0"/>
          <w:bCs/>
          <w:spacing w:val="-2"/>
          <w:sz w:val="32"/>
          <w:szCs w:val="32"/>
        </w:rPr>
      </w:pPr>
      <w:r>
        <w:rPr>
          <w:rFonts w:hint="eastAsia" w:ascii="黑体" w:hAnsi="黑体" w:eastAsia="黑体" w:cs="黑体"/>
          <w:b w:val="0"/>
          <w:bCs/>
          <w:spacing w:val="-2"/>
          <w:sz w:val="32"/>
          <w:szCs w:val="32"/>
          <w:lang w:eastAsia="zh-CN"/>
        </w:rPr>
        <w:t>八、</w:t>
      </w:r>
      <w:r>
        <w:rPr>
          <w:rFonts w:hint="eastAsia" w:ascii="黑体" w:hAnsi="黑体" w:eastAsia="黑体" w:cs="黑体"/>
          <w:b w:val="0"/>
          <w:bCs/>
          <w:spacing w:val="-2"/>
          <w:sz w:val="32"/>
          <w:szCs w:val="32"/>
        </w:rPr>
        <w:t>改进措施和有关建议</w:t>
      </w:r>
    </w:p>
    <w:p>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切实落实治党管党措施。进一步落实《党委（党组）落实全面从严治党主体责任规定》，认真抓好意识形态工作、党风廉政建设、基层党组织建设和人才队伍建设，不断提高干部履职尽责能力，建设一支政治坚定、业务精通、作风优良、清正廉洁的干部队伍。</w:t>
      </w:r>
    </w:p>
    <w:p>
      <w:pPr>
        <w:pStyle w:val="4"/>
        <w:keepNext w:val="0"/>
        <w:keepLines w:val="0"/>
        <w:pageBreakBefore w:val="0"/>
        <w:kinsoku/>
        <w:wordWrap/>
        <w:topLinePunct w:val="0"/>
        <w:autoSpaceDE/>
        <w:autoSpaceDN/>
        <w:bidi w:val="0"/>
        <w:spacing w:line="600" w:lineRule="exact"/>
        <w:rPr>
          <w:rFonts w:hint="eastAsia"/>
          <w:lang w:val="en-US" w:eastAsia="zh-CN"/>
        </w:rPr>
      </w:pPr>
    </w:p>
    <w:p>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p>
    <w:p>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p>
    <w:p>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p>
    <w:p>
      <w:pPr>
        <w:pStyle w:val="4"/>
        <w:keepNext w:val="0"/>
        <w:keepLines w:val="0"/>
        <w:pageBreakBefore w:val="0"/>
        <w:kinsoku/>
        <w:wordWrap/>
        <w:topLinePunct w:val="0"/>
        <w:autoSpaceDE/>
        <w:autoSpaceDN/>
        <w:bidi w:val="0"/>
        <w:spacing w:line="600" w:lineRule="exact"/>
        <w:rPr>
          <w:rFonts w:hint="eastAsia" w:ascii="Times New Roman" w:hAnsi="Times New Roman" w:eastAsia="仿宋_GB2312" w:cs="Times New Roman"/>
          <w:sz w:val="32"/>
          <w:szCs w:val="32"/>
          <w:lang w:val="en-US" w:eastAsia="zh-CN"/>
        </w:rPr>
      </w:pPr>
    </w:p>
    <w:p>
      <w:pPr>
        <w:pStyle w:val="3"/>
        <w:keepNext w:val="0"/>
        <w:keepLines w:val="0"/>
        <w:pageBreakBefore w:val="0"/>
        <w:kinsoku/>
        <w:wordWrap/>
        <w:topLinePunct w:val="0"/>
        <w:autoSpaceDE/>
        <w:autoSpaceDN/>
        <w:bidi w:val="0"/>
        <w:spacing w:line="600" w:lineRule="exact"/>
        <w:rPr>
          <w:rFonts w:hint="eastAsia"/>
          <w:lang w:val="en-US" w:eastAsia="zh-CN"/>
        </w:rPr>
      </w:pPr>
    </w:p>
    <w:p>
      <w:pPr>
        <w:keepNext w:val="0"/>
        <w:keepLines w:val="0"/>
        <w:pageBreakBefore w:val="0"/>
        <w:kinsoku/>
        <w:wordWrap/>
        <w:topLinePunct w:val="0"/>
        <w:autoSpaceDE/>
        <w:autoSpaceDN/>
        <w:bidi w:val="0"/>
        <w:spacing w:line="600" w:lineRule="exact"/>
        <w:rPr>
          <w:rFonts w:hint="eastAsia"/>
          <w:lang w:val="en-US" w:eastAsia="zh-CN"/>
        </w:rPr>
      </w:pPr>
    </w:p>
    <w:p>
      <w:pPr>
        <w:keepNext w:val="0"/>
        <w:keepLines w:val="0"/>
        <w:pageBreakBefore w:val="0"/>
        <w:kinsoku/>
        <w:wordWrap/>
        <w:topLinePunct w:val="0"/>
        <w:autoSpaceDE/>
        <w:autoSpaceDN/>
        <w:bidi w:val="0"/>
        <w:spacing w:line="600" w:lineRule="exact"/>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B7ED8"/>
    <w:multiLevelType w:val="singleLevel"/>
    <w:tmpl w:val="AABB7ED8"/>
    <w:lvl w:ilvl="0" w:tentative="0">
      <w:start w:val="3"/>
      <w:numFmt w:val="chineseCounting"/>
      <w:suff w:val="nothing"/>
      <w:lvlText w:val="%1、"/>
      <w:lvlJc w:val="left"/>
      <w:rPr>
        <w:rFonts w:hint="eastAsia"/>
      </w:rPr>
    </w:lvl>
  </w:abstractNum>
  <w:abstractNum w:abstractNumId="1">
    <w:nsid w:val="4B7E85FE"/>
    <w:multiLevelType w:val="singleLevel"/>
    <w:tmpl w:val="4B7E85FE"/>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YmY1OTY5ZTRjM2UzNTU5ZDk3MGYzOTAzMGEzZDkifQ=="/>
  </w:docVars>
  <w:rsids>
    <w:rsidRoot w:val="79815DDD"/>
    <w:rsid w:val="10E40911"/>
    <w:rsid w:val="65435254"/>
    <w:rsid w:val="79815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Indent"/>
    <w:basedOn w:val="1"/>
    <w:qFormat/>
    <w:uiPriority w:val="0"/>
    <w:pPr>
      <w:widowControl w:val="0"/>
      <w:ind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index 5"/>
    <w:basedOn w:val="1"/>
    <w:next w:val="1"/>
    <w:semiHidden/>
    <w:qFormat/>
    <w:uiPriority w:val="99"/>
    <w:pPr>
      <w:ind w:left="1680"/>
    </w:pPr>
  </w:style>
  <w:style w:type="paragraph" w:styleId="4">
    <w:name w:val="footer"/>
    <w:basedOn w:val="1"/>
    <w:next w:val="3"/>
    <w:qFormat/>
    <w:uiPriority w:val="0"/>
    <w:pPr>
      <w:tabs>
        <w:tab w:val="center" w:pos="4153"/>
        <w:tab w:val="right" w:pos="8306"/>
      </w:tabs>
      <w:snapToGrid w:val="0"/>
      <w:jc w:val="left"/>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列出段落"/>
    <w:basedOn w:val="1"/>
    <w:qFormat/>
    <w:uiPriority w:val="0"/>
    <w:pPr>
      <w:ind w:firstLine="200" w:firstLineChars="200"/>
    </w:pPr>
    <w:rPr>
      <w:rFonts w:ascii="Calibri" w:hAnsi="Calibri"/>
      <w:szCs w:val="22"/>
    </w:rPr>
  </w:style>
  <w:style w:type="paragraph" w:customStyle="1" w:styleId="9">
    <w:name w:val="正文1"/>
    <w:basedOn w:val="1"/>
    <w:qFormat/>
    <w:uiPriority w:val="0"/>
    <w:rPr>
      <w:rFonts w:ascii="宋体" w:hAnsi="宋体" w:cs="宋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6178</Words>
  <Characters>6573</Characters>
  <Lines>0</Lines>
  <Paragraphs>0</Paragraphs>
  <TotalTime>4</TotalTime>
  <ScaleCrop>false</ScaleCrop>
  <LinksUpToDate>false</LinksUpToDate>
  <CharactersWithSpaces>6576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2022-07-05T02:27:00Z</dcterms:created>
  <dc:creator>澎澎</dc:creator>
  <cp:lastModifiedBy>澎澎</cp:lastModifiedBy>
  <dcterms:modified xsi:type="dcterms:W3CDTF">2022-09-23T05:40:52Z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C972DADD813E4CE6AED7E20A7FA1C02A</vt:lpwstr>
  </property>
</Properties>
</file>