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2863EF">
      <w:pPr>
        <w:jc w:val="center"/>
        <w:rPr>
          <w:rFonts w:ascii="Times New Roman" w:hAnsi="Times New Roman" w:eastAsia="方正小标宋_GBK" w:cs="Times New Roman"/>
          <w:sz w:val="52"/>
          <w:szCs w:val="52"/>
        </w:rPr>
      </w:pPr>
    </w:p>
    <w:p w14:paraId="14ADC3D0">
      <w:pPr>
        <w:jc w:val="center"/>
        <w:rPr>
          <w:rFonts w:ascii="Times New Roman" w:hAnsi="Times New Roman" w:eastAsia="方正小标宋_GBK" w:cs="Times New Roman"/>
          <w:sz w:val="52"/>
          <w:szCs w:val="52"/>
        </w:rPr>
      </w:pPr>
    </w:p>
    <w:p w14:paraId="170709CD">
      <w:pPr>
        <w:jc w:val="center"/>
        <w:rPr>
          <w:rFonts w:hint="eastAsia" w:eastAsia="方正小标宋_GBK" w:cs="Times New Roman"/>
          <w:sz w:val="52"/>
          <w:szCs w:val="52"/>
          <w:lang w:eastAsia="zh-CN"/>
        </w:rPr>
      </w:pPr>
      <w:r>
        <w:rPr>
          <w:rFonts w:ascii="Times New Roman" w:hAnsi="Times New Roman" w:eastAsia="方正小标宋_GBK" w:cs="Times New Roman"/>
          <w:sz w:val="52"/>
          <w:szCs w:val="52"/>
        </w:rPr>
        <w:t>202</w:t>
      </w:r>
      <w:r>
        <w:rPr>
          <w:rFonts w:hint="eastAsia" w:eastAsia="方正小标宋_GBK" w:cs="Times New Roman"/>
          <w:sz w:val="52"/>
          <w:szCs w:val="52"/>
          <w:lang w:val="en-US" w:eastAsia="zh-CN"/>
        </w:rPr>
        <w:t>3</w:t>
      </w:r>
      <w:r>
        <w:rPr>
          <w:rFonts w:ascii="Times New Roman" w:hAnsi="Times New Roman" w:eastAsia="方正小标宋_GBK" w:cs="Times New Roman"/>
          <w:sz w:val="52"/>
          <w:szCs w:val="52"/>
        </w:rPr>
        <w:t>年</w:t>
      </w:r>
      <w:r>
        <w:rPr>
          <w:rFonts w:hint="eastAsia" w:eastAsia="方正小标宋_GBK" w:cs="Times New Roman"/>
          <w:sz w:val="52"/>
          <w:szCs w:val="52"/>
          <w:lang w:eastAsia="zh-CN"/>
        </w:rPr>
        <w:t>度怀化市人民政府研究室</w:t>
      </w:r>
    </w:p>
    <w:p w14:paraId="74D7EE3E">
      <w:pPr>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整体支出绩效自评报告</w:t>
      </w:r>
    </w:p>
    <w:p w14:paraId="54E03E0D">
      <w:pPr>
        <w:jc w:val="both"/>
        <w:rPr>
          <w:rFonts w:ascii="Times New Roman" w:hAnsi="Times New Roman" w:eastAsia="楷体_GB2312" w:cs="Times New Roman"/>
          <w:b/>
          <w:sz w:val="32"/>
          <w:szCs w:val="32"/>
        </w:rPr>
      </w:pPr>
    </w:p>
    <w:p w14:paraId="4DF614AE">
      <w:pPr>
        <w:jc w:val="center"/>
        <w:rPr>
          <w:rFonts w:ascii="Times New Roman" w:hAnsi="Times New Roman" w:eastAsia="黑体" w:cs="Times New Roman"/>
          <w:sz w:val="32"/>
          <w:szCs w:val="32"/>
        </w:rPr>
      </w:pPr>
    </w:p>
    <w:p w14:paraId="1034CD6E">
      <w:pPr>
        <w:jc w:val="center"/>
        <w:rPr>
          <w:rFonts w:ascii="Times New Roman" w:hAnsi="Times New Roman" w:eastAsia="黑体" w:cs="Times New Roman"/>
          <w:sz w:val="32"/>
          <w:szCs w:val="32"/>
        </w:rPr>
      </w:pPr>
    </w:p>
    <w:p w14:paraId="37E843B8">
      <w:pPr>
        <w:jc w:val="center"/>
        <w:rPr>
          <w:rFonts w:ascii="Times New Roman" w:hAnsi="Times New Roman" w:eastAsia="黑体" w:cs="Times New Roman"/>
          <w:sz w:val="32"/>
          <w:szCs w:val="32"/>
        </w:rPr>
      </w:pPr>
    </w:p>
    <w:p w14:paraId="24F13BC9">
      <w:pPr>
        <w:jc w:val="center"/>
        <w:rPr>
          <w:rFonts w:ascii="Times New Roman" w:hAnsi="Times New Roman" w:eastAsia="黑体" w:cs="Times New Roman"/>
          <w:sz w:val="32"/>
          <w:szCs w:val="32"/>
        </w:rPr>
      </w:pPr>
    </w:p>
    <w:p w14:paraId="778433BC">
      <w:pPr>
        <w:jc w:val="center"/>
        <w:rPr>
          <w:rFonts w:ascii="Times New Roman" w:hAnsi="Times New Roman" w:eastAsia="黑体" w:cs="Times New Roman"/>
          <w:sz w:val="32"/>
          <w:szCs w:val="32"/>
        </w:rPr>
      </w:pPr>
    </w:p>
    <w:p w14:paraId="0448A27E">
      <w:pPr>
        <w:jc w:val="center"/>
        <w:rPr>
          <w:rFonts w:ascii="Times New Roman" w:hAnsi="Times New Roman" w:eastAsia="黑体" w:cs="Times New Roman"/>
          <w:sz w:val="32"/>
          <w:szCs w:val="32"/>
        </w:rPr>
      </w:pPr>
    </w:p>
    <w:p w14:paraId="686BB367">
      <w:pPr>
        <w:jc w:val="both"/>
        <w:rPr>
          <w:rFonts w:ascii="Times New Roman" w:hAnsi="Times New Roman" w:eastAsia="黑体" w:cs="Times New Roman"/>
          <w:sz w:val="32"/>
          <w:szCs w:val="32"/>
        </w:rPr>
      </w:pPr>
    </w:p>
    <w:p w14:paraId="0272C9A9">
      <w:pPr>
        <w:jc w:val="center"/>
        <w:rPr>
          <w:rFonts w:ascii="Times New Roman" w:hAnsi="Times New Roman" w:eastAsia="黑体" w:cs="Times New Roman"/>
          <w:sz w:val="32"/>
          <w:szCs w:val="32"/>
        </w:rPr>
      </w:pPr>
    </w:p>
    <w:p w14:paraId="180547C0">
      <w:pPr>
        <w:pStyle w:val="2"/>
        <w:rPr>
          <w:rFonts w:ascii="Times New Roman" w:hAnsi="Times New Roman" w:eastAsia="楷体_GB2312" w:cs="Times New Roman"/>
          <w:sz w:val="32"/>
          <w:szCs w:val="32"/>
        </w:rPr>
      </w:pPr>
    </w:p>
    <w:p w14:paraId="6A513046">
      <w:pPr>
        <w:pStyle w:val="2"/>
        <w:rPr>
          <w:rFonts w:ascii="Times New Roman" w:hAnsi="Times New Roman" w:eastAsia="楷体_GB2312" w:cs="Times New Roman"/>
          <w:sz w:val="32"/>
          <w:szCs w:val="32"/>
        </w:rPr>
      </w:pPr>
    </w:p>
    <w:p w14:paraId="0C74693F">
      <w:pPr>
        <w:pStyle w:val="2"/>
        <w:rPr>
          <w:rFonts w:ascii="Times New Roman" w:hAnsi="Times New Roman" w:eastAsia="楷体_GB2312" w:cs="Times New Roman"/>
          <w:sz w:val="32"/>
          <w:szCs w:val="32"/>
        </w:rPr>
      </w:pPr>
    </w:p>
    <w:p w14:paraId="2B1F2588">
      <w:pPr>
        <w:pStyle w:val="2"/>
        <w:rPr>
          <w:rFonts w:ascii="Times New Roman" w:hAnsi="Times New Roman" w:eastAsia="楷体_GB2312" w:cs="Times New Roman"/>
          <w:sz w:val="32"/>
          <w:szCs w:val="32"/>
        </w:rPr>
      </w:pPr>
    </w:p>
    <w:p w14:paraId="6F77787A">
      <w:pPr>
        <w:pStyle w:val="2"/>
        <w:rPr>
          <w:rFonts w:ascii="Times New Roman" w:hAnsi="Times New Roman" w:eastAsia="楷体_GB2312" w:cs="Times New Roman"/>
          <w:sz w:val="32"/>
          <w:szCs w:val="32"/>
        </w:rPr>
      </w:pPr>
    </w:p>
    <w:p w14:paraId="015CB7BD">
      <w:pPr>
        <w:pStyle w:val="2"/>
        <w:rPr>
          <w:rFonts w:ascii="Times New Roman" w:hAnsi="Times New Roman" w:eastAsia="楷体_GB2312" w:cs="Times New Roman"/>
          <w:sz w:val="32"/>
          <w:szCs w:val="32"/>
        </w:rPr>
      </w:pPr>
    </w:p>
    <w:p w14:paraId="1602EB43">
      <w:pPr>
        <w:pStyle w:val="2"/>
        <w:rPr>
          <w:rFonts w:ascii="Times New Roman" w:hAnsi="Times New Roman" w:eastAsia="楷体_GB2312" w:cs="Times New Roman"/>
          <w:sz w:val="32"/>
          <w:szCs w:val="32"/>
        </w:rPr>
      </w:pPr>
    </w:p>
    <w:p w14:paraId="334FABA5">
      <w:pPr>
        <w:spacing w:line="600" w:lineRule="exact"/>
        <w:ind w:firstLine="3520" w:firstLineChars="1100"/>
        <w:rPr>
          <w:rFonts w:ascii="Times New Roman" w:hAnsi="Times New Roman" w:eastAsia="楷体_GB2312" w:cs="Times New Roman"/>
          <w:sz w:val="32"/>
          <w:szCs w:val="32"/>
        </w:rPr>
      </w:pPr>
    </w:p>
    <w:p w14:paraId="796C876B">
      <w:pPr>
        <w:spacing w:line="600" w:lineRule="exact"/>
        <w:rPr>
          <w:rFonts w:ascii="Times New Roman" w:hAnsi="Times New Roman" w:eastAsia="楷体_GB2312" w:cs="Times New Roman"/>
          <w:sz w:val="32"/>
          <w:szCs w:val="32"/>
        </w:rPr>
      </w:pPr>
    </w:p>
    <w:p w14:paraId="603811D3">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lang w:val="en-US" w:eastAsia="zh-CN"/>
        </w:rPr>
      </w:pPr>
    </w:p>
    <w:p w14:paraId="2527439F">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lang w:val="en-US" w:eastAsia="zh-CN"/>
        </w:rPr>
      </w:pPr>
      <w:r>
        <w:rPr>
          <w:rFonts w:hint="eastAsia" w:ascii="方正小标宋简体" w:hAnsi="方正小标宋简体" w:eastAsia="方正小标宋简体" w:cs="方正小标宋简体"/>
          <w:b w:val="0"/>
          <w:bCs/>
          <w:spacing w:val="-2"/>
          <w:sz w:val="44"/>
          <w:szCs w:val="56"/>
          <w:lang w:val="en-US" w:eastAsia="zh-CN"/>
        </w:rPr>
        <w:t>怀化市人民政府研究室</w:t>
      </w:r>
    </w:p>
    <w:p w14:paraId="0A05FD83">
      <w:pPr>
        <w:keepNext w:val="0"/>
        <w:keepLines w:val="0"/>
        <w:pageBreakBefore w:val="0"/>
        <w:widowControl/>
        <w:shd w:val="clear" w:color="auto" w:fill="FFFFFF"/>
        <w:kinsoku/>
        <w:wordWrap/>
        <w:topLinePunct w:val="0"/>
        <w:autoSpaceDE/>
        <w:autoSpaceDN/>
        <w:bidi w:val="0"/>
        <w:spacing w:line="600" w:lineRule="exact"/>
        <w:jc w:val="center"/>
        <w:rPr>
          <w:rFonts w:hint="eastAsia" w:ascii="方正小标宋简体" w:hAnsi="方正小标宋简体" w:eastAsia="方正小标宋简体" w:cs="方正小标宋简体"/>
          <w:b w:val="0"/>
          <w:bCs/>
          <w:spacing w:val="-2"/>
          <w:sz w:val="44"/>
          <w:szCs w:val="56"/>
        </w:rPr>
      </w:pPr>
      <w:r>
        <w:rPr>
          <w:rFonts w:hint="eastAsia" w:ascii="方正小标宋简体" w:hAnsi="方正小标宋简体" w:eastAsia="方正小标宋简体" w:cs="方正小标宋简体"/>
          <w:b w:val="0"/>
          <w:bCs/>
          <w:spacing w:val="-2"/>
          <w:sz w:val="44"/>
          <w:szCs w:val="56"/>
        </w:rPr>
        <w:t>部门整体支出绩效评价报告</w:t>
      </w:r>
    </w:p>
    <w:p w14:paraId="773C8760">
      <w:pPr>
        <w:keepNext w:val="0"/>
        <w:keepLines w:val="0"/>
        <w:pageBreakBefore w:val="0"/>
        <w:widowControl/>
        <w:shd w:val="clear" w:color="auto" w:fill="FFFFFF"/>
        <w:kinsoku/>
        <w:wordWrap/>
        <w:topLinePunct w:val="0"/>
        <w:autoSpaceDE/>
        <w:autoSpaceDN/>
        <w:bidi w:val="0"/>
        <w:spacing w:line="600" w:lineRule="exact"/>
        <w:jc w:val="center"/>
        <w:rPr>
          <w:rFonts w:hint="eastAsia" w:eastAsia="仿宋_GB2312"/>
          <w:b/>
          <w:spacing w:val="-2"/>
          <w:sz w:val="40"/>
          <w:szCs w:val="52"/>
        </w:rPr>
      </w:pPr>
    </w:p>
    <w:p w14:paraId="6EB49D2D">
      <w:pPr>
        <w:keepNext w:val="0"/>
        <w:keepLines w:val="0"/>
        <w:pageBreakBefore w:val="0"/>
        <w:widowControl/>
        <w:shd w:val="clear" w:color="auto" w:fill="FFFFFF"/>
        <w:kinsoku/>
        <w:wordWrap/>
        <w:topLinePunct w:val="0"/>
        <w:autoSpaceDE/>
        <w:autoSpaceDN/>
        <w:bidi w:val="0"/>
        <w:spacing w:line="600" w:lineRule="exact"/>
        <w:ind w:firstLine="640"/>
        <w:rPr>
          <w:rFonts w:hint="eastAsia" w:ascii="黑体" w:hAnsi="黑体" w:eastAsia="黑体" w:cs="黑体"/>
          <w:b w:val="0"/>
          <w:bCs/>
          <w:spacing w:val="-2"/>
          <w:sz w:val="32"/>
          <w:szCs w:val="32"/>
          <w:lang w:val="en-US" w:eastAsia="zh-CN"/>
        </w:rPr>
      </w:pPr>
      <w:r>
        <w:rPr>
          <w:rFonts w:hint="eastAsia" w:ascii="黑体" w:hAnsi="黑体" w:eastAsia="黑体" w:cs="黑体"/>
          <w:b w:val="0"/>
          <w:bCs/>
          <w:spacing w:val="-2"/>
          <w:sz w:val="32"/>
          <w:szCs w:val="32"/>
        </w:rPr>
        <w:t>一、部门</w:t>
      </w:r>
      <w:r>
        <w:rPr>
          <w:rFonts w:hint="eastAsia" w:ascii="黑体" w:hAnsi="黑体" w:eastAsia="黑体" w:cs="黑体"/>
          <w:b w:val="0"/>
          <w:bCs/>
          <w:spacing w:val="-2"/>
          <w:sz w:val="32"/>
          <w:szCs w:val="32"/>
          <w:lang w:eastAsia="zh-CN"/>
        </w:rPr>
        <w:t>、</w:t>
      </w:r>
      <w:r>
        <w:rPr>
          <w:rFonts w:hint="eastAsia" w:ascii="黑体" w:hAnsi="黑体" w:eastAsia="黑体" w:cs="黑体"/>
          <w:b w:val="0"/>
          <w:bCs/>
          <w:spacing w:val="-2"/>
          <w:sz w:val="32"/>
          <w:szCs w:val="32"/>
          <w:lang w:val="en-US" w:eastAsia="zh-CN"/>
        </w:rPr>
        <w:t>单位基本情况</w:t>
      </w:r>
    </w:p>
    <w:p w14:paraId="0679F8F7">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（一）</w:t>
      </w:r>
      <w:r>
        <w:rPr>
          <w:rFonts w:hint="eastAsia" w:ascii="楷体_GB2312" w:hAnsi="楷体_GB2312" w:eastAsia="楷体_GB2312" w:cs="楷体_GB2312"/>
          <w:spacing w:val="-2"/>
          <w:sz w:val="32"/>
          <w:szCs w:val="32"/>
          <w:lang w:val="en-US" w:eastAsia="zh-CN"/>
        </w:rPr>
        <w:t>机构设置</w:t>
      </w:r>
      <w:r>
        <w:rPr>
          <w:rFonts w:hint="eastAsia" w:ascii="楷体_GB2312" w:hAnsi="楷体_GB2312" w:eastAsia="楷体_GB2312" w:cs="楷体_GB2312"/>
          <w:spacing w:val="-2"/>
          <w:sz w:val="32"/>
          <w:szCs w:val="32"/>
        </w:rPr>
        <w:t>情况</w:t>
      </w:r>
    </w:p>
    <w:p w14:paraId="6A3A8095">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eastAsia="zh-CN"/>
        </w:rPr>
      </w:pPr>
      <w:r>
        <w:rPr>
          <w:rFonts w:hint="eastAsia" w:ascii="Times New Roman" w:hAnsi="Times New Roman" w:eastAsia="仿宋_GB2312" w:cs="仿宋_GB2312"/>
          <w:spacing w:val="-2"/>
          <w:sz w:val="32"/>
          <w:szCs w:val="32"/>
        </w:rPr>
        <w:t>怀化市人民政府研究室作为一级部门预算单位，内设科室为：办公室、综合调研一科、综合调研二科、综合调研三科</w:t>
      </w:r>
      <w:r>
        <w:rPr>
          <w:rFonts w:hint="eastAsia" w:ascii="Times New Roman" w:hAnsi="Times New Roman" w:eastAsia="仿宋_GB2312" w:cs="仿宋_GB2312"/>
          <w:spacing w:val="-2"/>
          <w:sz w:val="32"/>
          <w:szCs w:val="32"/>
          <w:lang w:eastAsia="zh-CN"/>
        </w:rPr>
        <w:t>。</w:t>
      </w:r>
    </w:p>
    <w:p w14:paraId="0EF55C8A">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rPr>
      </w:pP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二</w:t>
      </w: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人员编制</w:t>
      </w:r>
      <w:r>
        <w:rPr>
          <w:rFonts w:hint="eastAsia" w:ascii="楷体_GB2312" w:hAnsi="楷体_GB2312" w:eastAsia="楷体_GB2312" w:cs="楷体_GB2312"/>
          <w:spacing w:val="-2"/>
          <w:sz w:val="32"/>
          <w:szCs w:val="32"/>
        </w:rPr>
        <w:t>情况</w:t>
      </w:r>
    </w:p>
    <w:p w14:paraId="636C14E3">
      <w:pPr>
        <w:keepNext w:val="0"/>
        <w:keepLines w:val="0"/>
        <w:pageBreakBefore w:val="0"/>
        <w:widowControl/>
        <w:shd w:val="clear" w:color="auto" w:fill="FFFFFF"/>
        <w:kinsoku/>
        <w:wordWrap/>
        <w:topLinePunct w:val="0"/>
        <w:autoSpaceDE/>
        <w:autoSpaceDN/>
        <w:bidi w:val="0"/>
        <w:spacing w:line="600" w:lineRule="exact"/>
        <w:ind w:firstLine="632" w:firstLineChars="200"/>
        <w:rPr>
          <w:rFonts w:hint="eastAsia"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我</w:t>
      </w:r>
      <w:r>
        <w:rPr>
          <w:rFonts w:hint="eastAsia" w:ascii="Times New Roman" w:hAnsi="Times New Roman" w:eastAsia="仿宋_GB2312" w:cs="仿宋_GB2312"/>
          <w:spacing w:val="-2"/>
          <w:sz w:val="32"/>
          <w:szCs w:val="32"/>
          <w:lang w:val="en-US" w:eastAsia="zh-CN"/>
        </w:rPr>
        <w:t>单位</w:t>
      </w:r>
      <w:r>
        <w:rPr>
          <w:rFonts w:hint="eastAsia" w:ascii="Times New Roman" w:hAnsi="Times New Roman" w:eastAsia="仿宋_GB2312" w:cs="仿宋_GB2312"/>
          <w:spacing w:val="-2"/>
          <w:sz w:val="32"/>
          <w:szCs w:val="32"/>
        </w:rPr>
        <w:t>202</w:t>
      </w:r>
      <w:r>
        <w:rPr>
          <w:rFonts w:hint="eastAsia" w:eastAsia="仿宋_GB2312" w:cs="仿宋_GB2312"/>
          <w:spacing w:val="-2"/>
          <w:sz w:val="32"/>
          <w:szCs w:val="32"/>
          <w:lang w:val="en-US" w:eastAsia="zh-CN"/>
        </w:rPr>
        <w:t>3</w:t>
      </w:r>
      <w:r>
        <w:rPr>
          <w:rFonts w:hint="eastAsia" w:ascii="Times New Roman" w:hAnsi="Times New Roman" w:eastAsia="仿宋_GB2312" w:cs="仿宋_GB2312"/>
          <w:spacing w:val="-2"/>
          <w:sz w:val="32"/>
          <w:szCs w:val="32"/>
        </w:rPr>
        <w:t>年人员编制数</w:t>
      </w:r>
      <w:r>
        <w:rPr>
          <w:rFonts w:hint="eastAsia" w:ascii="Times New Roman" w:hAnsi="Times New Roman" w:eastAsia="仿宋_GB2312" w:cs="仿宋_GB2312"/>
          <w:spacing w:val="-2"/>
          <w:sz w:val="32"/>
          <w:szCs w:val="32"/>
          <w:lang w:val="en-US" w:eastAsia="zh-CN"/>
        </w:rPr>
        <w:t>1</w:t>
      </w:r>
      <w:r>
        <w:rPr>
          <w:rFonts w:hint="eastAsia" w:eastAsia="仿宋_GB2312" w:cs="仿宋_GB2312"/>
          <w:spacing w:val="-2"/>
          <w:sz w:val="32"/>
          <w:szCs w:val="32"/>
          <w:lang w:val="en-US" w:eastAsia="zh-CN"/>
        </w:rPr>
        <w:t>5</w:t>
      </w:r>
      <w:r>
        <w:rPr>
          <w:rFonts w:hint="eastAsia" w:ascii="Times New Roman" w:hAnsi="Times New Roman" w:eastAsia="仿宋_GB2312" w:cs="仿宋_GB2312"/>
          <w:spacing w:val="-2"/>
          <w:sz w:val="32"/>
          <w:szCs w:val="32"/>
        </w:rPr>
        <w:t>人</w:t>
      </w:r>
      <w:r>
        <w:rPr>
          <w:rFonts w:hint="eastAsia" w:ascii="Times New Roman" w:hAnsi="Times New Roman" w:eastAsia="仿宋_GB2312" w:cs="仿宋_GB2312"/>
          <w:spacing w:val="-2"/>
          <w:sz w:val="32"/>
          <w:szCs w:val="32"/>
          <w:lang w:eastAsia="zh-CN"/>
        </w:rPr>
        <w:t>，</w:t>
      </w:r>
      <w:r>
        <w:rPr>
          <w:rFonts w:hint="eastAsia" w:ascii="Times New Roman" w:hAnsi="Times New Roman" w:eastAsia="仿宋_GB2312" w:cs="仿宋_GB2312"/>
          <w:spacing w:val="-2"/>
          <w:sz w:val="32"/>
          <w:szCs w:val="32"/>
          <w:lang w:val="en-US" w:eastAsia="zh-CN"/>
        </w:rPr>
        <w:t>年末在职在编人员1</w:t>
      </w:r>
      <w:r>
        <w:rPr>
          <w:rFonts w:hint="eastAsia" w:eastAsia="仿宋_GB2312" w:cs="仿宋_GB2312"/>
          <w:spacing w:val="-2"/>
          <w:sz w:val="32"/>
          <w:szCs w:val="32"/>
          <w:lang w:val="en-US" w:eastAsia="zh-CN"/>
        </w:rPr>
        <w:t>4</w:t>
      </w:r>
      <w:r>
        <w:rPr>
          <w:rFonts w:hint="eastAsia" w:ascii="Times New Roman" w:hAnsi="Times New Roman" w:eastAsia="仿宋_GB2312" w:cs="仿宋_GB2312"/>
          <w:spacing w:val="-2"/>
          <w:sz w:val="32"/>
          <w:szCs w:val="32"/>
          <w:lang w:val="en-US" w:eastAsia="zh-CN"/>
        </w:rPr>
        <w:t>人</w:t>
      </w:r>
      <w:r>
        <w:rPr>
          <w:rFonts w:hint="eastAsia" w:ascii="Times New Roman" w:hAnsi="Times New Roman" w:eastAsia="仿宋_GB2312" w:cs="仿宋_GB2312"/>
          <w:spacing w:val="-2"/>
          <w:sz w:val="32"/>
          <w:szCs w:val="32"/>
        </w:rPr>
        <w:t>。</w:t>
      </w:r>
    </w:p>
    <w:p w14:paraId="71F43F17">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spacing w:val="-2"/>
          <w:sz w:val="32"/>
          <w:szCs w:val="32"/>
          <w:lang w:val="en-US" w:eastAsia="zh-CN"/>
        </w:rPr>
      </w:pP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三</w:t>
      </w: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主要职能职责</w:t>
      </w:r>
    </w:p>
    <w:p w14:paraId="108802B2">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（1）负责《政府工作报告》和市政府主要领导同志重要讲话、报告、文章的起草及有关新闻稿的审定。</w:t>
      </w:r>
    </w:p>
    <w:p w14:paraId="66D99417">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（2）负责起草市政府向省委省政府的重要汇报材料；组织和协同有关方面起草、修改市政府的有关重要综合性文件；参与起草市委、市政府有关重要会议的文件。</w:t>
      </w:r>
    </w:p>
    <w:p w14:paraId="68784CCB">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（3）负责牵头组织涉及全市经济建设、社会发展和改革开放等战略性、全局性、综合性重大问题的调查研究，及时综合归纳，提出供市政府决策的参考方案和政策性建议。</w:t>
      </w:r>
    </w:p>
    <w:p w14:paraId="38D95746">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（4）负责对市内外经济形势和社会发展政策进行分析和研究，提出政策建议；收集、分析、整理和报送经济社会发展的重要信息、动态，为市政府决策提供参考建议。</w:t>
      </w:r>
    </w:p>
    <w:p w14:paraId="36F91FC5">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（5）负责市政府主要领导联络服务工作。</w:t>
      </w:r>
    </w:p>
    <w:p w14:paraId="1018BB8A">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（6）负责组织全市政府系统经济研究工作人员的培训与业务交流。</w:t>
      </w:r>
    </w:p>
    <w:p w14:paraId="30E4025A">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（7）负责组织专家对全市经济社会发展的重大问题、重大决策、重大项目进行研究论证、提供咨询服务。</w:t>
      </w:r>
    </w:p>
    <w:p w14:paraId="7A62D32B">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（8）承办市委、市政府交办的其他事项。</w:t>
      </w:r>
    </w:p>
    <w:p w14:paraId="468078F2">
      <w:pPr>
        <w:keepNext w:val="0"/>
        <w:keepLines w:val="0"/>
        <w:pageBreakBefore w:val="0"/>
        <w:widowControl/>
        <w:shd w:val="clear" w:color="auto" w:fill="FFFFFF"/>
        <w:kinsoku/>
        <w:wordWrap/>
        <w:topLinePunct w:val="0"/>
        <w:autoSpaceDE/>
        <w:autoSpaceDN/>
        <w:bidi w:val="0"/>
        <w:spacing w:line="600" w:lineRule="exact"/>
        <w:ind w:firstLine="640"/>
        <w:rPr>
          <w:rFonts w:hint="default" w:ascii="楷体_GB2312" w:hAnsi="楷体_GB2312" w:eastAsia="楷体_GB2312" w:cs="楷体_GB2312"/>
          <w:spacing w:val="-2"/>
          <w:sz w:val="32"/>
          <w:szCs w:val="32"/>
          <w:lang w:val="en-US" w:eastAsia="zh-CN"/>
        </w:rPr>
      </w:pP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四</w:t>
      </w:r>
      <w:r>
        <w:rPr>
          <w:rFonts w:hint="eastAsia" w:ascii="楷体_GB2312" w:hAnsi="楷体_GB2312" w:eastAsia="楷体_GB2312" w:cs="楷体_GB2312"/>
          <w:spacing w:val="-2"/>
          <w:sz w:val="32"/>
          <w:szCs w:val="32"/>
        </w:rPr>
        <w:t>）</w:t>
      </w:r>
      <w:r>
        <w:rPr>
          <w:rFonts w:hint="eastAsia" w:ascii="楷体_GB2312" w:hAnsi="楷体_GB2312" w:eastAsia="楷体_GB2312" w:cs="楷体_GB2312"/>
          <w:spacing w:val="-2"/>
          <w:sz w:val="32"/>
          <w:szCs w:val="32"/>
          <w:lang w:val="en-US" w:eastAsia="zh-CN"/>
        </w:rPr>
        <w:t>绩效目标设定情况</w:t>
      </w:r>
    </w:p>
    <w:p w14:paraId="421909F5">
      <w:pPr>
        <w:keepNext w:val="0"/>
        <w:keepLines w:val="0"/>
        <w:pageBreakBefore w:val="0"/>
        <w:widowControl/>
        <w:numPr>
          <w:ilvl w:val="0"/>
          <w:numId w:val="0"/>
        </w:numPr>
        <w:shd w:val="clear" w:color="auto" w:fill="FFFFFF"/>
        <w:kinsoku/>
        <w:wordWrap/>
        <w:topLinePunct w:val="0"/>
        <w:autoSpaceDE/>
        <w:autoSpaceDN/>
        <w:bidi w:val="0"/>
        <w:spacing w:line="600" w:lineRule="exact"/>
        <w:rPr>
          <w:rFonts w:hint="default" w:ascii="Times New Roman" w:hAnsi="Times New Roman" w:eastAsia="仿宋_GB2312" w:cs="仿宋_GB2312"/>
          <w:spacing w:val="-2"/>
          <w:kern w:val="2"/>
          <w:sz w:val="32"/>
          <w:szCs w:val="32"/>
          <w:lang w:val="en-US" w:eastAsia="zh-CN" w:bidi="ar-SA"/>
        </w:rPr>
      </w:pPr>
      <w:r>
        <w:rPr>
          <w:rFonts w:hint="eastAsia" w:eastAsia="仿宋_GB2312" w:cs="仿宋_GB2312"/>
          <w:spacing w:val="-2"/>
          <w:kern w:val="2"/>
          <w:sz w:val="32"/>
          <w:szCs w:val="32"/>
          <w:lang w:val="en-US" w:eastAsia="zh-CN" w:bidi="ar-SA"/>
        </w:rPr>
        <w:t xml:space="preserve">    2023年整体支出绩效目标为285.97万元，其中基本支出 </w:t>
      </w:r>
      <w:r>
        <w:rPr>
          <w:rFonts w:hint="eastAsia" w:eastAsia="仿宋_GB2312"/>
          <w:sz w:val="32"/>
          <w:szCs w:val="32"/>
          <w:lang w:val="en-US" w:eastAsia="zh-CN"/>
        </w:rPr>
        <w:t>235.97</w:t>
      </w:r>
      <w:r>
        <w:rPr>
          <w:rFonts w:hint="eastAsia" w:eastAsia="仿宋_GB2312"/>
          <w:sz w:val="32"/>
          <w:szCs w:val="32"/>
          <w:lang w:eastAsia="zh-CN"/>
        </w:rPr>
        <w:t>万元，</w:t>
      </w:r>
      <w:r>
        <w:rPr>
          <w:rFonts w:hint="eastAsia" w:eastAsia="仿宋_GB2312"/>
          <w:sz w:val="32"/>
          <w:szCs w:val="32"/>
          <w:lang w:val="en-US" w:eastAsia="zh-CN"/>
        </w:rPr>
        <w:t>项目支出50万元，设置了产出指标，效益指标和满意度指标。</w:t>
      </w:r>
    </w:p>
    <w:p w14:paraId="3B92F4CC">
      <w:pPr>
        <w:keepNext w:val="0"/>
        <w:keepLines w:val="0"/>
        <w:pageBreakBefore w:val="0"/>
        <w:widowControl/>
        <w:shd w:val="clear" w:color="auto" w:fill="FFFFFF"/>
        <w:kinsoku/>
        <w:wordWrap/>
        <w:topLinePunct w:val="0"/>
        <w:autoSpaceDE/>
        <w:autoSpaceDN/>
        <w:bidi w:val="0"/>
        <w:spacing w:line="600" w:lineRule="exact"/>
        <w:ind w:firstLine="640"/>
        <w:rPr>
          <w:rFonts w:hint="eastAsia" w:ascii="黑体" w:hAnsi="黑体" w:eastAsia="黑体" w:cs="黑体"/>
          <w:spacing w:val="-2"/>
          <w:sz w:val="32"/>
          <w:szCs w:val="32"/>
          <w:lang w:eastAsia="zh-CN"/>
        </w:rPr>
      </w:pPr>
      <w:r>
        <w:rPr>
          <w:rFonts w:hint="eastAsia" w:ascii="黑体" w:hAnsi="黑体" w:eastAsia="黑体" w:cs="黑体"/>
          <w:spacing w:val="-2"/>
          <w:sz w:val="32"/>
          <w:szCs w:val="32"/>
          <w:lang w:val="en-US" w:eastAsia="zh-CN"/>
        </w:rPr>
        <w:t>二、</w:t>
      </w:r>
      <w:r>
        <w:rPr>
          <w:rFonts w:hint="eastAsia" w:ascii="黑体" w:hAnsi="黑体" w:eastAsia="黑体" w:cs="黑体"/>
          <w:spacing w:val="-2"/>
          <w:sz w:val="32"/>
          <w:szCs w:val="32"/>
        </w:rPr>
        <w:t>部门整体支出</w:t>
      </w:r>
      <w:r>
        <w:rPr>
          <w:rFonts w:hint="eastAsia" w:ascii="黑体" w:hAnsi="黑体" w:eastAsia="黑体" w:cs="黑体"/>
          <w:spacing w:val="-2"/>
          <w:sz w:val="32"/>
          <w:szCs w:val="32"/>
          <w:lang w:val="en-US" w:eastAsia="zh-CN"/>
        </w:rPr>
        <w:t>管理及使用</w:t>
      </w:r>
      <w:r>
        <w:rPr>
          <w:rFonts w:hint="eastAsia" w:ascii="黑体" w:hAnsi="黑体" w:eastAsia="黑体" w:cs="黑体"/>
          <w:spacing w:val="-2"/>
          <w:sz w:val="32"/>
          <w:szCs w:val="32"/>
          <w:lang w:eastAsia="zh-CN"/>
        </w:rPr>
        <w:t>情况</w:t>
      </w:r>
    </w:p>
    <w:p w14:paraId="6AA45410">
      <w:pPr>
        <w:pStyle w:val="2"/>
        <w:rPr>
          <w:rFonts w:hint="default"/>
          <w:lang w:val="en-US" w:eastAsia="zh-CN"/>
        </w:rPr>
      </w:pPr>
      <w:r>
        <w:rPr>
          <w:rFonts w:hint="eastAsia" w:ascii="楷体_GB2312" w:hAnsi="楷体_GB2312" w:eastAsia="楷体_GB2312" w:cs="楷体_GB2312"/>
          <w:spacing w:val="-2"/>
          <w:kern w:val="2"/>
          <w:sz w:val="32"/>
          <w:szCs w:val="32"/>
          <w:lang w:val="en-US" w:eastAsia="zh-CN" w:bidi="ar-SA"/>
        </w:rPr>
        <w:t>（一）预算执行、使用、管理总体情况</w:t>
      </w:r>
    </w:p>
    <w:p w14:paraId="018D5683">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27" w:firstLineChars="196"/>
        <w:jc w:val="left"/>
        <w:textAlignment w:val="auto"/>
        <w:outlineLvl w:val="9"/>
        <w:rPr>
          <w:rFonts w:hint="eastAsia" w:eastAsia="仿宋_GB2312" w:cs="Times New Roman"/>
          <w:sz w:val="32"/>
          <w:szCs w:val="32"/>
          <w:lang w:val="en-US" w:eastAsia="zh-CN"/>
        </w:rPr>
      </w:pPr>
      <w:r>
        <w:rPr>
          <w:rFonts w:hint="eastAsia" w:eastAsia="仿宋_GB2312"/>
          <w:sz w:val="32"/>
          <w:szCs w:val="32"/>
          <w:lang w:val="en-US" w:eastAsia="zh-CN"/>
        </w:rPr>
        <w:t>1.</w:t>
      </w:r>
      <w:r>
        <w:rPr>
          <w:rFonts w:hint="eastAsia" w:eastAsia="仿宋_GB2312"/>
          <w:sz w:val="32"/>
          <w:szCs w:val="32"/>
          <w:lang w:eastAsia="zh-CN"/>
        </w:rPr>
        <w:t>收入预算，20</w:t>
      </w:r>
      <w:r>
        <w:rPr>
          <w:rFonts w:hint="eastAsia" w:eastAsia="仿宋_GB2312"/>
          <w:sz w:val="32"/>
          <w:szCs w:val="32"/>
          <w:lang w:val="en-US" w:eastAsia="zh-CN"/>
        </w:rPr>
        <w:t>23</w:t>
      </w:r>
      <w:r>
        <w:rPr>
          <w:rFonts w:hint="eastAsia" w:eastAsia="仿宋_GB2312"/>
          <w:sz w:val="32"/>
          <w:szCs w:val="32"/>
          <w:lang w:eastAsia="zh-CN"/>
        </w:rPr>
        <w:t>年年初预算数</w:t>
      </w:r>
      <w:r>
        <w:rPr>
          <w:rFonts w:hint="eastAsia" w:eastAsia="仿宋_GB2312"/>
          <w:sz w:val="32"/>
          <w:szCs w:val="32"/>
          <w:lang w:val="en-US" w:eastAsia="zh-CN"/>
        </w:rPr>
        <w:t>285.97</w:t>
      </w:r>
      <w:r>
        <w:rPr>
          <w:rFonts w:hint="eastAsia" w:eastAsia="仿宋_GB2312"/>
          <w:sz w:val="32"/>
          <w:szCs w:val="32"/>
          <w:lang w:eastAsia="zh-CN"/>
        </w:rPr>
        <w:t>万元，其中，一般公共预算拨款</w:t>
      </w:r>
      <w:r>
        <w:rPr>
          <w:rFonts w:hint="eastAsia" w:eastAsia="仿宋_GB2312"/>
          <w:sz w:val="32"/>
          <w:szCs w:val="32"/>
          <w:lang w:val="en-US" w:eastAsia="zh-CN"/>
        </w:rPr>
        <w:t>285.97</w:t>
      </w:r>
      <w:r>
        <w:rPr>
          <w:rFonts w:hint="eastAsia" w:eastAsia="仿宋_GB2312"/>
          <w:sz w:val="32"/>
          <w:szCs w:val="32"/>
          <w:lang w:eastAsia="zh-CN"/>
        </w:rPr>
        <w:t>万元，政府性基金预算拨款</w:t>
      </w:r>
      <w:r>
        <w:rPr>
          <w:rFonts w:hint="eastAsia" w:eastAsia="仿宋_GB2312"/>
          <w:sz w:val="32"/>
          <w:szCs w:val="32"/>
          <w:lang w:val="en-US" w:eastAsia="zh-CN"/>
        </w:rPr>
        <w:t>0万元，</w:t>
      </w:r>
      <w:r>
        <w:rPr>
          <w:rFonts w:hint="eastAsia" w:eastAsia="仿宋_GB2312"/>
          <w:sz w:val="32"/>
          <w:szCs w:val="32"/>
          <w:lang w:eastAsia="zh-CN"/>
        </w:rPr>
        <w:t>纳入财政专户管理的非税收入拨款</w:t>
      </w:r>
      <w:r>
        <w:rPr>
          <w:rFonts w:hint="eastAsia" w:eastAsia="仿宋_GB2312"/>
          <w:sz w:val="32"/>
          <w:szCs w:val="32"/>
          <w:lang w:val="en-US" w:eastAsia="zh-CN"/>
        </w:rPr>
        <w:t>0</w:t>
      </w:r>
      <w:r>
        <w:rPr>
          <w:rFonts w:hint="eastAsia" w:eastAsia="仿宋_GB2312"/>
          <w:sz w:val="32"/>
          <w:szCs w:val="32"/>
          <w:lang w:eastAsia="zh-CN"/>
        </w:rPr>
        <w:t>万元，国有资本经营预算拨款</w:t>
      </w:r>
      <w:r>
        <w:rPr>
          <w:rFonts w:hint="eastAsia" w:eastAsia="仿宋_GB2312"/>
          <w:sz w:val="32"/>
          <w:szCs w:val="32"/>
          <w:lang w:val="en-US" w:eastAsia="zh-CN"/>
        </w:rPr>
        <w:t>0</w:t>
      </w:r>
      <w:r>
        <w:rPr>
          <w:rFonts w:hint="eastAsia" w:eastAsia="仿宋_GB2312"/>
          <w:sz w:val="32"/>
          <w:szCs w:val="32"/>
          <w:lang w:eastAsia="zh-CN"/>
        </w:rPr>
        <w:t>万元。</w:t>
      </w:r>
    </w:p>
    <w:p w14:paraId="778CF456">
      <w:pPr>
        <w:pStyle w:val="6"/>
        <w:keepNext w:val="0"/>
        <w:keepLines w:val="0"/>
        <w:widowControl/>
        <w:suppressLineNumbers w:val="0"/>
        <w:spacing w:before="0" w:beforeAutospacing="0" w:after="0" w:afterAutospacing="0" w:line="499" w:lineRule="auto"/>
        <w:ind w:left="0" w:right="0" w:firstLine="627"/>
        <w:jc w:val="left"/>
        <w:rPr>
          <w:rFonts w:hint="eastAsia" w:ascii="Times New Roman" w:hAnsi="Times New Roman" w:eastAsia="仿宋_GB2312" w:cs="Times New Roman"/>
          <w:kern w:val="2"/>
          <w:sz w:val="32"/>
          <w:szCs w:val="32"/>
          <w:lang w:val="en-US" w:eastAsia="zh-CN" w:bidi="ar-SA"/>
        </w:rPr>
      </w:pPr>
      <w:r>
        <w:rPr>
          <w:rFonts w:hint="eastAsia" w:eastAsia="仿宋_GB2312"/>
          <w:sz w:val="32"/>
          <w:szCs w:val="32"/>
          <w:lang w:val="en-US" w:eastAsia="zh-CN"/>
        </w:rPr>
        <w:t>2.</w:t>
      </w:r>
      <w:r>
        <w:rPr>
          <w:rFonts w:hint="eastAsia" w:eastAsia="仿宋_GB2312"/>
          <w:sz w:val="32"/>
          <w:szCs w:val="32"/>
          <w:lang w:eastAsia="zh-CN"/>
        </w:rPr>
        <w:t>支出预算，</w:t>
      </w:r>
      <w:r>
        <w:rPr>
          <w:rFonts w:hint="eastAsia" w:ascii="Times New Roman" w:hAnsi="Times New Roman" w:eastAsia="仿宋_GB2312" w:cs="Times New Roman"/>
          <w:kern w:val="2"/>
          <w:sz w:val="32"/>
          <w:szCs w:val="32"/>
          <w:lang w:val="en-US" w:eastAsia="zh-CN" w:bidi="ar-SA"/>
        </w:rPr>
        <w:t>2023年年初预算数285.97万元，其中，主要是其中</w:t>
      </w:r>
      <w:r>
        <w:rPr>
          <w:rFonts w:hint="default" w:ascii="Times New Roman" w:hAnsi="Times New Roman" w:eastAsia="仿宋_GB2312" w:cs="Times New Roman"/>
          <w:kern w:val="2"/>
          <w:sz w:val="32"/>
          <w:szCs w:val="32"/>
          <w:lang w:val="en-US" w:eastAsia="zh-CN" w:bidi="ar-SA"/>
        </w:rPr>
        <w:t>一般公共服务支出</w:t>
      </w:r>
      <w:r>
        <w:rPr>
          <w:rFonts w:hint="eastAsia" w:ascii="Times New Roman" w:hAnsi="Times New Roman" w:eastAsia="仿宋_GB2312" w:cs="Times New Roman"/>
          <w:kern w:val="2"/>
          <w:sz w:val="32"/>
          <w:szCs w:val="32"/>
          <w:lang w:val="en-US" w:eastAsia="zh-CN" w:bidi="ar-SA"/>
        </w:rPr>
        <w:t>227.18</w:t>
      </w:r>
      <w:r>
        <w:rPr>
          <w:rFonts w:hint="default" w:ascii="Times New Roman" w:hAnsi="Times New Roman" w:eastAsia="仿宋_GB2312" w:cs="Times New Roman"/>
          <w:kern w:val="2"/>
          <w:sz w:val="32"/>
          <w:szCs w:val="32"/>
          <w:lang w:val="en-US" w:eastAsia="zh-CN" w:bidi="ar-SA"/>
        </w:rPr>
        <w:t>万元，社会保障和就业支出</w:t>
      </w:r>
      <w:r>
        <w:rPr>
          <w:rFonts w:hint="eastAsia" w:ascii="Times New Roman" w:hAnsi="Times New Roman" w:eastAsia="仿宋_GB2312" w:cs="Times New Roman"/>
          <w:kern w:val="2"/>
          <w:sz w:val="32"/>
          <w:szCs w:val="32"/>
          <w:lang w:val="en-US" w:eastAsia="zh-CN" w:bidi="ar-SA"/>
        </w:rPr>
        <w:t>34.68</w:t>
      </w:r>
      <w:r>
        <w:rPr>
          <w:rFonts w:hint="default" w:ascii="Times New Roman" w:hAnsi="Times New Roman" w:eastAsia="仿宋_GB2312" w:cs="Times New Roman"/>
          <w:kern w:val="2"/>
          <w:sz w:val="32"/>
          <w:szCs w:val="32"/>
          <w:lang w:val="en-US" w:eastAsia="zh-CN" w:bidi="ar-SA"/>
        </w:rPr>
        <w:t>万元，卫生健康支出</w:t>
      </w:r>
      <w:r>
        <w:rPr>
          <w:rFonts w:hint="eastAsia" w:ascii="Times New Roman" w:hAnsi="Times New Roman" w:eastAsia="仿宋_GB2312" w:cs="Times New Roman"/>
          <w:kern w:val="2"/>
          <w:sz w:val="32"/>
          <w:szCs w:val="32"/>
          <w:lang w:val="en-US" w:eastAsia="zh-CN" w:bidi="ar-SA"/>
        </w:rPr>
        <w:t>7.96</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，住房保障支出16.15万元</w:t>
      </w:r>
      <w:r>
        <w:rPr>
          <w:rFonts w:hint="default" w:ascii="Times New Roman" w:hAnsi="Times New Roman" w:eastAsia="仿宋_GB2312" w:cs="Times New Roman"/>
          <w:kern w:val="2"/>
          <w:sz w:val="32"/>
          <w:szCs w:val="32"/>
          <w:lang w:val="en-US" w:eastAsia="zh-CN" w:bidi="ar-SA"/>
        </w:rPr>
        <w:t>。</w:t>
      </w:r>
    </w:p>
    <w:p w14:paraId="3ADDCF93">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3</w:t>
      </w:r>
      <w:r>
        <w:rPr>
          <w:rFonts w:hint="eastAsia" w:eastAsia="仿宋_GB2312" w:cs="仿宋_GB2312"/>
          <w:spacing w:val="-2"/>
          <w:sz w:val="32"/>
          <w:szCs w:val="32"/>
          <w:lang w:val="en-US" w:eastAsia="zh-CN"/>
        </w:rPr>
        <w:t>.收支</w:t>
      </w:r>
      <w:r>
        <w:rPr>
          <w:rFonts w:hint="eastAsia" w:ascii="Times New Roman" w:hAnsi="Times New Roman" w:eastAsia="仿宋_GB2312" w:cs="仿宋_GB2312"/>
          <w:spacing w:val="-2"/>
          <w:sz w:val="32"/>
          <w:szCs w:val="32"/>
          <w:lang w:val="en-US" w:eastAsia="zh-CN"/>
        </w:rPr>
        <w:t>决算，202</w:t>
      </w:r>
      <w:r>
        <w:rPr>
          <w:rFonts w:hint="eastAsia" w:eastAsia="仿宋_GB2312" w:cs="仿宋_GB2312"/>
          <w:spacing w:val="-2"/>
          <w:sz w:val="32"/>
          <w:szCs w:val="32"/>
          <w:lang w:val="en-US" w:eastAsia="zh-CN"/>
        </w:rPr>
        <w:t>3</w:t>
      </w:r>
      <w:r>
        <w:rPr>
          <w:rFonts w:hint="eastAsia" w:ascii="Times New Roman" w:hAnsi="Times New Roman" w:eastAsia="仿宋_GB2312" w:cs="仿宋_GB2312"/>
          <w:spacing w:val="-2"/>
          <w:sz w:val="32"/>
          <w:szCs w:val="32"/>
          <w:lang w:val="en-US" w:eastAsia="zh-CN"/>
        </w:rPr>
        <w:t>年决算</w:t>
      </w:r>
      <w:r>
        <w:rPr>
          <w:rFonts w:hint="eastAsia" w:eastAsia="仿宋_GB2312" w:cs="仿宋_GB2312"/>
          <w:spacing w:val="-2"/>
          <w:sz w:val="32"/>
          <w:szCs w:val="32"/>
          <w:lang w:val="en-US" w:eastAsia="zh-CN"/>
        </w:rPr>
        <w:t>总收入302.8万元，总</w:t>
      </w:r>
      <w:r>
        <w:rPr>
          <w:rFonts w:hint="eastAsia" w:ascii="Times New Roman" w:hAnsi="Times New Roman" w:eastAsia="仿宋_GB2312" w:cs="仿宋_GB2312"/>
          <w:spacing w:val="-2"/>
          <w:sz w:val="32"/>
          <w:szCs w:val="32"/>
          <w:lang w:val="en-US" w:eastAsia="zh-CN"/>
        </w:rPr>
        <w:t>支出数</w:t>
      </w:r>
      <w:r>
        <w:rPr>
          <w:rFonts w:hint="eastAsia" w:eastAsia="仿宋_GB2312" w:cs="仿宋_GB2312"/>
          <w:spacing w:val="-2"/>
          <w:sz w:val="32"/>
          <w:szCs w:val="32"/>
          <w:lang w:val="en-US" w:eastAsia="zh-CN"/>
        </w:rPr>
        <w:t>302.8</w:t>
      </w:r>
      <w:r>
        <w:rPr>
          <w:rFonts w:hint="eastAsia" w:ascii="Times New Roman" w:hAnsi="Times New Roman" w:eastAsia="仿宋_GB2312" w:cs="仿宋_GB2312"/>
          <w:spacing w:val="-2"/>
          <w:sz w:val="32"/>
          <w:szCs w:val="32"/>
          <w:lang w:val="en-US" w:eastAsia="zh-CN"/>
        </w:rPr>
        <w:t>万元，其中，一般公共服务支出</w:t>
      </w:r>
      <w:r>
        <w:rPr>
          <w:rFonts w:hint="eastAsia" w:eastAsia="仿宋_GB2312" w:cs="仿宋_GB2312"/>
          <w:spacing w:val="-2"/>
          <w:sz w:val="32"/>
          <w:szCs w:val="32"/>
          <w:lang w:val="en-US" w:eastAsia="zh-CN"/>
        </w:rPr>
        <w:t>265.44</w:t>
      </w:r>
      <w:r>
        <w:rPr>
          <w:rFonts w:hint="eastAsia" w:ascii="Times New Roman" w:hAnsi="Times New Roman" w:eastAsia="仿宋_GB2312" w:cs="仿宋_GB2312"/>
          <w:spacing w:val="-2"/>
          <w:sz w:val="32"/>
          <w:szCs w:val="32"/>
          <w:lang w:val="en-US" w:eastAsia="zh-CN"/>
        </w:rPr>
        <w:t>万元、科学技术支出</w:t>
      </w:r>
      <w:r>
        <w:rPr>
          <w:rFonts w:hint="eastAsia" w:eastAsia="仿宋_GB2312" w:cs="仿宋_GB2312"/>
          <w:spacing w:val="-2"/>
          <w:sz w:val="32"/>
          <w:szCs w:val="32"/>
          <w:lang w:val="en-US" w:eastAsia="zh-CN"/>
        </w:rPr>
        <w:t>2</w:t>
      </w:r>
      <w:r>
        <w:rPr>
          <w:rFonts w:hint="eastAsia" w:ascii="Times New Roman" w:hAnsi="Times New Roman" w:eastAsia="仿宋_GB2312" w:cs="仿宋_GB2312"/>
          <w:spacing w:val="-2"/>
          <w:sz w:val="32"/>
          <w:szCs w:val="32"/>
          <w:lang w:val="en-US" w:eastAsia="zh-CN"/>
        </w:rPr>
        <w:t>.00万元、社会保障和就业支出</w:t>
      </w:r>
      <w:r>
        <w:rPr>
          <w:rFonts w:hint="eastAsia" w:eastAsia="仿宋_GB2312" w:cs="仿宋_GB2312"/>
          <w:spacing w:val="-2"/>
          <w:sz w:val="32"/>
          <w:szCs w:val="32"/>
          <w:lang w:val="en-US" w:eastAsia="zh-CN"/>
        </w:rPr>
        <w:t>26.28</w:t>
      </w:r>
      <w:r>
        <w:rPr>
          <w:rFonts w:hint="eastAsia" w:ascii="Times New Roman" w:hAnsi="Times New Roman" w:eastAsia="仿宋_GB2312" w:cs="仿宋_GB2312"/>
          <w:spacing w:val="-2"/>
          <w:sz w:val="32"/>
          <w:szCs w:val="32"/>
          <w:lang w:val="en-US" w:eastAsia="zh-CN"/>
        </w:rPr>
        <w:t>万元、卫生健康支出</w:t>
      </w:r>
      <w:r>
        <w:rPr>
          <w:rFonts w:hint="eastAsia" w:eastAsia="仿宋_GB2312" w:cs="仿宋_GB2312"/>
          <w:spacing w:val="-2"/>
          <w:sz w:val="32"/>
          <w:szCs w:val="32"/>
          <w:lang w:val="en-US" w:eastAsia="zh-CN"/>
        </w:rPr>
        <w:t>9.08</w:t>
      </w:r>
      <w:r>
        <w:rPr>
          <w:rFonts w:hint="eastAsia" w:ascii="Times New Roman" w:hAnsi="Times New Roman" w:eastAsia="仿宋_GB2312" w:cs="仿宋_GB2312"/>
          <w:spacing w:val="-2"/>
          <w:sz w:val="32"/>
          <w:szCs w:val="32"/>
          <w:lang w:val="en-US" w:eastAsia="zh-CN"/>
        </w:rPr>
        <w:t>万元。</w:t>
      </w:r>
    </w:p>
    <w:p w14:paraId="6087E35B">
      <w:pPr>
        <w:pStyle w:val="6"/>
        <w:keepNext w:val="0"/>
        <w:keepLines w:val="0"/>
        <w:pageBreakBefore w:val="0"/>
        <w:shd w:val="clear" w:color="auto" w:fill="FFFFFF"/>
        <w:kinsoku/>
        <w:wordWrap/>
        <w:topLinePunct w:val="0"/>
        <w:autoSpaceDE/>
        <w:autoSpaceDN/>
        <w:bidi w:val="0"/>
        <w:spacing w:before="0" w:beforeAutospacing="0" w:after="0" w:afterAutospacing="0" w:line="600" w:lineRule="exact"/>
        <w:ind w:firstLine="698" w:firstLineChars="221"/>
        <w:jc w:val="both"/>
        <w:rPr>
          <w:rFonts w:hint="default" w:ascii="Times New Roman" w:hAnsi="Times New Roman" w:eastAsia="仿宋_GB2312" w:cs="仿宋_GB2312"/>
          <w:spacing w:val="-2"/>
          <w:sz w:val="32"/>
          <w:szCs w:val="32"/>
          <w:lang w:val="en-US" w:eastAsia="zh-CN"/>
        </w:rPr>
      </w:pPr>
      <w:r>
        <w:rPr>
          <w:rFonts w:hint="eastAsia" w:eastAsia="仿宋_GB2312" w:cs="仿宋_GB2312"/>
          <w:spacing w:val="-2"/>
          <w:sz w:val="32"/>
          <w:szCs w:val="32"/>
          <w:lang w:val="en-US" w:eastAsia="zh-CN"/>
        </w:rPr>
        <w:t>4、预算执行管理情况，</w:t>
      </w:r>
      <w:r>
        <w:rPr>
          <w:rFonts w:ascii="Times New Roman" w:hAnsi="Times New Roman" w:eastAsia="仿宋_GB2312" w:cs="Times New Roman"/>
          <w:sz w:val="32"/>
          <w:szCs w:val="32"/>
        </w:rPr>
        <w:t>我</w:t>
      </w:r>
      <w:r>
        <w:rPr>
          <w:rFonts w:hint="eastAsia" w:ascii="Times New Roman" w:hAnsi="Times New Roman" w:eastAsia="仿宋_GB2312" w:cs="Times New Roman"/>
          <w:sz w:val="32"/>
          <w:szCs w:val="32"/>
          <w:lang w:val="en-US" w:eastAsia="zh-CN"/>
        </w:rPr>
        <w:t>室</w:t>
      </w:r>
      <w:r>
        <w:rPr>
          <w:rFonts w:ascii="Times New Roman" w:hAnsi="Times New Roman" w:eastAsia="仿宋_GB2312" w:cs="Times New Roman"/>
          <w:sz w:val="32"/>
          <w:szCs w:val="32"/>
        </w:rPr>
        <w:t>为加强财务管理工作，合理合规使用财政</w:t>
      </w:r>
      <w:r>
        <w:rPr>
          <w:rFonts w:hint="eastAsia" w:ascii="Times New Roman" w:hAnsi="Times New Roman" w:eastAsia="仿宋_GB2312" w:cs="Times New Roman"/>
          <w:sz w:val="32"/>
          <w:szCs w:val="32"/>
          <w:lang w:val="en-US" w:eastAsia="zh-CN"/>
        </w:rPr>
        <w:t>预算</w:t>
      </w:r>
      <w:r>
        <w:rPr>
          <w:rFonts w:ascii="Times New Roman" w:hAnsi="Times New Roman" w:eastAsia="仿宋_GB2312" w:cs="Times New Roman"/>
          <w:sz w:val="32"/>
          <w:szCs w:val="32"/>
        </w:rPr>
        <w:t>资金，严格按照财务管理要求，对批准的预算开支内容，做好账务设置和账务管理，在资金使用过程中，严把监督审核关，建立健全了</w:t>
      </w:r>
      <w:r>
        <w:rPr>
          <w:rFonts w:hint="eastAsia" w:ascii="Times New Roman" w:hAnsi="Times New Roman" w:eastAsia="仿宋_GB2312" w:cs="Times New Roman"/>
          <w:sz w:val="32"/>
          <w:szCs w:val="32"/>
          <w:lang w:val="en-US" w:eastAsia="zh-CN"/>
        </w:rPr>
        <w:t>内控管理</w:t>
      </w:r>
      <w:r>
        <w:rPr>
          <w:rFonts w:ascii="Times New Roman" w:hAnsi="Times New Roman" w:eastAsia="仿宋_GB2312" w:cs="Times New Roman"/>
          <w:sz w:val="32"/>
          <w:szCs w:val="32"/>
        </w:rPr>
        <w:t>制度。制定了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内部控制基本制度》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《财务</w:t>
      </w:r>
      <w:r>
        <w:rPr>
          <w:rFonts w:hint="eastAsia" w:ascii="Times New Roman" w:hAnsi="Times New Roman" w:eastAsia="仿宋_GB2312" w:cs="Times New Roman"/>
          <w:sz w:val="32"/>
          <w:szCs w:val="32"/>
          <w:lang w:eastAsia="zh-CN"/>
        </w:rPr>
        <w:t>管理</w:t>
      </w:r>
      <w:r>
        <w:rPr>
          <w:rFonts w:ascii="Times New Roman" w:hAnsi="Times New Roman" w:eastAsia="仿宋_GB2312" w:cs="Times New Roman"/>
          <w:sz w:val="32"/>
          <w:szCs w:val="32"/>
        </w:rPr>
        <w:t>制度》</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课题项目资金使用管理制度</w:t>
      </w:r>
      <w:r>
        <w:rPr>
          <w:rFonts w:ascii="Times New Roman" w:hAnsi="Times New Roman" w:eastAsia="仿宋_GB2312" w:cs="Times New Roman"/>
          <w:sz w:val="32"/>
          <w:szCs w:val="32"/>
        </w:rPr>
        <w:t>》等相关制度，对资金使用审批流程、资金监督、签字权限等方面做出了详细规定。</w:t>
      </w:r>
    </w:p>
    <w:p w14:paraId="52086F5D">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b/>
          <w:bCs/>
          <w:spacing w:val="-2"/>
          <w:sz w:val="32"/>
          <w:szCs w:val="32"/>
          <w:lang w:val="en-US" w:eastAsia="zh-CN"/>
        </w:rPr>
      </w:pPr>
      <w:r>
        <w:rPr>
          <w:rFonts w:hint="eastAsia" w:ascii="楷体_GB2312" w:hAnsi="楷体_GB2312" w:eastAsia="楷体_GB2312" w:cs="楷体_GB2312"/>
          <w:b/>
          <w:bCs/>
          <w:spacing w:val="-2"/>
          <w:sz w:val="32"/>
          <w:szCs w:val="32"/>
          <w:lang w:eastAsia="zh-CN"/>
        </w:rPr>
        <w:t>（</w:t>
      </w:r>
      <w:r>
        <w:rPr>
          <w:rFonts w:hint="eastAsia" w:ascii="楷体_GB2312" w:hAnsi="楷体_GB2312" w:eastAsia="楷体_GB2312" w:cs="楷体_GB2312"/>
          <w:b/>
          <w:bCs/>
          <w:spacing w:val="-2"/>
          <w:sz w:val="32"/>
          <w:szCs w:val="32"/>
          <w:lang w:val="en-US" w:eastAsia="zh-CN"/>
        </w:rPr>
        <w:t>二</w:t>
      </w:r>
      <w:r>
        <w:rPr>
          <w:rFonts w:hint="eastAsia" w:ascii="楷体_GB2312" w:hAnsi="楷体_GB2312" w:eastAsia="楷体_GB2312" w:cs="楷体_GB2312"/>
          <w:b/>
          <w:bCs/>
          <w:spacing w:val="-2"/>
          <w:sz w:val="32"/>
          <w:szCs w:val="32"/>
          <w:lang w:eastAsia="zh-CN"/>
        </w:rPr>
        <w:t>）</w:t>
      </w:r>
      <w:r>
        <w:rPr>
          <w:rFonts w:hint="eastAsia" w:ascii="楷体_GB2312" w:hAnsi="楷体_GB2312" w:eastAsia="楷体_GB2312" w:cs="楷体_GB2312"/>
          <w:b/>
          <w:bCs/>
          <w:spacing w:val="-2"/>
          <w:sz w:val="32"/>
          <w:szCs w:val="32"/>
        </w:rPr>
        <w:t>部门</w:t>
      </w:r>
      <w:r>
        <w:rPr>
          <w:rFonts w:hint="eastAsia" w:ascii="楷体_GB2312" w:hAnsi="楷体_GB2312" w:eastAsia="楷体_GB2312" w:cs="楷体_GB2312"/>
          <w:b/>
          <w:bCs/>
          <w:spacing w:val="-2"/>
          <w:sz w:val="32"/>
          <w:szCs w:val="32"/>
          <w:lang w:val="en-US" w:eastAsia="zh-CN"/>
        </w:rPr>
        <w:t>预算执行情况</w:t>
      </w:r>
    </w:p>
    <w:p w14:paraId="1964CC49">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仿宋_GB2312"/>
          <w:spacing w:val="-2"/>
          <w:sz w:val="32"/>
          <w:szCs w:val="32"/>
        </w:rPr>
      </w:pPr>
      <w:r>
        <w:rPr>
          <w:rFonts w:hint="eastAsia" w:ascii="楷体_GB2312" w:hAnsi="楷体_GB2312" w:eastAsia="楷体_GB2312" w:cs="楷体_GB2312"/>
          <w:spacing w:val="-2"/>
          <w:sz w:val="32"/>
          <w:szCs w:val="32"/>
          <w:lang w:val="en-US" w:eastAsia="zh-CN"/>
        </w:rPr>
        <w:t>1.</w:t>
      </w:r>
      <w:r>
        <w:rPr>
          <w:rFonts w:hint="eastAsia" w:ascii="Times New Roman" w:hAnsi="Times New Roman" w:eastAsia="仿宋_GB2312" w:cs="仿宋_GB2312"/>
          <w:spacing w:val="-2"/>
          <w:sz w:val="32"/>
          <w:szCs w:val="32"/>
        </w:rPr>
        <w:t>基本支出情况</w:t>
      </w:r>
    </w:p>
    <w:p w14:paraId="7001268A">
      <w:pPr>
        <w:pStyle w:val="9"/>
        <w:keepNext w:val="0"/>
        <w:keepLines w:val="0"/>
        <w:pageBreakBefore w:val="0"/>
        <w:widowControl/>
        <w:kinsoku/>
        <w:wordWrap/>
        <w:topLinePunct w:val="0"/>
        <w:autoSpaceDE/>
        <w:autoSpaceDN/>
        <w:bidi w:val="0"/>
        <w:spacing w:line="600" w:lineRule="exact"/>
        <w:ind w:left="0" w:leftChars="0" w:firstLine="640" w:firstLineChars="200"/>
        <w:rPr>
          <w:rFonts w:hint="eastAsia" w:ascii="Times New Roman" w:hAnsi="Times New Roman" w:eastAsia="仿宋_GB2312" w:cs="仿宋_GB2312"/>
          <w:spacing w:val="-2"/>
          <w:sz w:val="32"/>
          <w:szCs w:val="32"/>
          <w:lang w:val="en-US" w:eastAsia="zh-CN"/>
        </w:rPr>
      </w:pPr>
      <w:r>
        <w:rPr>
          <w:rFonts w:hint="eastAsia" w:eastAsia="仿宋_GB2312"/>
          <w:sz w:val="32"/>
          <w:szCs w:val="32"/>
          <w:lang w:val="en-US" w:eastAsia="zh-CN"/>
        </w:rPr>
        <w:t>基本支出</w:t>
      </w:r>
      <w:r>
        <w:rPr>
          <w:rFonts w:hint="eastAsia" w:eastAsia="仿宋_GB2312"/>
          <w:sz w:val="32"/>
          <w:szCs w:val="32"/>
          <w:lang w:eastAsia="zh-CN"/>
        </w:rPr>
        <w:t>为保障单位机构正常运转、完成日常工作任务而发生的各项支出，</w:t>
      </w:r>
      <w:r>
        <w:rPr>
          <w:rFonts w:hint="eastAsia" w:ascii="Times New Roman" w:hAnsi="Times New Roman" w:eastAsia="仿宋_GB2312" w:cs="仿宋_GB2312"/>
          <w:spacing w:val="-2"/>
          <w:sz w:val="32"/>
          <w:szCs w:val="32"/>
          <w:lang w:val="en-US" w:eastAsia="zh-CN"/>
        </w:rPr>
        <w:t>202</w:t>
      </w:r>
      <w:r>
        <w:rPr>
          <w:rFonts w:hint="eastAsia" w:eastAsia="仿宋_GB2312" w:cs="仿宋_GB2312"/>
          <w:spacing w:val="-2"/>
          <w:sz w:val="32"/>
          <w:szCs w:val="32"/>
          <w:lang w:val="en-US" w:eastAsia="zh-CN"/>
        </w:rPr>
        <w:t>3</w:t>
      </w:r>
      <w:r>
        <w:rPr>
          <w:rFonts w:hint="eastAsia" w:ascii="Times New Roman" w:hAnsi="Times New Roman" w:eastAsia="仿宋_GB2312" w:cs="仿宋_GB2312"/>
          <w:spacing w:val="-2"/>
          <w:sz w:val="32"/>
          <w:szCs w:val="32"/>
          <w:lang w:val="en-US" w:eastAsia="zh-CN"/>
        </w:rPr>
        <w:t>年</w:t>
      </w:r>
      <w:r>
        <w:rPr>
          <w:rFonts w:hint="eastAsia" w:eastAsia="仿宋_GB2312" w:cs="仿宋_GB2312"/>
          <w:spacing w:val="-2"/>
          <w:sz w:val="32"/>
          <w:szCs w:val="32"/>
          <w:lang w:val="en-US" w:eastAsia="zh-CN"/>
        </w:rPr>
        <w:t>年初预算235.97万元，</w:t>
      </w:r>
      <w:r>
        <w:rPr>
          <w:rFonts w:hint="eastAsia" w:ascii="Times New Roman" w:hAnsi="Times New Roman" w:eastAsia="仿宋_GB2312" w:cs="仿宋_GB2312"/>
          <w:spacing w:val="-2"/>
          <w:sz w:val="32"/>
          <w:szCs w:val="32"/>
          <w:lang w:val="en-US" w:eastAsia="zh-CN"/>
        </w:rPr>
        <w:t>决算</w:t>
      </w:r>
      <w:r>
        <w:rPr>
          <w:rFonts w:hint="eastAsia" w:eastAsia="仿宋_GB2312" w:cs="Times New Roman"/>
          <w:sz w:val="32"/>
          <w:szCs w:val="32"/>
          <w:lang w:val="en-US" w:eastAsia="zh-CN"/>
        </w:rPr>
        <w:t>237.49</w:t>
      </w:r>
      <w:r>
        <w:rPr>
          <w:rFonts w:hint="eastAsia" w:ascii="Times New Roman" w:hAnsi="Times New Roman" w:eastAsia="仿宋_GB2312" w:cs="仿宋_GB2312"/>
          <w:spacing w:val="-2"/>
          <w:sz w:val="32"/>
          <w:szCs w:val="32"/>
          <w:lang w:val="en-US" w:eastAsia="zh-CN"/>
        </w:rPr>
        <w:t>万元，其中：</w:t>
      </w:r>
      <w:r>
        <w:rPr>
          <w:rFonts w:hint="eastAsia" w:ascii="Times New Roman" w:hAnsi="Times New Roman" w:eastAsia="仿宋_GB2312" w:cs="Times New Roman"/>
          <w:sz w:val="32"/>
          <w:szCs w:val="32"/>
        </w:rPr>
        <w:t>人员经费</w:t>
      </w:r>
      <w:r>
        <w:rPr>
          <w:rFonts w:hint="eastAsia" w:eastAsia="仿宋_GB2312" w:cs="Times New Roman"/>
          <w:sz w:val="32"/>
          <w:szCs w:val="32"/>
          <w:lang w:val="en-US" w:eastAsia="zh-CN"/>
        </w:rPr>
        <w:t>202.64</w:t>
      </w:r>
      <w:r>
        <w:rPr>
          <w:rFonts w:hint="eastAsia" w:ascii="Times New Roman" w:hAnsi="Times New Roman" w:eastAsia="仿宋_GB2312" w:cs="Times New Roman"/>
          <w:sz w:val="32"/>
          <w:szCs w:val="32"/>
          <w:lang w:val="en-US" w:eastAsia="zh-CN"/>
        </w:rPr>
        <w:t>万元、公用经费</w:t>
      </w:r>
      <w:r>
        <w:rPr>
          <w:rFonts w:hint="eastAsia" w:eastAsia="仿宋_GB2312" w:cs="Times New Roman"/>
          <w:sz w:val="32"/>
          <w:szCs w:val="32"/>
          <w:lang w:val="en-US" w:eastAsia="zh-CN"/>
        </w:rPr>
        <w:t>34.85</w:t>
      </w:r>
      <w:r>
        <w:rPr>
          <w:rFonts w:hint="eastAsia" w:ascii="Times New Roman" w:hAnsi="Times New Roman" w:eastAsia="仿宋_GB2312" w:cs="Times New Roman"/>
          <w:sz w:val="32"/>
          <w:szCs w:val="32"/>
          <w:lang w:val="en-US" w:eastAsia="zh-CN"/>
        </w:rPr>
        <w:t>万元</w:t>
      </w:r>
      <w:r>
        <w:rPr>
          <w:rFonts w:hint="eastAsia" w:ascii="Times New Roman" w:hAnsi="Times New Roman" w:eastAsia="仿宋_GB2312" w:cs="仿宋_GB2312"/>
          <w:spacing w:val="-2"/>
          <w:sz w:val="32"/>
          <w:szCs w:val="32"/>
          <w:lang w:val="en-US" w:eastAsia="zh-CN"/>
        </w:rPr>
        <w:t>。预算执行率100.64%，主要是因为追加了预算经费。</w:t>
      </w:r>
    </w:p>
    <w:p w14:paraId="214F58E6">
      <w:pPr>
        <w:pStyle w:val="9"/>
        <w:keepNext w:val="0"/>
        <w:keepLines w:val="0"/>
        <w:pageBreakBefore w:val="0"/>
        <w:widowControl/>
        <w:numPr>
          <w:ilvl w:val="0"/>
          <w:numId w:val="1"/>
        </w:numPr>
        <w:kinsoku/>
        <w:wordWrap/>
        <w:topLinePunct w:val="0"/>
        <w:autoSpaceDE/>
        <w:autoSpaceDN/>
        <w:bidi w:val="0"/>
        <w:spacing w:line="600" w:lineRule="exact"/>
        <w:ind w:left="210" w:leftChars="100" w:firstLine="640"/>
        <w:rPr>
          <w:rFonts w:hint="eastAsia" w:ascii="Times New Roman" w:hAnsi="Times New Roman" w:eastAsia="仿宋_GB2312" w:cs="仿宋_GB2312"/>
          <w:spacing w:val="-2"/>
          <w:sz w:val="32"/>
          <w:szCs w:val="32"/>
          <w:lang w:val="en-US" w:eastAsia="zh-CN"/>
        </w:rPr>
      </w:pPr>
      <w:r>
        <w:rPr>
          <w:rFonts w:hint="eastAsia" w:ascii="Times New Roman" w:hAnsi="Times New Roman" w:eastAsia="仿宋_GB2312" w:cs="仿宋_GB2312"/>
          <w:spacing w:val="-2"/>
          <w:sz w:val="32"/>
          <w:szCs w:val="32"/>
          <w:lang w:val="en-US" w:eastAsia="zh-CN"/>
        </w:rPr>
        <w:t>项目支出情况</w:t>
      </w:r>
    </w:p>
    <w:p w14:paraId="682AE325">
      <w:pPr>
        <w:pStyle w:val="9"/>
        <w:keepNext w:val="0"/>
        <w:keepLines w:val="0"/>
        <w:pageBreakBefore w:val="0"/>
        <w:widowControl/>
        <w:numPr>
          <w:ilvl w:val="0"/>
          <w:numId w:val="0"/>
        </w:numPr>
        <w:kinsoku/>
        <w:wordWrap/>
        <w:topLinePunct w:val="0"/>
        <w:autoSpaceDE/>
        <w:autoSpaceDN/>
        <w:bidi w:val="0"/>
        <w:spacing w:line="600" w:lineRule="exact"/>
        <w:ind w:firstLine="640" w:firstLineChars="200"/>
        <w:rPr>
          <w:rFonts w:hint="default" w:ascii="Times New Roman" w:hAnsi="Times New Roman" w:eastAsia="仿宋_GB2312" w:cs="仿宋_GB2312"/>
          <w:spacing w:val="-2"/>
          <w:sz w:val="32"/>
          <w:szCs w:val="32"/>
          <w:lang w:val="en-US" w:eastAsia="zh-CN"/>
        </w:rPr>
      </w:pPr>
      <w:r>
        <w:rPr>
          <w:rFonts w:hint="eastAsia" w:eastAsia="仿宋_GB2312"/>
          <w:sz w:val="32"/>
          <w:szCs w:val="32"/>
          <w:lang w:val="en-US" w:eastAsia="zh-CN"/>
        </w:rPr>
        <w:t>我室的项目支出是指单位为完成特定行政工作任务或事业发展目标而发生的支出，包括</w:t>
      </w:r>
      <w:r>
        <w:rPr>
          <w:rFonts w:hint="eastAsia" w:eastAsia="仿宋_GB2312"/>
          <w:sz w:val="32"/>
          <w:szCs w:val="32"/>
          <w:lang w:eastAsia="zh-CN"/>
        </w:rPr>
        <w:t>专项业务费支出，主</w:t>
      </w:r>
      <w:r>
        <w:rPr>
          <w:rFonts w:ascii="仿宋_GB2312" w:hAnsi="仿宋" w:eastAsia="仿宋_GB2312" w:cs="仿宋_GB2312"/>
          <w:color w:val="3D3D3D"/>
          <w:sz w:val="32"/>
          <w:szCs w:val="32"/>
          <w:shd w:val="clear" w:color="auto" w:fill="FFFFFF"/>
        </w:rPr>
        <w:t>是用于开展政府工作报告起草、</w:t>
      </w:r>
      <w:r>
        <w:rPr>
          <w:rFonts w:hint="eastAsia" w:ascii="仿宋_GB2312" w:hAnsi="仿宋" w:eastAsia="仿宋_GB2312" w:cs="仿宋_GB2312"/>
          <w:color w:val="3D3D3D"/>
          <w:sz w:val="32"/>
          <w:szCs w:val="32"/>
          <w:shd w:val="clear" w:color="auto" w:fill="FFFFFF"/>
          <w:lang w:eastAsia="zh-CN"/>
        </w:rPr>
        <w:t>文稿起草、</w:t>
      </w:r>
      <w:bookmarkStart w:id="0" w:name="_GoBack"/>
      <w:r>
        <w:rPr>
          <w:rFonts w:ascii="仿宋_GB2312" w:hAnsi="仿宋" w:eastAsia="仿宋_GB2312" w:cs="仿宋_GB2312"/>
          <w:color w:val="3D3D3D"/>
          <w:sz w:val="32"/>
          <w:szCs w:val="32"/>
          <w:shd w:val="clear" w:color="auto" w:fill="FFFFFF"/>
        </w:rPr>
        <w:t>课题</w:t>
      </w:r>
      <w:bookmarkEnd w:id="0"/>
      <w:r>
        <w:rPr>
          <w:rFonts w:ascii="仿宋_GB2312" w:hAnsi="仿宋" w:eastAsia="仿宋_GB2312" w:cs="仿宋_GB2312"/>
          <w:color w:val="3D3D3D"/>
          <w:sz w:val="32"/>
          <w:szCs w:val="32"/>
          <w:shd w:val="clear" w:color="auto" w:fill="FFFFFF"/>
        </w:rPr>
        <w:t>调研、业务培训等日常工作发生的各项支出</w:t>
      </w:r>
      <w:r>
        <w:rPr>
          <w:rFonts w:hint="eastAsia" w:ascii="仿宋_GB2312" w:hAnsi="仿宋" w:eastAsia="仿宋_GB2312" w:cs="仿宋_GB2312"/>
          <w:color w:val="3D3D3D"/>
          <w:sz w:val="32"/>
          <w:szCs w:val="32"/>
          <w:shd w:val="clear" w:color="auto" w:fill="FFFFFF"/>
          <w:lang w:eastAsia="zh-CN"/>
        </w:rPr>
        <w:t>。</w:t>
      </w:r>
      <w:r>
        <w:rPr>
          <w:rFonts w:hint="eastAsia" w:eastAsia="仿宋_GB2312"/>
          <w:sz w:val="32"/>
          <w:szCs w:val="32"/>
          <w:lang w:val="en-US" w:eastAsia="zh-CN"/>
        </w:rPr>
        <w:t>2023年年初预算数为50万元，决算数为65.32万元，预算执行率130.64%，主要因为年初预算专项业务工作经费行政运行压减了19.76万元，同时追加了其他社会科学支出2万元，其他一般公共服务支出32.99万元。</w:t>
      </w:r>
    </w:p>
    <w:p w14:paraId="18BB646B">
      <w:pPr>
        <w:pStyle w:val="9"/>
        <w:keepNext w:val="0"/>
        <w:keepLines w:val="0"/>
        <w:pageBreakBefore w:val="0"/>
        <w:widowControl/>
        <w:kinsoku/>
        <w:wordWrap/>
        <w:topLinePunct w:val="0"/>
        <w:autoSpaceDE/>
        <w:autoSpaceDN/>
        <w:bidi w:val="0"/>
        <w:spacing w:line="600" w:lineRule="exact"/>
        <w:rPr>
          <w:rFonts w:ascii="Times New Roman" w:hAnsi="Times New Roman" w:eastAsia="仿宋_GB2312"/>
          <w:b/>
          <w:bCs/>
          <w:sz w:val="32"/>
          <w:szCs w:val="32"/>
        </w:rPr>
      </w:pPr>
      <w:r>
        <w:rPr>
          <w:rFonts w:hint="eastAsia" w:ascii="Times New Roman" w:hAnsi="Times New Roman" w:eastAsia="仿宋_GB2312"/>
          <w:b/>
          <w:bCs/>
          <w:sz w:val="32"/>
          <w:szCs w:val="32"/>
          <w:lang w:eastAsia="zh-CN"/>
        </w:rPr>
        <w:t>（</w:t>
      </w:r>
      <w:r>
        <w:rPr>
          <w:rFonts w:hint="eastAsia" w:ascii="Times New Roman" w:hAnsi="Times New Roman" w:eastAsia="仿宋_GB2312"/>
          <w:b/>
          <w:bCs/>
          <w:sz w:val="32"/>
          <w:szCs w:val="32"/>
          <w:lang w:val="en-US" w:eastAsia="zh-CN"/>
        </w:rPr>
        <w:t>三</w:t>
      </w:r>
      <w:r>
        <w:rPr>
          <w:rFonts w:hint="eastAsia" w:ascii="Times New Roman" w:hAnsi="Times New Roman" w:eastAsia="仿宋_GB2312"/>
          <w:b/>
          <w:bCs/>
          <w:sz w:val="32"/>
          <w:szCs w:val="32"/>
          <w:lang w:eastAsia="zh-CN"/>
        </w:rPr>
        <w:t>）</w:t>
      </w:r>
      <w:r>
        <w:rPr>
          <w:rFonts w:ascii="Times New Roman" w:hAnsi="Times New Roman" w:eastAsia="仿宋_GB2312"/>
          <w:b/>
          <w:bCs/>
          <w:sz w:val="32"/>
          <w:szCs w:val="32"/>
        </w:rPr>
        <w:t>“三公经费”支出使用和管理情况</w:t>
      </w:r>
    </w:p>
    <w:p w14:paraId="39E04D1C">
      <w:pPr>
        <w:pStyle w:val="9"/>
        <w:keepNext w:val="0"/>
        <w:keepLines w:val="0"/>
        <w:pageBreakBefore w:val="0"/>
        <w:widowControl/>
        <w:kinsoku/>
        <w:wordWrap/>
        <w:topLinePunct w:val="0"/>
        <w:autoSpaceDE/>
        <w:autoSpaceDN/>
        <w:bidi w:val="0"/>
        <w:spacing w:line="600" w:lineRule="exact"/>
        <w:rPr>
          <w:rFonts w:ascii="Times New Roman" w:hAnsi="Times New Roman"/>
          <w:szCs w:val="21"/>
        </w:rPr>
      </w:pPr>
      <w:r>
        <w:rPr>
          <w:rFonts w:ascii="Times New Roman" w:hAnsi="Times New Roman" w:eastAsia="仿宋_GB2312"/>
          <w:sz w:val="32"/>
          <w:szCs w:val="32"/>
        </w:rPr>
        <w:t>（1）20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年“三公经费支出情况”</w:t>
      </w:r>
    </w:p>
    <w:p w14:paraId="3B7A0CFF">
      <w:pPr>
        <w:pStyle w:val="9"/>
        <w:keepNext w:val="0"/>
        <w:keepLines w:val="0"/>
        <w:pageBreakBefore w:val="0"/>
        <w:widowControl/>
        <w:kinsoku/>
        <w:wordWrap/>
        <w:topLinePunct w:val="0"/>
        <w:autoSpaceDE/>
        <w:autoSpaceDN/>
        <w:bidi w:val="0"/>
        <w:spacing w:line="600" w:lineRule="exact"/>
        <w:ind w:left="210" w:leftChars="100" w:firstLine="420"/>
        <w:jc w:val="right"/>
        <w:rPr>
          <w:rFonts w:ascii="Times New Roman" w:hAnsi="Times New Roman"/>
          <w:szCs w:val="21"/>
        </w:rPr>
      </w:pPr>
      <w:r>
        <w:rPr>
          <w:rFonts w:ascii="Times New Roman" w:hAnsi="Times New Roman"/>
          <w:szCs w:val="21"/>
        </w:rPr>
        <w:t>单位：万元</w:t>
      </w:r>
    </w:p>
    <w:tbl>
      <w:tblPr>
        <w:tblStyle w:val="7"/>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3"/>
        <w:gridCol w:w="2083"/>
        <w:gridCol w:w="2083"/>
        <w:gridCol w:w="2083"/>
      </w:tblGrid>
      <w:tr w14:paraId="5F2E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5B357E9B">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费用项目</w:t>
            </w:r>
          </w:p>
        </w:tc>
        <w:tc>
          <w:tcPr>
            <w:tcW w:w="2083" w:type="dxa"/>
            <w:noWrap w:val="0"/>
            <w:vAlign w:val="center"/>
          </w:tcPr>
          <w:p w14:paraId="36E972A9">
            <w:pPr>
              <w:keepNext w:val="0"/>
              <w:keepLines w:val="0"/>
              <w:pageBreakBefore w:val="0"/>
              <w:kinsoku/>
              <w:wordWrap/>
              <w:topLinePunct w:val="0"/>
              <w:autoSpaceDE/>
              <w:autoSpaceDN/>
              <w:bidi w:val="0"/>
              <w:spacing w:line="600" w:lineRule="exact"/>
              <w:jc w:val="center"/>
              <w:rPr>
                <w:b/>
                <w:szCs w:val="21"/>
              </w:rPr>
            </w:pPr>
            <w:r>
              <w:rPr>
                <w:b/>
                <w:szCs w:val="21"/>
              </w:rPr>
              <w:t>本年预算金额</w:t>
            </w:r>
          </w:p>
        </w:tc>
        <w:tc>
          <w:tcPr>
            <w:tcW w:w="2083" w:type="dxa"/>
            <w:noWrap w:val="0"/>
            <w:vAlign w:val="center"/>
          </w:tcPr>
          <w:p w14:paraId="585DE2D1">
            <w:pPr>
              <w:keepNext w:val="0"/>
              <w:keepLines w:val="0"/>
              <w:pageBreakBefore w:val="0"/>
              <w:kinsoku/>
              <w:wordWrap/>
              <w:topLinePunct w:val="0"/>
              <w:autoSpaceDE/>
              <w:autoSpaceDN/>
              <w:bidi w:val="0"/>
              <w:spacing w:line="600" w:lineRule="exact"/>
              <w:jc w:val="center"/>
              <w:rPr>
                <w:b/>
                <w:szCs w:val="21"/>
              </w:rPr>
            </w:pPr>
            <w:r>
              <w:rPr>
                <w:b/>
                <w:szCs w:val="21"/>
              </w:rPr>
              <w:t>本年决算金额</w:t>
            </w:r>
          </w:p>
        </w:tc>
        <w:tc>
          <w:tcPr>
            <w:tcW w:w="2083" w:type="dxa"/>
            <w:noWrap w:val="0"/>
            <w:vAlign w:val="center"/>
          </w:tcPr>
          <w:p w14:paraId="1B2C4019">
            <w:pPr>
              <w:keepNext w:val="0"/>
              <w:keepLines w:val="0"/>
              <w:pageBreakBefore w:val="0"/>
              <w:kinsoku/>
              <w:wordWrap/>
              <w:topLinePunct w:val="0"/>
              <w:autoSpaceDE/>
              <w:autoSpaceDN/>
              <w:bidi w:val="0"/>
              <w:spacing w:line="600" w:lineRule="exact"/>
              <w:jc w:val="center"/>
              <w:rPr>
                <w:b/>
                <w:szCs w:val="21"/>
              </w:rPr>
            </w:pPr>
            <w:r>
              <w:rPr>
                <w:b/>
                <w:szCs w:val="21"/>
              </w:rPr>
              <w:t>结余“-”/超支“+”</w:t>
            </w:r>
          </w:p>
        </w:tc>
      </w:tr>
      <w:tr w14:paraId="748A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06677A0C">
            <w:pPr>
              <w:keepNext w:val="0"/>
              <w:keepLines w:val="0"/>
              <w:pageBreakBefore w:val="0"/>
              <w:kinsoku/>
              <w:wordWrap/>
              <w:topLinePunct w:val="0"/>
              <w:autoSpaceDE/>
              <w:autoSpaceDN/>
              <w:bidi w:val="0"/>
              <w:spacing w:line="600" w:lineRule="exact"/>
              <w:rPr>
                <w:szCs w:val="21"/>
              </w:rPr>
            </w:pPr>
            <w:r>
              <w:rPr>
                <w:szCs w:val="21"/>
              </w:rPr>
              <w:t>公务接待费</w:t>
            </w:r>
          </w:p>
        </w:tc>
        <w:tc>
          <w:tcPr>
            <w:tcW w:w="2083" w:type="dxa"/>
            <w:noWrap w:val="0"/>
            <w:vAlign w:val="center"/>
          </w:tcPr>
          <w:p w14:paraId="773CF5AF">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1.8</w:t>
            </w:r>
          </w:p>
        </w:tc>
        <w:tc>
          <w:tcPr>
            <w:tcW w:w="2083" w:type="dxa"/>
            <w:noWrap w:val="0"/>
            <w:vAlign w:val="center"/>
          </w:tcPr>
          <w:p w14:paraId="17A092AC">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eastAsia="宋体"/>
                <w:szCs w:val="21"/>
                <w:lang w:val="en-US" w:eastAsia="zh-CN"/>
              </w:rPr>
              <w:t>0.</w:t>
            </w:r>
            <w:r>
              <w:rPr>
                <w:rFonts w:hint="eastAsia"/>
                <w:szCs w:val="21"/>
                <w:lang w:val="en-US" w:eastAsia="zh-CN"/>
              </w:rPr>
              <w:t>1</w:t>
            </w:r>
            <w:r>
              <w:rPr>
                <w:rFonts w:hint="eastAsia" w:eastAsia="宋体"/>
                <w:szCs w:val="21"/>
                <w:lang w:val="en-US" w:eastAsia="zh-CN"/>
              </w:rPr>
              <w:t>7</w:t>
            </w:r>
          </w:p>
        </w:tc>
        <w:tc>
          <w:tcPr>
            <w:tcW w:w="2083" w:type="dxa"/>
            <w:noWrap w:val="0"/>
            <w:vAlign w:val="center"/>
          </w:tcPr>
          <w:p w14:paraId="036F5299">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eastAsia="宋体"/>
                <w:szCs w:val="21"/>
                <w:lang w:val="en-US" w:eastAsia="zh-CN"/>
              </w:rPr>
              <w:t>-</w:t>
            </w:r>
            <w:r>
              <w:rPr>
                <w:rFonts w:hint="eastAsia"/>
                <w:szCs w:val="21"/>
                <w:lang w:val="en-US" w:eastAsia="zh-CN"/>
              </w:rPr>
              <w:t>1.63</w:t>
            </w:r>
          </w:p>
        </w:tc>
      </w:tr>
      <w:tr w14:paraId="001AD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54C8D9AB">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费用项目</w:t>
            </w:r>
          </w:p>
        </w:tc>
        <w:tc>
          <w:tcPr>
            <w:tcW w:w="2083" w:type="dxa"/>
            <w:noWrap w:val="0"/>
            <w:vAlign w:val="center"/>
          </w:tcPr>
          <w:p w14:paraId="1B21F1F6">
            <w:pPr>
              <w:keepNext w:val="0"/>
              <w:keepLines w:val="0"/>
              <w:pageBreakBefore w:val="0"/>
              <w:kinsoku/>
              <w:wordWrap/>
              <w:topLinePunct w:val="0"/>
              <w:autoSpaceDE/>
              <w:autoSpaceDN/>
              <w:bidi w:val="0"/>
              <w:spacing w:line="600" w:lineRule="exact"/>
              <w:jc w:val="center"/>
              <w:rPr>
                <w:b/>
                <w:szCs w:val="21"/>
              </w:rPr>
            </w:pPr>
            <w:r>
              <w:rPr>
                <w:b/>
                <w:szCs w:val="21"/>
              </w:rPr>
              <w:t>本年预算金额</w:t>
            </w:r>
          </w:p>
        </w:tc>
        <w:tc>
          <w:tcPr>
            <w:tcW w:w="2083" w:type="dxa"/>
            <w:noWrap w:val="0"/>
            <w:vAlign w:val="center"/>
          </w:tcPr>
          <w:p w14:paraId="2EC67DA6">
            <w:pPr>
              <w:keepNext w:val="0"/>
              <w:keepLines w:val="0"/>
              <w:pageBreakBefore w:val="0"/>
              <w:kinsoku/>
              <w:wordWrap/>
              <w:topLinePunct w:val="0"/>
              <w:autoSpaceDE/>
              <w:autoSpaceDN/>
              <w:bidi w:val="0"/>
              <w:spacing w:line="600" w:lineRule="exact"/>
              <w:jc w:val="center"/>
              <w:rPr>
                <w:b/>
                <w:szCs w:val="21"/>
              </w:rPr>
            </w:pPr>
            <w:r>
              <w:rPr>
                <w:b/>
                <w:szCs w:val="21"/>
              </w:rPr>
              <w:t>本年决算金额</w:t>
            </w:r>
          </w:p>
        </w:tc>
        <w:tc>
          <w:tcPr>
            <w:tcW w:w="2083" w:type="dxa"/>
            <w:noWrap w:val="0"/>
            <w:vAlign w:val="center"/>
          </w:tcPr>
          <w:p w14:paraId="60B14159">
            <w:pPr>
              <w:keepNext w:val="0"/>
              <w:keepLines w:val="0"/>
              <w:pageBreakBefore w:val="0"/>
              <w:kinsoku/>
              <w:wordWrap/>
              <w:topLinePunct w:val="0"/>
              <w:autoSpaceDE/>
              <w:autoSpaceDN/>
              <w:bidi w:val="0"/>
              <w:spacing w:line="600" w:lineRule="exact"/>
              <w:jc w:val="center"/>
              <w:rPr>
                <w:b/>
                <w:szCs w:val="21"/>
              </w:rPr>
            </w:pPr>
            <w:r>
              <w:rPr>
                <w:b/>
                <w:szCs w:val="21"/>
              </w:rPr>
              <w:t>结余“-”/超支“+”</w:t>
            </w:r>
          </w:p>
        </w:tc>
      </w:tr>
      <w:tr w14:paraId="51D3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153B5E77">
            <w:pPr>
              <w:keepNext w:val="0"/>
              <w:keepLines w:val="0"/>
              <w:pageBreakBefore w:val="0"/>
              <w:widowControl w:val="0"/>
              <w:kinsoku/>
              <w:wordWrap/>
              <w:overflowPunct/>
              <w:topLinePunct w:val="0"/>
              <w:autoSpaceDE/>
              <w:autoSpaceDN/>
              <w:bidi w:val="0"/>
              <w:adjustRightInd/>
              <w:snapToGrid/>
              <w:spacing w:line="600" w:lineRule="exact"/>
              <w:textAlignment w:val="auto"/>
              <w:rPr>
                <w:szCs w:val="21"/>
              </w:rPr>
            </w:pPr>
            <w:r>
              <w:rPr>
                <w:rFonts w:hint="eastAsia"/>
                <w:szCs w:val="21"/>
              </w:rPr>
              <w:t>公务用车购置及运行维护费</w:t>
            </w:r>
          </w:p>
        </w:tc>
        <w:tc>
          <w:tcPr>
            <w:tcW w:w="2083" w:type="dxa"/>
            <w:noWrap w:val="0"/>
            <w:vAlign w:val="center"/>
          </w:tcPr>
          <w:p w14:paraId="6878910D">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0</w:t>
            </w:r>
          </w:p>
        </w:tc>
        <w:tc>
          <w:tcPr>
            <w:tcW w:w="2083" w:type="dxa"/>
            <w:noWrap w:val="0"/>
            <w:vAlign w:val="center"/>
          </w:tcPr>
          <w:p w14:paraId="3ABA81C7">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0</w:t>
            </w:r>
          </w:p>
        </w:tc>
        <w:tc>
          <w:tcPr>
            <w:tcW w:w="2083" w:type="dxa"/>
            <w:noWrap w:val="0"/>
            <w:vAlign w:val="center"/>
          </w:tcPr>
          <w:p w14:paraId="5F27DCB7">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0</w:t>
            </w:r>
          </w:p>
        </w:tc>
      </w:tr>
      <w:tr w14:paraId="60E60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03C9FCAD">
            <w:pPr>
              <w:keepNext w:val="0"/>
              <w:keepLines w:val="0"/>
              <w:pageBreakBefore w:val="0"/>
              <w:kinsoku/>
              <w:wordWrap/>
              <w:topLinePunct w:val="0"/>
              <w:autoSpaceDE/>
              <w:autoSpaceDN/>
              <w:bidi w:val="0"/>
              <w:spacing w:line="600" w:lineRule="exact"/>
              <w:rPr>
                <w:szCs w:val="21"/>
              </w:rPr>
            </w:pPr>
            <w:r>
              <w:rPr>
                <w:szCs w:val="21"/>
              </w:rPr>
              <w:t>因公出国费用</w:t>
            </w:r>
          </w:p>
        </w:tc>
        <w:tc>
          <w:tcPr>
            <w:tcW w:w="2083" w:type="dxa"/>
            <w:noWrap w:val="0"/>
            <w:vAlign w:val="center"/>
          </w:tcPr>
          <w:p w14:paraId="2AB42E5E">
            <w:pPr>
              <w:keepNext w:val="0"/>
              <w:keepLines w:val="0"/>
              <w:pageBreakBefore w:val="0"/>
              <w:kinsoku/>
              <w:wordWrap/>
              <w:topLinePunct w:val="0"/>
              <w:autoSpaceDE/>
              <w:autoSpaceDN/>
              <w:bidi w:val="0"/>
              <w:spacing w:line="600" w:lineRule="exact"/>
              <w:jc w:val="right"/>
              <w:rPr>
                <w:rFonts w:hint="default" w:eastAsia="宋体"/>
                <w:szCs w:val="21"/>
                <w:lang w:val="en-US" w:eastAsia="zh-CN"/>
              </w:rPr>
            </w:pPr>
            <w:r>
              <w:rPr>
                <w:rFonts w:hint="eastAsia"/>
                <w:szCs w:val="21"/>
                <w:lang w:val="en-US" w:eastAsia="zh-CN"/>
              </w:rPr>
              <w:t>0.00</w:t>
            </w:r>
          </w:p>
        </w:tc>
        <w:tc>
          <w:tcPr>
            <w:tcW w:w="2083" w:type="dxa"/>
            <w:noWrap w:val="0"/>
            <w:vAlign w:val="center"/>
          </w:tcPr>
          <w:p w14:paraId="12109B84">
            <w:pPr>
              <w:keepNext w:val="0"/>
              <w:keepLines w:val="0"/>
              <w:pageBreakBefore w:val="0"/>
              <w:kinsoku/>
              <w:wordWrap/>
              <w:topLinePunct w:val="0"/>
              <w:autoSpaceDE/>
              <w:autoSpaceDN/>
              <w:bidi w:val="0"/>
              <w:spacing w:line="600" w:lineRule="exact"/>
              <w:jc w:val="right"/>
              <w:rPr>
                <w:szCs w:val="21"/>
              </w:rPr>
            </w:pPr>
            <w:r>
              <w:rPr>
                <w:rFonts w:hint="eastAsia"/>
                <w:szCs w:val="21"/>
                <w:lang w:val="en-US" w:eastAsia="zh-CN"/>
              </w:rPr>
              <w:t>0.00</w:t>
            </w:r>
          </w:p>
        </w:tc>
        <w:tc>
          <w:tcPr>
            <w:tcW w:w="2083" w:type="dxa"/>
            <w:noWrap w:val="0"/>
            <w:vAlign w:val="center"/>
          </w:tcPr>
          <w:p w14:paraId="3A49F214">
            <w:pPr>
              <w:keepNext w:val="0"/>
              <w:keepLines w:val="0"/>
              <w:pageBreakBefore w:val="0"/>
              <w:kinsoku/>
              <w:wordWrap/>
              <w:topLinePunct w:val="0"/>
              <w:autoSpaceDE/>
              <w:autoSpaceDN/>
              <w:bidi w:val="0"/>
              <w:spacing w:line="600" w:lineRule="exact"/>
              <w:jc w:val="right"/>
              <w:rPr>
                <w:szCs w:val="21"/>
              </w:rPr>
            </w:pPr>
            <w:r>
              <w:rPr>
                <w:rFonts w:hint="eastAsia"/>
                <w:szCs w:val="21"/>
                <w:lang w:val="en-US" w:eastAsia="zh-CN"/>
              </w:rPr>
              <w:t>0.00</w:t>
            </w:r>
          </w:p>
        </w:tc>
      </w:tr>
      <w:tr w14:paraId="30DF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 w:hRule="atLeast"/>
          <w:jc w:val="center"/>
        </w:trPr>
        <w:tc>
          <w:tcPr>
            <w:tcW w:w="2083" w:type="dxa"/>
            <w:noWrap w:val="0"/>
            <w:vAlign w:val="center"/>
          </w:tcPr>
          <w:p w14:paraId="6B798AAC">
            <w:pPr>
              <w:keepNext w:val="0"/>
              <w:keepLines w:val="0"/>
              <w:pageBreakBefore w:val="0"/>
              <w:kinsoku/>
              <w:wordWrap/>
              <w:topLinePunct w:val="0"/>
              <w:autoSpaceDE/>
              <w:autoSpaceDN/>
              <w:bidi w:val="0"/>
              <w:spacing w:line="600" w:lineRule="exact"/>
              <w:ind w:firstLine="422" w:firstLineChars="200"/>
              <w:jc w:val="center"/>
              <w:rPr>
                <w:b/>
                <w:szCs w:val="21"/>
              </w:rPr>
            </w:pPr>
            <w:r>
              <w:rPr>
                <w:b/>
                <w:szCs w:val="21"/>
              </w:rPr>
              <w:t>合计</w:t>
            </w:r>
          </w:p>
        </w:tc>
        <w:tc>
          <w:tcPr>
            <w:tcW w:w="2083" w:type="dxa"/>
            <w:noWrap w:val="0"/>
            <w:vAlign w:val="center"/>
          </w:tcPr>
          <w:p w14:paraId="118A2C17">
            <w:pPr>
              <w:keepNext w:val="0"/>
              <w:keepLines w:val="0"/>
              <w:pageBreakBefore w:val="0"/>
              <w:kinsoku/>
              <w:wordWrap/>
              <w:topLinePunct w:val="0"/>
              <w:autoSpaceDE/>
              <w:autoSpaceDN/>
              <w:bidi w:val="0"/>
              <w:spacing w:line="600" w:lineRule="exact"/>
              <w:jc w:val="right"/>
              <w:rPr>
                <w:rFonts w:hint="default" w:eastAsia="宋体"/>
                <w:b/>
                <w:szCs w:val="21"/>
                <w:lang w:val="en-US" w:eastAsia="zh-CN"/>
              </w:rPr>
            </w:pPr>
            <w:r>
              <w:rPr>
                <w:rFonts w:hint="eastAsia"/>
                <w:b/>
                <w:szCs w:val="21"/>
                <w:lang w:val="en-US" w:eastAsia="zh-CN"/>
              </w:rPr>
              <w:t>1.8</w:t>
            </w:r>
          </w:p>
        </w:tc>
        <w:tc>
          <w:tcPr>
            <w:tcW w:w="2083" w:type="dxa"/>
            <w:noWrap w:val="0"/>
            <w:vAlign w:val="center"/>
          </w:tcPr>
          <w:p w14:paraId="66BAEBF9">
            <w:pPr>
              <w:keepNext w:val="0"/>
              <w:keepLines w:val="0"/>
              <w:pageBreakBefore w:val="0"/>
              <w:kinsoku/>
              <w:wordWrap/>
              <w:topLinePunct w:val="0"/>
              <w:autoSpaceDE/>
              <w:autoSpaceDN/>
              <w:bidi w:val="0"/>
              <w:spacing w:line="600" w:lineRule="exact"/>
              <w:jc w:val="right"/>
              <w:rPr>
                <w:rFonts w:hint="default" w:ascii="Times New Roman" w:hAnsi="Times New Roman" w:eastAsia="宋体" w:cs="Times New Roman"/>
                <w:b/>
                <w:szCs w:val="21"/>
                <w:lang w:val="en-US" w:eastAsia="zh-CN"/>
              </w:rPr>
            </w:pPr>
            <w:r>
              <w:rPr>
                <w:rFonts w:hint="eastAsia" w:cs="Times New Roman"/>
                <w:b/>
                <w:szCs w:val="21"/>
                <w:lang w:val="en-US" w:eastAsia="zh-CN"/>
              </w:rPr>
              <w:t>0.17</w:t>
            </w:r>
          </w:p>
        </w:tc>
        <w:tc>
          <w:tcPr>
            <w:tcW w:w="2083" w:type="dxa"/>
            <w:noWrap w:val="0"/>
            <w:vAlign w:val="center"/>
          </w:tcPr>
          <w:p w14:paraId="0B08B268">
            <w:pPr>
              <w:keepNext w:val="0"/>
              <w:keepLines w:val="0"/>
              <w:pageBreakBefore w:val="0"/>
              <w:kinsoku/>
              <w:wordWrap/>
              <w:topLinePunct w:val="0"/>
              <w:autoSpaceDE/>
              <w:autoSpaceDN/>
              <w:bidi w:val="0"/>
              <w:spacing w:line="600" w:lineRule="exact"/>
              <w:jc w:val="right"/>
              <w:rPr>
                <w:rFonts w:hint="default" w:ascii="Times New Roman" w:hAnsi="Times New Roman" w:eastAsia="宋体" w:cs="Times New Roman"/>
                <w:b/>
                <w:szCs w:val="21"/>
                <w:lang w:val="en-US" w:eastAsia="zh-CN"/>
              </w:rPr>
            </w:pPr>
            <w:r>
              <w:rPr>
                <w:rFonts w:hint="eastAsia" w:ascii="Times New Roman" w:hAnsi="Times New Roman" w:eastAsia="宋体" w:cs="Times New Roman"/>
                <w:b/>
                <w:szCs w:val="21"/>
                <w:lang w:val="en-US" w:eastAsia="zh-CN"/>
              </w:rPr>
              <w:t>-</w:t>
            </w:r>
            <w:r>
              <w:rPr>
                <w:rFonts w:hint="eastAsia" w:cs="Times New Roman"/>
                <w:b/>
                <w:szCs w:val="21"/>
                <w:lang w:val="en-US" w:eastAsia="zh-CN"/>
              </w:rPr>
              <w:t>1.63</w:t>
            </w:r>
          </w:p>
        </w:tc>
      </w:tr>
    </w:tbl>
    <w:p w14:paraId="4FEF948F">
      <w:pPr>
        <w:pStyle w:val="9"/>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从上表分析，20</w:t>
      </w: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年三公经费预算支出</w:t>
      </w:r>
      <w:r>
        <w:rPr>
          <w:rFonts w:hint="eastAsia" w:ascii="Times New Roman" w:hAnsi="Times New Roman" w:eastAsia="仿宋_GB2312"/>
          <w:sz w:val="32"/>
          <w:szCs w:val="32"/>
          <w:lang w:val="en-US" w:eastAsia="zh-CN"/>
        </w:rPr>
        <w:t>1.8</w:t>
      </w:r>
      <w:r>
        <w:rPr>
          <w:rFonts w:ascii="Times New Roman" w:hAnsi="Times New Roman" w:eastAsia="仿宋_GB2312"/>
          <w:sz w:val="32"/>
          <w:szCs w:val="32"/>
        </w:rPr>
        <w:t>万元，决算支出</w:t>
      </w:r>
      <w:r>
        <w:rPr>
          <w:rFonts w:hint="eastAsia" w:ascii="Times New Roman" w:hAnsi="Times New Roman" w:eastAsia="仿宋_GB2312"/>
          <w:sz w:val="32"/>
          <w:szCs w:val="32"/>
          <w:lang w:val="en-US" w:eastAsia="zh-CN"/>
        </w:rPr>
        <w:t>0.17</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1.63</w:t>
      </w:r>
      <w:r>
        <w:rPr>
          <w:rFonts w:ascii="Times New Roman" w:hAnsi="Times New Roman" w:eastAsia="仿宋_GB2312"/>
          <w:sz w:val="32"/>
          <w:szCs w:val="32"/>
        </w:rPr>
        <w:t>万元，三公经费总额控制在预算范围内。</w:t>
      </w:r>
    </w:p>
    <w:p w14:paraId="2C3C20F1">
      <w:pPr>
        <w:pStyle w:val="9"/>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highlight w:val="yellow"/>
        </w:rPr>
      </w:pPr>
      <w:r>
        <w:rPr>
          <w:rFonts w:ascii="Times New Roman" w:hAnsi="Times New Roman" w:eastAsia="仿宋_GB2312"/>
          <w:sz w:val="32"/>
          <w:szCs w:val="32"/>
        </w:rPr>
        <w:t>从三公经费的支出明细项目分析，公务接待费支出</w:t>
      </w:r>
      <w:r>
        <w:rPr>
          <w:rFonts w:hint="eastAsia" w:ascii="Times New Roman" w:hAnsi="Times New Roman" w:eastAsia="仿宋_GB2312"/>
          <w:sz w:val="32"/>
          <w:szCs w:val="32"/>
          <w:lang w:val="en-US" w:eastAsia="zh-CN"/>
        </w:rPr>
        <w:t>0.17</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1.63</w:t>
      </w:r>
      <w:r>
        <w:rPr>
          <w:rFonts w:ascii="Times New Roman" w:hAnsi="Times New Roman" w:eastAsia="仿宋_GB2312"/>
          <w:sz w:val="32"/>
          <w:szCs w:val="32"/>
        </w:rPr>
        <w:t>万元；</w:t>
      </w:r>
      <w:r>
        <w:rPr>
          <w:rFonts w:hint="eastAsia" w:ascii="Times New Roman" w:hAnsi="Times New Roman" w:eastAsia="仿宋_GB2312"/>
          <w:sz w:val="32"/>
          <w:szCs w:val="32"/>
        </w:rPr>
        <w:t>公务用车购置及运行维护费</w:t>
      </w:r>
      <w:r>
        <w:rPr>
          <w:rFonts w:ascii="Times New Roman" w:hAnsi="Times New Roman" w:eastAsia="仿宋_GB2312"/>
          <w:sz w:val="32"/>
          <w:szCs w:val="32"/>
        </w:rPr>
        <w:t>支出</w:t>
      </w:r>
      <w:r>
        <w:rPr>
          <w:rFonts w:hint="eastAsia" w:ascii="Times New Roman" w:hAnsi="Times New Roman" w:eastAsia="仿宋_GB2312"/>
          <w:sz w:val="32"/>
          <w:szCs w:val="32"/>
          <w:lang w:val="en-US" w:eastAsia="zh-CN"/>
        </w:rPr>
        <w:t>0</w:t>
      </w:r>
      <w:r>
        <w:rPr>
          <w:rFonts w:ascii="Times New Roman" w:hAnsi="Times New Roman" w:eastAsia="仿宋_GB2312"/>
          <w:sz w:val="32"/>
          <w:szCs w:val="32"/>
        </w:rPr>
        <w:t>万元，结余</w:t>
      </w:r>
      <w:r>
        <w:rPr>
          <w:rFonts w:hint="eastAsia" w:ascii="Times New Roman" w:hAnsi="Times New Roman" w:eastAsia="仿宋_GB2312"/>
          <w:sz w:val="32"/>
          <w:szCs w:val="32"/>
          <w:lang w:val="en-US" w:eastAsia="zh-CN"/>
        </w:rPr>
        <w:t>0</w:t>
      </w:r>
      <w:r>
        <w:rPr>
          <w:rFonts w:ascii="Times New Roman" w:hAnsi="Times New Roman" w:eastAsia="仿宋_GB2312"/>
          <w:sz w:val="32"/>
          <w:szCs w:val="32"/>
        </w:rPr>
        <w:t>万元；因公出国费用支出</w:t>
      </w:r>
      <w:r>
        <w:rPr>
          <w:rFonts w:hint="eastAsia" w:ascii="Times New Roman" w:hAnsi="Times New Roman" w:eastAsia="仿宋_GB2312"/>
          <w:sz w:val="32"/>
          <w:szCs w:val="32"/>
          <w:lang w:val="en-US" w:eastAsia="zh-CN"/>
        </w:rPr>
        <w:t>0.00</w:t>
      </w:r>
      <w:r>
        <w:rPr>
          <w:rFonts w:ascii="Times New Roman" w:hAnsi="Times New Roman" w:eastAsia="仿宋_GB2312"/>
          <w:sz w:val="32"/>
          <w:szCs w:val="32"/>
        </w:rPr>
        <w:t>万元，</w:t>
      </w:r>
      <w:r>
        <w:rPr>
          <w:rFonts w:hint="eastAsia" w:ascii="Times New Roman" w:hAnsi="Times New Roman" w:eastAsia="仿宋_GB2312"/>
          <w:sz w:val="32"/>
          <w:szCs w:val="32"/>
        </w:rPr>
        <w:t>未超支结余，</w:t>
      </w:r>
      <w:r>
        <w:rPr>
          <w:rFonts w:ascii="Times New Roman" w:hAnsi="Times New Roman" w:eastAsia="仿宋_GB2312"/>
          <w:sz w:val="32"/>
          <w:szCs w:val="32"/>
        </w:rPr>
        <w:t>三公经费明细均在</w:t>
      </w:r>
      <w:r>
        <w:rPr>
          <w:rFonts w:hint="eastAsia" w:ascii="Times New Roman" w:hAnsi="Times New Roman" w:eastAsia="仿宋_GB2312"/>
          <w:sz w:val="32"/>
          <w:szCs w:val="32"/>
          <w:lang w:val="en-US" w:eastAsia="zh-CN"/>
        </w:rPr>
        <w:t>预算</w:t>
      </w:r>
      <w:r>
        <w:rPr>
          <w:rFonts w:ascii="Times New Roman" w:hAnsi="Times New Roman" w:eastAsia="仿宋_GB2312"/>
          <w:sz w:val="32"/>
          <w:szCs w:val="32"/>
        </w:rPr>
        <w:t>控制</w:t>
      </w:r>
      <w:r>
        <w:rPr>
          <w:rFonts w:hint="eastAsia" w:ascii="Times New Roman" w:hAnsi="Times New Roman" w:eastAsia="仿宋_GB2312"/>
          <w:sz w:val="32"/>
          <w:szCs w:val="32"/>
          <w:lang w:val="en-US" w:eastAsia="zh-CN"/>
        </w:rPr>
        <w:t>内</w:t>
      </w:r>
      <w:r>
        <w:rPr>
          <w:rFonts w:ascii="Times New Roman" w:hAnsi="Times New Roman" w:eastAsia="仿宋_GB2312"/>
          <w:sz w:val="32"/>
          <w:szCs w:val="32"/>
        </w:rPr>
        <w:t>。</w:t>
      </w:r>
    </w:p>
    <w:p w14:paraId="13072D4B">
      <w:pPr>
        <w:pStyle w:val="9"/>
        <w:keepNext w:val="0"/>
        <w:keepLines w:val="0"/>
        <w:pageBreakBefore w:val="0"/>
        <w:widowControl/>
        <w:kinsoku/>
        <w:wordWrap/>
        <w:topLinePunct w:val="0"/>
        <w:autoSpaceDE/>
        <w:autoSpaceDN/>
        <w:bidi w:val="0"/>
        <w:spacing w:line="600" w:lineRule="exact"/>
        <w:ind w:left="210" w:leftChars="100" w:firstLine="640"/>
        <w:rPr>
          <w:rFonts w:ascii="Times New Roman" w:hAnsi="Times New Roman" w:eastAsia="仿宋_GB2312"/>
          <w:sz w:val="32"/>
          <w:szCs w:val="32"/>
        </w:rPr>
      </w:pPr>
      <w:r>
        <w:rPr>
          <w:rFonts w:ascii="Times New Roman" w:hAnsi="Times New Roman" w:eastAsia="仿宋_GB2312"/>
          <w:sz w:val="32"/>
          <w:szCs w:val="32"/>
        </w:rPr>
        <w:t>（2）与上年度比较“三公经费”控制情况</w:t>
      </w:r>
    </w:p>
    <w:p w14:paraId="77885C8D">
      <w:pPr>
        <w:keepNext w:val="0"/>
        <w:keepLines w:val="0"/>
        <w:pageBreakBefore w:val="0"/>
        <w:widowControl/>
        <w:shd w:val="clear" w:color="auto" w:fill="FFFFFF"/>
        <w:kinsoku/>
        <w:wordWrap/>
        <w:topLinePunct w:val="0"/>
        <w:autoSpaceDE/>
        <w:autoSpaceDN/>
        <w:bidi w:val="0"/>
        <w:spacing w:line="600" w:lineRule="exact"/>
        <w:ind w:firstLine="643"/>
        <w:rPr>
          <w:rFonts w:hint="default"/>
          <w:lang w:val="en-US" w:eastAsia="zh-CN"/>
        </w:rPr>
      </w:pPr>
      <w:r>
        <w:rPr>
          <w:rFonts w:hint="eastAsia" w:ascii="Times New Roman" w:hAnsi="Times New Roman" w:eastAsia="仿宋_GB2312" w:cs="Times New Roman"/>
          <w:kern w:val="2"/>
          <w:sz w:val="32"/>
          <w:szCs w:val="32"/>
          <w:lang w:val="en-US" w:eastAsia="zh-CN" w:bidi="ar-SA"/>
        </w:rPr>
        <w:t>我室较202</w:t>
      </w:r>
      <w:r>
        <w:rPr>
          <w:rFonts w:hint="eastAsia"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年度三公经费支出减少</w:t>
      </w:r>
      <w:r>
        <w:rPr>
          <w:rFonts w:hint="eastAsia" w:eastAsia="仿宋_GB2312" w:cs="Times New Roman"/>
          <w:kern w:val="2"/>
          <w:sz w:val="32"/>
          <w:szCs w:val="32"/>
          <w:lang w:val="en-US" w:eastAsia="zh-CN" w:bidi="ar-SA"/>
        </w:rPr>
        <w:t>90.45</w:t>
      </w:r>
      <w:r>
        <w:rPr>
          <w:rFonts w:hint="eastAsia" w:ascii="Times New Roman" w:hAnsi="Times New Roman" w:eastAsia="仿宋_GB2312" w:cs="Times New Roman"/>
          <w:kern w:val="2"/>
          <w:sz w:val="32"/>
          <w:szCs w:val="32"/>
          <w:lang w:val="en-US" w:eastAsia="zh-CN" w:bidi="ar-SA"/>
        </w:rPr>
        <w:t>%，主要系公务接待支出有所减少。</w:t>
      </w:r>
    </w:p>
    <w:p w14:paraId="3AC6E5EC">
      <w:pPr>
        <w:pStyle w:val="6"/>
        <w:keepNext w:val="0"/>
        <w:keepLines w:val="0"/>
        <w:pageBreakBefore w:val="0"/>
        <w:numPr>
          <w:ilvl w:val="0"/>
          <w:numId w:val="2"/>
        </w:numPr>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政府性基金预算支出情况</w:t>
      </w:r>
    </w:p>
    <w:p w14:paraId="185AEEE0">
      <w:pPr>
        <w:pStyle w:val="6"/>
        <w:keepNext w:val="0"/>
        <w:keepLines w:val="0"/>
        <w:pageBreakBefore w:val="0"/>
        <w:numPr>
          <w:ilvl w:val="0"/>
          <w:numId w:val="0"/>
        </w:numPr>
        <w:shd w:val="clear" w:color="auto" w:fill="FFFFFF"/>
        <w:kinsoku/>
        <w:wordWrap/>
        <w:topLinePunct w:val="0"/>
        <w:autoSpaceDE/>
        <w:autoSpaceDN/>
        <w:bidi w:val="0"/>
        <w:spacing w:before="0" w:beforeAutospacing="0" w:after="0" w:afterAutospacing="0" w:line="600" w:lineRule="exact"/>
        <w:ind w:firstLine="64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我室无政府性基金预算支出。</w:t>
      </w:r>
    </w:p>
    <w:p w14:paraId="1FBF3FAB">
      <w:pPr>
        <w:pStyle w:val="6"/>
        <w:keepNext w:val="0"/>
        <w:keepLines w:val="0"/>
        <w:pageBreakBefore w:val="0"/>
        <w:numPr>
          <w:ilvl w:val="0"/>
          <w:numId w:val="2"/>
        </w:numPr>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国有资本经营预算支出情况</w:t>
      </w:r>
    </w:p>
    <w:p w14:paraId="3AF442AA">
      <w:pPr>
        <w:pStyle w:val="6"/>
        <w:keepNext w:val="0"/>
        <w:keepLines w:val="0"/>
        <w:pageBreakBefore w:val="0"/>
        <w:numPr>
          <w:ilvl w:val="0"/>
          <w:numId w:val="0"/>
        </w:numPr>
        <w:shd w:val="clear" w:color="auto" w:fill="FFFFFF"/>
        <w:kinsoku/>
        <w:wordWrap/>
        <w:topLinePunct w:val="0"/>
        <w:autoSpaceDE/>
        <w:autoSpaceDN/>
        <w:bidi w:val="0"/>
        <w:spacing w:before="0" w:beforeAutospacing="0" w:after="0" w:afterAutospacing="0" w:line="600" w:lineRule="exact"/>
        <w:ind w:leftChars="221"/>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我室无国有资本经营预算支出情况。</w:t>
      </w:r>
    </w:p>
    <w:p w14:paraId="558E07AE">
      <w:pPr>
        <w:pStyle w:val="6"/>
        <w:keepNext w:val="0"/>
        <w:keepLines w:val="0"/>
        <w:pageBreakBefore w:val="0"/>
        <w:numPr>
          <w:ilvl w:val="0"/>
          <w:numId w:val="2"/>
        </w:numPr>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社会保险基金预算支出情况</w:t>
      </w:r>
    </w:p>
    <w:p w14:paraId="2566363D">
      <w:pPr>
        <w:pStyle w:val="6"/>
        <w:keepNext w:val="0"/>
        <w:keepLines w:val="0"/>
        <w:pageBreakBefore w:val="0"/>
        <w:numPr>
          <w:ilvl w:val="0"/>
          <w:numId w:val="0"/>
        </w:numPr>
        <w:shd w:val="clear" w:color="auto" w:fill="FFFFFF"/>
        <w:kinsoku/>
        <w:wordWrap/>
        <w:topLinePunct w:val="0"/>
        <w:autoSpaceDE/>
        <w:autoSpaceDN/>
        <w:bidi w:val="0"/>
        <w:spacing w:before="0" w:beforeAutospacing="0" w:after="0" w:afterAutospacing="0" w:line="600" w:lineRule="exact"/>
        <w:ind w:leftChars="221"/>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我室无社会保险基金预算支出情况。</w:t>
      </w:r>
    </w:p>
    <w:p w14:paraId="0EBECE41">
      <w:pPr>
        <w:pStyle w:val="6"/>
        <w:keepNext w:val="0"/>
        <w:keepLines w:val="0"/>
        <w:pageBreakBefore w:val="0"/>
        <w:numPr>
          <w:ilvl w:val="0"/>
          <w:numId w:val="2"/>
        </w:numPr>
        <w:shd w:val="clear" w:color="auto" w:fill="FFFFFF"/>
        <w:kinsoku/>
        <w:wordWrap/>
        <w:topLinePunct w:val="0"/>
        <w:autoSpaceDE/>
        <w:autoSpaceDN/>
        <w:bidi w:val="0"/>
        <w:spacing w:before="0" w:beforeAutospacing="0" w:after="0" w:afterAutospacing="0" w:line="600" w:lineRule="exact"/>
        <w:ind w:left="0" w:leftChars="0" w:firstLine="707" w:firstLineChars="221"/>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部门整体支出绩效情况</w:t>
      </w:r>
    </w:p>
    <w:p w14:paraId="71D01BC2">
      <w:pPr>
        <w:pStyle w:val="6"/>
        <w:keepNext w:val="0"/>
        <w:keepLines w:val="0"/>
        <w:pageBreakBefore w:val="0"/>
        <w:numPr>
          <w:ilvl w:val="0"/>
          <w:numId w:val="3"/>
        </w:numPr>
        <w:shd w:val="clear" w:color="auto" w:fill="FFFFFF"/>
        <w:kinsoku/>
        <w:wordWrap/>
        <w:topLinePunct w:val="0"/>
        <w:autoSpaceDE/>
        <w:autoSpaceDN/>
        <w:bidi w:val="0"/>
        <w:spacing w:before="0" w:beforeAutospacing="0" w:after="0" w:afterAutospacing="0" w:line="600" w:lineRule="exact"/>
        <w:ind w:left="624"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综合评价结论。</w:t>
      </w:r>
    </w:p>
    <w:p w14:paraId="085A3E31">
      <w:pPr>
        <w:pStyle w:val="6"/>
        <w:keepNext w:val="0"/>
        <w:keepLines w:val="0"/>
        <w:pageBreakBefore w:val="0"/>
        <w:kinsoku/>
        <w:wordWrap/>
        <w:overflowPunct/>
        <w:topLinePunct w:val="0"/>
        <w:autoSpaceDE/>
        <w:autoSpaceDN/>
        <w:bidi w:val="0"/>
        <w:adjustRightInd w:val="0"/>
        <w:snapToGrid w:val="0"/>
        <w:spacing w:before="0" w:beforeAutospacing="0" w:after="0" w:afterAutospacing="0" w:line="600" w:lineRule="exact"/>
        <w:ind w:firstLine="640" w:firstLineChars="200"/>
        <w:jc w:val="both"/>
        <w:rPr>
          <w:rFonts w:hint="eastAsia" w:ascii="黑体" w:hAnsi="黑体" w:eastAsia="黑体" w:cs="黑体"/>
          <w:sz w:val="32"/>
          <w:szCs w:val="32"/>
          <w:lang w:val="en-US" w:eastAsia="zh-CN"/>
        </w:rPr>
      </w:pPr>
      <w:r>
        <w:rPr>
          <w:rFonts w:ascii="Times New Roman" w:hAnsi="Times New Roman" w:eastAsia="仿宋_GB2312" w:cs="Times New Roman"/>
          <w:kern w:val="2"/>
          <w:sz w:val="32"/>
          <w:szCs w:val="32"/>
        </w:rPr>
        <w:t>我</w:t>
      </w:r>
      <w:r>
        <w:rPr>
          <w:rFonts w:hint="eastAsia" w:ascii="Times New Roman" w:hAnsi="Times New Roman" w:eastAsia="仿宋_GB2312" w:cs="Times New Roman"/>
          <w:kern w:val="2"/>
          <w:sz w:val="32"/>
          <w:szCs w:val="32"/>
          <w:lang w:val="en-US" w:eastAsia="zh-CN"/>
        </w:rPr>
        <w:t>室</w:t>
      </w:r>
      <w:r>
        <w:rPr>
          <w:rFonts w:ascii="Times New Roman" w:hAnsi="Times New Roman" w:eastAsia="仿宋_GB2312" w:cs="Times New Roman"/>
          <w:kern w:val="2"/>
          <w:sz w:val="32"/>
          <w:szCs w:val="32"/>
        </w:rPr>
        <w:t>较好地完成了20</w:t>
      </w:r>
      <w:r>
        <w:rPr>
          <w:rFonts w:hint="eastAsia" w:ascii="Times New Roman" w:hAnsi="Times New Roman" w:eastAsia="仿宋_GB2312" w:cs="Times New Roman"/>
          <w:kern w:val="2"/>
          <w:sz w:val="32"/>
          <w:szCs w:val="32"/>
        </w:rPr>
        <w:t>2</w:t>
      </w:r>
      <w:r>
        <w:rPr>
          <w:rFonts w:hint="eastAsia" w:ascii="Times New Roman" w:hAnsi="Times New Roman" w:eastAsia="仿宋_GB2312" w:cs="Times New Roman"/>
          <w:kern w:val="2"/>
          <w:sz w:val="32"/>
          <w:szCs w:val="32"/>
          <w:lang w:val="en-US" w:eastAsia="zh-CN"/>
        </w:rPr>
        <w:t>3</w:t>
      </w:r>
      <w:r>
        <w:rPr>
          <w:rFonts w:ascii="Times New Roman" w:hAnsi="Times New Roman" w:eastAsia="仿宋_GB2312" w:cs="Times New Roman"/>
          <w:kern w:val="2"/>
          <w:sz w:val="32"/>
          <w:szCs w:val="32"/>
        </w:rPr>
        <w:t>年度工作目标，但仍存在</w:t>
      </w:r>
      <w:r>
        <w:rPr>
          <w:rFonts w:hint="eastAsia" w:ascii="Times New Roman" w:hAnsi="Times New Roman" w:eastAsia="仿宋_GB2312" w:cs="Times New Roman"/>
          <w:kern w:val="2"/>
          <w:sz w:val="32"/>
          <w:szCs w:val="32"/>
          <w:lang w:eastAsia="zh-CN"/>
        </w:rPr>
        <w:t>绩效目标不够细化、量化；预算调整率偏高</w:t>
      </w:r>
      <w:r>
        <w:rPr>
          <w:rFonts w:ascii="Times New Roman" w:hAnsi="Times New Roman" w:eastAsia="仿宋_GB2312" w:cs="Times New Roman"/>
          <w:kern w:val="2"/>
          <w:sz w:val="32"/>
          <w:szCs w:val="32"/>
        </w:rPr>
        <w:t>等问题。根据《部门整体</w:t>
      </w:r>
      <w:r>
        <w:rPr>
          <w:rFonts w:ascii="Times New Roman" w:hAnsi="Times New Roman" w:eastAsia="仿宋_GB2312" w:cs="Times New Roman"/>
          <w:kern w:val="2"/>
          <w:sz w:val="32"/>
          <w:szCs w:val="32"/>
          <w:highlight w:val="none"/>
        </w:rPr>
        <w:t>支出绩效评价指标表》，20</w:t>
      </w:r>
      <w:r>
        <w:rPr>
          <w:rFonts w:hint="eastAsia" w:ascii="Times New Roman" w:hAnsi="Times New Roman" w:eastAsia="仿宋_GB2312" w:cs="Times New Roman"/>
          <w:kern w:val="2"/>
          <w:sz w:val="32"/>
          <w:szCs w:val="32"/>
          <w:highlight w:val="none"/>
        </w:rPr>
        <w:t>2</w:t>
      </w:r>
      <w:r>
        <w:rPr>
          <w:rFonts w:hint="eastAsia" w:ascii="Times New Roman" w:hAnsi="Times New Roman" w:eastAsia="仿宋_GB2312" w:cs="Times New Roman"/>
          <w:kern w:val="2"/>
          <w:sz w:val="32"/>
          <w:szCs w:val="32"/>
          <w:highlight w:val="none"/>
          <w:lang w:val="en-US" w:eastAsia="zh-CN"/>
        </w:rPr>
        <w:t>3</w:t>
      </w:r>
      <w:r>
        <w:rPr>
          <w:rFonts w:ascii="Times New Roman" w:hAnsi="Times New Roman" w:eastAsia="仿宋_GB2312" w:cs="Times New Roman"/>
          <w:kern w:val="2"/>
          <w:sz w:val="32"/>
          <w:szCs w:val="32"/>
          <w:highlight w:val="none"/>
        </w:rPr>
        <w:t>年度部门整体绩效自评综合评分为</w:t>
      </w:r>
      <w:r>
        <w:rPr>
          <w:rFonts w:hint="eastAsia" w:ascii="Times New Roman" w:hAnsi="Times New Roman" w:eastAsia="仿宋_GB2312" w:cs="Times New Roman"/>
          <w:sz w:val="32"/>
          <w:szCs w:val="32"/>
          <w:highlight w:val="none"/>
          <w:lang w:val="en-US" w:eastAsia="zh-CN"/>
        </w:rPr>
        <w:t>98</w:t>
      </w:r>
      <w:r>
        <w:rPr>
          <w:rFonts w:ascii="Times New Roman" w:hAnsi="Times New Roman" w:eastAsia="仿宋_GB2312" w:cs="Times New Roman"/>
          <w:sz w:val="32"/>
          <w:szCs w:val="32"/>
          <w:highlight w:val="none"/>
        </w:rPr>
        <w:t>分</w:t>
      </w:r>
      <w:r>
        <w:rPr>
          <w:rFonts w:ascii="Times New Roman" w:hAnsi="Times New Roman" w:eastAsia="仿宋_GB2312" w:cs="Times New Roman"/>
          <w:kern w:val="2"/>
          <w:sz w:val="32"/>
          <w:szCs w:val="32"/>
          <w:highlight w:val="none"/>
        </w:rPr>
        <w:t>，</w:t>
      </w:r>
      <w:r>
        <w:rPr>
          <w:rFonts w:ascii="Times New Roman" w:hAnsi="Times New Roman" w:eastAsia="仿宋_GB2312" w:cs="Times New Roman"/>
          <w:sz w:val="32"/>
          <w:szCs w:val="32"/>
          <w:highlight w:val="none"/>
        </w:rPr>
        <w:t>评价等级为“</w:t>
      </w:r>
      <w:r>
        <w:rPr>
          <w:rFonts w:hint="eastAsia" w:ascii="Times New Roman" w:hAnsi="Times New Roman" w:eastAsia="仿宋_GB2312" w:cs="Times New Roman"/>
          <w:sz w:val="32"/>
          <w:szCs w:val="32"/>
          <w:highlight w:val="none"/>
          <w:lang w:eastAsia="zh-CN"/>
        </w:rPr>
        <w:t>优</w:t>
      </w:r>
      <w:r>
        <w:rPr>
          <w:rFonts w:ascii="Times New Roman" w:hAnsi="Times New Roman" w:eastAsia="仿宋_GB2312" w:cs="Times New Roman"/>
          <w:sz w:val="32"/>
          <w:szCs w:val="32"/>
          <w:highlight w:val="none"/>
        </w:rPr>
        <w:t>”</w:t>
      </w:r>
      <w:r>
        <w:rPr>
          <w:rFonts w:ascii="Times New Roman" w:hAnsi="Times New Roman" w:eastAsia="仿宋_GB2312" w:cs="Times New Roman"/>
          <w:kern w:val="2"/>
          <w:sz w:val="32"/>
          <w:szCs w:val="32"/>
          <w:highlight w:val="none"/>
        </w:rPr>
        <w:t>。</w:t>
      </w:r>
    </w:p>
    <w:p w14:paraId="655C7CE2">
      <w:pPr>
        <w:pStyle w:val="6"/>
        <w:keepNext w:val="0"/>
        <w:keepLines w:val="0"/>
        <w:pageBreakBefore w:val="0"/>
        <w:numPr>
          <w:ilvl w:val="0"/>
          <w:numId w:val="3"/>
        </w:numPr>
        <w:shd w:val="clear" w:color="auto" w:fill="FFFFFF"/>
        <w:kinsoku/>
        <w:wordWrap/>
        <w:topLinePunct w:val="0"/>
        <w:autoSpaceDE/>
        <w:autoSpaceDN/>
        <w:bidi w:val="0"/>
        <w:spacing w:before="0" w:beforeAutospacing="0" w:after="0" w:afterAutospacing="0" w:line="600" w:lineRule="exact"/>
        <w:ind w:left="624" w:leftChars="0" w:firstLine="0" w:firstLineChars="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评价指标分析</w:t>
      </w:r>
    </w:p>
    <w:p w14:paraId="6F8FBDFE">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经济性分析</w:t>
      </w:r>
    </w:p>
    <w:p w14:paraId="4CD5D361">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1、预算配置控制较好。财政供养人员控制在预算编制以内，编制内在职人员控制率9</w:t>
      </w:r>
      <w:r>
        <w:rPr>
          <w:rFonts w:hint="eastAsia" w:eastAsia="仿宋_GB2312" w:cs="Times New Roman"/>
          <w:color w:val="auto"/>
          <w:kern w:val="0"/>
          <w:sz w:val="32"/>
          <w:szCs w:val="32"/>
          <w:lang w:val="en-US" w:eastAsia="zh-CN" w:bidi="ar-SA"/>
        </w:rPr>
        <w:t>3.33</w:t>
      </w:r>
      <w:r>
        <w:rPr>
          <w:rFonts w:hint="eastAsia" w:ascii="Times New Roman" w:hAnsi="Times New Roman" w:eastAsia="仿宋_GB2312" w:cs="Times New Roman"/>
          <w:color w:val="auto"/>
          <w:kern w:val="0"/>
          <w:sz w:val="32"/>
          <w:szCs w:val="32"/>
          <w:lang w:val="en-US" w:eastAsia="zh-CN" w:bidi="ar-SA"/>
        </w:rPr>
        <w:t>%，未超过控制标准。</w:t>
      </w:r>
    </w:p>
    <w:p w14:paraId="63B5C807">
      <w:pPr>
        <w:keepNext w:val="0"/>
        <w:keepLines w:val="0"/>
        <w:pageBreakBefore w:val="0"/>
        <w:widowControl/>
        <w:shd w:val="clear" w:color="auto" w:fill="FFFFFF"/>
        <w:kinsoku/>
        <w:wordWrap/>
        <w:topLinePunct w:val="0"/>
        <w:autoSpaceDE/>
        <w:autoSpaceDN/>
        <w:bidi w:val="0"/>
        <w:spacing w:line="600" w:lineRule="exact"/>
        <w:ind w:firstLine="640"/>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2、预算执行与管理。202</w:t>
      </w:r>
      <w:r>
        <w:rPr>
          <w:rFonts w:hint="eastAsia" w:eastAsia="仿宋_GB2312" w:cs="Times New Roman"/>
          <w:color w:val="auto"/>
          <w:kern w:val="0"/>
          <w:sz w:val="32"/>
          <w:szCs w:val="32"/>
          <w:lang w:val="en-US" w:eastAsia="zh-CN" w:bidi="ar-SA"/>
        </w:rPr>
        <w:t>3</w:t>
      </w:r>
      <w:r>
        <w:rPr>
          <w:rFonts w:hint="eastAsia" w:ascii="Times New Roman" w:hAnsi="Times New Roman" w:eastAsia="仿宋_GB2312" w:cs="Times New Roman"/>
          <w:color w:val="auto"/>
          <w:kern w:val="0"/>
          <w:sz w:val="32"/>
          <w:szCs w:val="32"/>
          <w:lang w:val="en-US" w:eastAsia="zh-CN" w:bidi="ar-SA"/>
        </w:rPr>
        <w:t>年财政决算收入</w:t>
      </w:r>
      <w:r>
        <w:rPr>
          <w:rFonts w:hint="eastAsia" w:eastAsia="仿宋_GB2312" w:cs="Times New Roman"/>
          <w:color w:val="auto"/>
          <w:kern w:val="0"/>
          <w:sz w:val="32"/>
          <w:szCs w:val="32"/>
          <w:lang w:val="en-US" w:eastAsia="zh-CN" w:bidi="ar-SA"/>
        </w:rPr>
        <w:t>302.8</w:t>
      </w:r>
      <w:r>
        <w:rPr>
          <w:rFonts w:hint="eastAsia" w:ascii="Times New Roman" w:hAnsi="Times New Roman" w:eastAsia="仿宋_GB2312" w:cs="Times New Roman"/>
          <w:color w:val="auto"/>
          <w:kern w:val="0"/>
          <w:sz w:val="32"/>
          <w:szCs w:val="32"/>
          <w:lang w:val="en-US" w:eastAsia="zh-CN" w:bidi="ar-SA"/>
        </w:rPr>
        <w:t>万元，其中一般公共预算财政拨款收入</w:t>
      </w:r>
      <w:r>
        <w:rPr>
          <w:rFonts w:hint="eastAsia" w:eastAsia="仿宋_GB2312" w:cs="Times New Roman"/>
          <w:color w:val="auto"/>
          <w:kern w:val="0"/>
          <w:sz w:val="32"/>
          <w:szCs w:val="32"/>
          <w:lang w:val="en-US" w:eastAsia="zh-CN" w:bidi="ar-SA"/>
        </w:rPr>
        <w:t>302.8</w:t>
      </w:r>
      <w:r>
        <w:rPr>
          <w:rFonts w:hint="eastAsia" w:ascii="Times New Roman" w:hAnsi="Times New Roman" w:eastAsia="仿宋_GB2312" w:cs="Times New Roman"/>
          <w:color w:val="auto"/>
          <w:kern w:val="0"/>
          <w:sz w:val="32"/>
          <w:szCs w:val="32"/>
          <w:lang w:val="en-US" w:eastAsia="zh-CN" w:bidi="ar-SA"/>
        </w:rPr>
        <w:t>万元，上年结转</w:t>
      </w:r>
      <w:r>
        <w:rPr>
          <w:rFonts w:hint="eastAsia" w:eastAsia="仿宋_GB2312" w:cs="Times New Roman"/>
          <w:color w:val="auto"/>
          <w:kern w:val="0"/>
          <w:sz w:val="32"/>
          <w:szCs w:val="32"/>
          <w:lang w:val="en-US" w:eastAsia="zh-CN" w:bidi="ar-SA"/>
        </w:rPr>
        <w:t>0</w:t>
      </w:r>
      <w:r>
        <w:rPr>
          <w:rFonts w:hint="eastAsia" w:ascii="Times New Roman" w:hAnsi="Times New Roman" w:eastAsia="仿宋_GB2312" w:cs="Times New Roman"/>
          <w:color w:val="auto"/>
          <w:kern w:val="0"/>
          <w:sz w:val="32"/>
          <w:szCs w:val="32"/>
          <w:lang w:val="en-US" w:eastAsia="zh-CN" w:bidi="ar-SA"/>
        </w:rPr>
        <w:t>万元；决算支出为</w:t>
      </w:r>
      <w:r>
        <w:rPr>
          <w:rFonts w:hint="eastAsia" w:eastAsia="仿宋_GB2312" w:cs="Times New Roman"/>
          <w:color w:val="auto"/>
          <w:kern w:val="0"/>
          <w:sz w:val="32"/>
          <w:szCs w:val="32"/>
          <w:lang w:val="en-US" w:eastAsia="zh-CN" w:bidi="ar-SA"/>
        </w:rPr>
        <w:t>302.8</w:t>
      </w:r>
      <w:r>
        <w:rPr>
          <w:rFonts w:hint="eastAsia" w:ascii="Times New Roman" w:hAnsi="Times New Roman" w:eastAsia="仿宋_GB2312" w:cs="Times New Roman"/>
          <w:color w:val="auto"/>
          <w:kern w:val="0"/>
          <w:sz w:val="32"/>
          <w:szCs w:val="32"/>
          <w:lang w:val="en-US" w:eastAsia="zh-CN" w:bidi="ar-SA"/>
        </w:rPr>
        <w:t>元，其中基本支出</w:t>
      </w:r>
      <w:r>
        <w:rPr>
          <w:rFonts w:hint="eastAsia" w:eastAsia="仿宋_GB2312" w:cs="Times New Roman"/>
          <w:color w:val="auto"/>
          <w:kern w:val="0"/>
          <w:sz w:val="32"/>
          <w:szCs w:val="32"/>
          <w:lang w:val="en-US" w:eastAsia="zh-CN" w:bidi="ar-SA"/>
        </w:rPr>
        <w:t>237.49</w:t>
      </w:r>
      <w:r>
        <w:rPr>
          <w:rFonts w:hint="eastAsia" w:ascii="Times New Roman" w:hAnsi="Times New Roman" w:eastAsia="仿宋_GB2312" w:cs="Times New Roman"/>
          <w:color w:val="auto"/>
          <w:kern w:val="0"/>
          <w:sz w:val="32"/>
          <w:szCs w:val="32"/>
          <w:lang w:val="en-US" w:eastAsia="zh-CN" w:bidi="ar-SA"/>
        </w:rPr>
        <w:t>万元、项目支出</w:t>
      </w:r>
      <w:r>
        <w:rPr>
          <w:rFonts w:hint="eastAsia" w:eastAsia="仿宋_GB2312" w:cs="Times New Roman"/>
          <w:color w:val="auto"/>
          <w:kern w:val="0"/>
          <w:sz w:val="32"/>
          <w:szCs w:val="32"/>
          <w:lang w:val="en-US" w:eastAsia="zh-CN" w:bidi="ar-SA"/>
        </w:rPr>
        <w:t>65.32</w:t>
      </w:r>
      <w:r>
        <w:rPr>
          <w:rFonts w:hint="eastAsia" w:ascii="Times New Roman" w:hAnsi="Times New Roman" w:eastAsia="仿宋_GB2312" w:cs="Times New Roman"/>
          <w:color w:val="auto"/>
          <w:kern w:val="0"/>
          <w:sz w:val="32"/>
          <w:szCs w:val="32"/>
          <w:lang w:val="en-US" w:eastAsia="zh-CN" w:bidi="ar-SA"/>
        </w:rPr>
        <w:t>万元，公用经费、三公经费等相关支出均未超过控制标准。</w:t>
      </w:r>
    </w:p>
    <w:p w14:paraId="165EBA2D">
      <w:pPr>
        <w:pStyle w:val="6"/>
        <w:keepNext w:val="0"/>
        <w:keepLines w:val="0"/>
        <w:pageBreakBefore w:val="0"/>
        <w:numPr>
          <w:ilvl w:val="0"/>
          <w:numId w:val="0"/>
        </w:numPr>
        <w:shd w:val="clear" w:color="auto" w:fill="FFFFFF"/>
        <w:kinsoku/>
        <w:wordWrap/>
        <w:topLinePunct w:val="0"/>
        <w:autoSpaceDE/>
        <w:autoSpaceDN/>
        <w:bidi w:val="0"/>
        <w:spacing w:before="0" w:beforeAutospacing="0" w:after="0" w:afterAutospacing="0" w:line="600" w:lineRule="exact"/>
        <w:ind w:left="624" w:leftChars="0"/>
        <w:jc w:val="both"/>
        <w:rPr>
          <w:rFonts w:hint="default" w:ascii="黑体" w:hAnsi="黑体" w:eastAsia="黑体" w:cs="黑体"/>
          <w:sz w:val="32"/>
          <w:szCs w:val="32"/>
          <w:lang w:val="en-US" w:eastAsia="zh-CN"/>
        </w:rPr>
      </w:pPr>
    </w:p>
    <w:p w14:paraId="5271143F">
      <w:pPr>
        <w:keepNext w:val="0"/>
        <w:keepLines w:val="0"/>
        <w:pageBreakBefore w:val="0"/>
        <w:widowControl/>
        <w:shd w:val="clear" w:color="auto" w:fill="FFFFFF"/>
        <w:kinsoku/>
        <w:wordWrap/>
        <w:topLinePunct w:val="0"/>
        <w:autoSpaceDE/>
        <w:autoSpaceDN/>
        <w:bidi w:val="0"/>
        <w:spacing w:line="600" w:lineRule="exact"/>
        <w:ind w:firstLine="640"/>
        <w:rPr>
          <w:rFonts w:hint="eastAsia" w:ascii="楷体_GB2312" w:hAnsi="楷体_GB2312" w:eastAsia="楷体_GB2312" w:cs="楷体_GB2312"/>
          <w:b/>
          <w:bCs/>
          <w:kern w:val="0"/>
          <w:sz w:val="32"/>
          <w:szCs w:val="32"/>
          <w:lang w:val="en-US" w:eastAsia="zh-CN" w:bidi="ar-SA"/>
        </w:rPr>
      </w:pPr>
      <w:r>
        <w:rPr>
          <w:rFonts w:hint="eastAsia" w:ascii="楷体_GB2312" w:hAnsi="楷体_GB2312" w:eastAsia="楷体_GB2312" w:cs="楷体_GB2312"/>
          <w:b/>
          <w:bCs/>
          <w:kern w:val="0"/>
          <w:sz w:val="32"/>
          <w:szCs w:val="32"/>
          <w:lang w:val="en-US" w:eastAsia="zh-CN" w:bidi="ar-SA"/>
        </w:rPr>
        <w:t>有效性和效率性分析</w:t>
      </w:r>
    </w:p>
    <w:p w14:paraId="543D7AB7">
      <w:pPr>
        <w:pStyle w:val="2"/>
        <w:keepNext w:val="0"/>
        <w:keepLines w:val="0"/>
        <w:pageBreakBefore w:val="0"/>
        <w:kinsoku/>
        <w:wordWrap/>
        <w:topLinePunct w:val="0"/>
        <w:autoSpaceDE/>
        <w:autoSpaceDN/>
        <w:bidi w:val="0"/>
        <w:spacing w:line="600" w:lineRule="exact"/>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color w:val="auto"/>
          <w:kern w:val="0"/>
          <w:sz w:val="32"/>
          <w:szCs w:val="32"/>
          <w:lang w:val="en-US" w:eastAsia="zh-CN" w:bidi="ar-SA"/>
        </w:rPr>
        <w:t>通过对2023全年工作进行梳理和总结，我室2023年主要产出和效益如下：</w:t>
      </w:r>
    </w:p>
    <w:p w14:paraId="74EDBADB">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spacing w:val="0"/>
          <w:sz w:val="32"/>
          <w:szCs w:val="32"/>
        </w:rPr>
      </w:pPr>
      <w:r>
        <w:rPr>
          <w:rFonts w:hint="eastAsia" w:ascii="Times New Roman" w:hAnsi="Times New Roman" w:eastAsia="黑体" w:cs="Times New Roman"/>
          <w:spacing w:val="0"/>
          <w:sz w:val="32"/>
          <w:szCs w:val="32"/>
          <w:lang w:val="en-US" w:eastAsia="zh-CN"/>
        </w:rPr>
        <w:t>1、</w:t>
      </w:r>
      <w:r>
        <w:rPr>
          <w:rFonts w:hint="default" w:ascii="Times New Roman" w:hAnsi="Times New Roman" w:eastAsia="黑体" w:cs="Times New Roman"/>
          <w:spacing w:val="0"/>
          <w:sz w:val="32"/>
          <w:szCs w:val="32"/>
        </w:rPr>
        <w:t>坚持以理论学习为先导，推动主题教育走深走实</w:t>
      </w:r>
    </w:p>
    <w:p w14:paraId="60C49F7C">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 w:cs="Times New Roman"/>
          <w:spacing w:val="0"/>
          <w:sz w:val="32"/>
          <w:szCs w:val="32"/>
          <w:lang w:eastAsia="zh-CN"/>
        </w:rPr>
      </w:pPr>
      <w:r>
        <w:rPr>
          <w:rFonts w:hint="default" w:ascii="Times New Roman" w:hAnsi="Times New Roman" w:eastAsia="仿宋" w:cs="Times New Roman"/>
          <w:spacing w:val="0"/>
          <w:sz w:val="32"/>
          <w:szCs w:val="32"/>
        </w:rPr>
        <w:t>把开展主题教育作为首要政治任务，扎实推动主题教育走深走实。</w:t>
      </w:r>
      <w:r>
        <w:rPr>
          <w:rFonts w:hint="default" w:ascii="Times New Roman" w:hAnsi="Times New Roman" w:eastAsia="楷体" w:cs="Times New Roman"/>
          <w:b/>
          <w:bCs/>
          <w:spacing w:val="0"/>
          <w:sz w:val="32"/>
          <w:szCs w:val="32"/>
        </w:rPr>
        <w:t>一是</w:t>
      </w:r>
      <w:r>
        <w:rPr>
          <w:rFonts w:hint="default" w:ascii="Times New Roman" w:hAnsi="Times New Roman" w:eastAsia="楷体" w:cs="Times New Roman"/>
          <w:b/>
          <w:bCs/>
          <w:spacing w:val="0"/>
          <w:sz w:val="32"/>
          <w:szCs w:val="32"/>
          <w:lang w:eastAsia="zh-CN"/>
        </w:rPr>
        <w:t>强化</w:t>
      </w:r>
      <w:r>
        <w:rPr>
          <w:rFonts w:hint="default" w:ascii="Times New Roman" w:hAnsi="Times New Roman" w:eastAsia="楷体" w:cs="Times New Roman"/>
          <w:b/>
          <w:bCs/>
          <w:spacing w:val="0"/>
          <w:sz w:val="32"/>
          <w:szCs w:val="32"/>
        </w:rPr>
        <w:t>组织推进。</w:t>
      </w:r>
      <w:r>
        <w:rPr>
          <w:rFonts w:hint="default" w:ascii="Times New Roman" w:hAnsi="Times New Roman" w:eastAsia="仿宋" w:cs="Times New Roman"/>
          <w:spacing w:val="0"/>
          <w:sz w:val="32"/>
          <w:szCs w:val="32"/>
        </w:rPr>
        <w:t>认真学习领会党中央决策部署和省委、市委</w:t>
      </w:r>
      <w:r>
        <w:rPr>
          <w:rFonts w:hint="default" w:ascii="Times New Roman" w:hAnsi="Times New Roman" w:eastAsia="仿宋" w:cs="Times New Roman"/>
          <w:spacing w:val="0"/>
          <w:sz w:val="32"/>
          <w:szCs w:val="32"/>
          <w:lang w:eastAsia="zh-CN"/>
        </w:rPr>
        <w:t>市政府</w:t>
      </w:r>
      <w:r>
        <w:rPr>
          <w:rFonts w:hint="default" w:ascii="Times New Roman" w:hAnsi="Times New Roman" w:eastAsia="仿宋" w:cs="Times New Roman"/>
          <w:spacing w:val="0"/>
          <w:sz w:val="32"/>
          <w:szCs w:val="32"/>
        </w:rPr>
        <w:t>工作要求，第一时间召开党组会、中心组扩大会专题学习领会中央、省、市主题教育工作会议精神，研究贯彻落实措施，聚焦“学思想、强党性、重实践、建新功”的总要求，科学谋划</w:t>
      </w:r>
      <w:r>
        <w:rPr>
          <w:rFonts w:hint="default" w:ascii="Times New Roman" w:hAnsi="Times New Roman" w:eastAsia="仿宋" w:cs="Times New Roman"/>
          <w:spacing w:val="0"/>
          <w:sz w:val="32"/>
          <w:szCs w:val="32"/>
          <w:lang w:eastAsia="zh-CN"/>
        </w:rPr>
        <w:t>本单位</w:t>
      </w:r>
      <w:r>
        <w:rPr>
          <w:rFonts w:hint="default" w:ascii="Times New Roman" w:hAnsi="Times New Roman" w:eastAsia="仿宋" w:cs="Times New Roman"/>
          <w:spacing w:val="0"/>
          <w:sz w:val="32"/>
          <w:szCs w:val="32"/>
        </w:rPr>
        <w:t>主题教育工作方案和党组读书班实施方案。切实履行</w:t>
      </w:r>
      <w:r>
        <w:rPr>
          <w:rFonts w:hint="eastAsia" w:ascii="Times New Roman" w:hAnsi="Times New Roman" w:eastAsia="仿宋" w:cs="Times New Roman"/>
          <w:spacing w:val="0"/>
          <w:sz w:val="32"/>
          <w:szCs w:val="32"/>
          <w:lang w:eastAsia="zh-CN"/>
        </w:rPr>
        <w:t>主题教育</w:t>
      </w:r>
      <w:r>
        <w:rPr>
          <w:rFonts w:hint="default" w:ascii="Times New Roman" w:hAnsi="Times New Roman" w:eastAsia="仿宋" w:cs="Times New Roman"/>
          <w:spacing w:val="0"/>
          <w:sz w:val="32"/>
          <w:szCs w:val="32"/>
        </w:rPr>
        <w:t>第一责任人责任，加强主题教育开展情况督促检查，推动各部门按照</w:t>
      </w:r>
      <w:r>
        <w:rPr>
          <w:rFonts w:hint="default" w:ascii="Times New Roman" w:hAnsi="Times New Roman" w:eastAsia="仿宋" w:cs="Times New Roman"/>
          <w:spacing w:val="0"/>
          <w:sz w:val="32"/>
          <w:szCs w:val="32"/>
          <w:lang w:eastAsia="zh-CN"/>
        </w:rPr>
        <w:t>室党组</w:t>
      </w:r>
      <w:r>
        <w:rPr>
          <w:rFonts w:hint="default" w:ascii="Times New Roman" w:hAnsi="Times New Roman" w:eastAsia="仿宋" w:cs="Times New Roman"/>
          <w:spacing w:val="0"/>
          <w:sz w:val="32"/>
          <w:szCs w:val="32"/>
        </w:rPr>
        <w:t>工作方案，一体推进理论学习、调查研究、检视整改、推动发展各项任务落实。</w:t>
      </w:r>
      <w:r>
        <w:rPr>
          <w:rFonts w:hint="default" w:ascii="Times New Roman" w:hAnsi="Times New Roman" w:eastAsia="楷体" w:cs="Times New Roman"/>
          <w:b/>
          <w:bCs/>
          <w:spacing w:val="0"/>
          <w:sz w:val="32"/>
          <w:szCs w:val="32"/>
        </w:rPr>
        <w:t>二是加强理论武装。</w:t>
      </w:r>
      <w:r>
        <w:rPr>
          <w:rFonts w:hint="default" w:ascii="Times New Roman" w:hAnsi="Times New Roman" w:eastAsia="仿宋" w:cs="Times New Roman"/>
          <w:spacing w:val="0"/>
          <w:sz w:val="32"/>
          <w:szCs w:val="32"/>
        </w:rPr>
        <w:t>坚持以身作则，通过</w:t>
      </w:r>
      <w:r>
        <w:rPr>
          <w:rFonts w:hint="default" w:ascii="Times New Roman" w:hAnsi="Times New Roman" w:eastAsia="仿宋" w:cs="Times New Roman"/>
          <w:spacing w:val="0"/>
          <w:sz w:val="32"/>
          <w:szCs w:val="32"/>
          <w:lang w:eastAsia="zh-CN"/>
        </w:rPr>
        <w:t>室党组</w:t>
      </w:r>
      <w:r>
        <w:rPr>
          <w:rFonts w:hint="default" w:ascii="Times New Roman" w:hAnsi="Times New Roman" w:eastAsia="仿宋" w:cs="Times New Roman"/>
          <w:spacing w:val="0"/>
          <w:sz w:val="32"/>
          <w:szCs w:val="32"/>
        </w:rPr>
        <w:t>中心组集体学习、举办党</w:t>
      </w:r>
      <w:r>
        <w:rPr>
          <w:rFonts w:hint="default" w:ascii="Times New Roman" w:hAnsi="Times New Roman" w:eastAsia="仿宋" w:cs="Times New Roman"/>
          <w:spacing w:val="0"/>
          <w:sz w:val="32"/>
          <w:szCs w:val="32"/>
          <w:lang w:eastAsia="zh-CN"/>
        </w:rPr>
        <w:t>组</w:t>
      </w:r>
      <w:r>
        <w:rPr>
          <w:rFonts w:hint="default" w:ascii="Times New Roman" w:hAnsi="Times New Roman" w:eastAsia="仿宋" w:cs="Times New Roman"/>
          <w:spacing w:val="0"/>
          <w:sz w:val="32"/>
          <w:szCs w:val="32"/>
        </w:rPr>
        <w:t>读书班、为全体党员讲专题党课等方式，带头参加主题教育。发挥班子成员的示范带动作用，</w:t>
      </w:r>
      <w:r>
        <w:rPr>
          <w:rFonts w:hint="default" w:ascii="Times New Roman" w:hAnsi="Times New Roman" w:eastAsia="仿宋" w:cs="Times New Roman"/>
          <w:spacing w:val="0"/>
          <w:sz w:val="32"/>
          <w:szCs w:val="32"/>
          <w:lang w:eastAsia="zh-CN"/>
        </w:rPr>
        <w:t>严格执行</w:t>
      </w:r>
      <w:r>
        <w:rPr>
          <w:rFonts w:hint="default" w:ascii="Times New Roman" w:hAnsi="Times New Roman" w:eastAsia="仿宋" w:cs="Times New Roman"/>
          <w:spacing w:val="0"/>
          <w:sz w:val="32"/>
          <w:szCs w:val="32"/>
        </w:rPr>
        <w:t>“第一议题”制度，深入学习贯彻习近平总书记关于党的理论和路线方针政策、党和国家事业发展全局的重要讲话、重要指示批示精神，及时跟进学习习近平总书记在中央重要会议、重要活动上的重要讲话精神，严肃规范组织</w:t>
      </w:r>
      <w:r>
        <w:rPr>
          <w:rFonts w:hint="default" w:ascii="Times New Roman" w:hAnsi="Times New Roman" w:eastAsia="仿宋" w:cs="Times New Roman"/>
          <w:spacing w:val="0"/>
          <w:sz w:val="32"/>
          <w:szCs w:val="32"/>
          <w:lang w:val="en-US" w:eastAsia="zh-CN"/>
        </w:rPr>
        <w:t>1</w:t>
      </w:r>
      <w:r>
        <w:rPr>
          <w:rFonts w:hint="eastAsia" w:ascii="Times New Roman" w:hAnsi="Times New Roman" w:eastAsia="仿宋" w:cs="Times New Roman"/>
          <w:spacing w:val="0"/>
          <w:sz w:val="32"/>
          <w:szCs w:val="32"/>
          <w:lang w:val="en-US" w:eastAsia="zh-CN"/>
        </w:rPr>
        <w:t>3</w:t>
      </w:r>
      <w:r>
        <w:rPr>
          <w:rFonts w:hint="default" w:ascii="Times New Roman" w:hAnsi="Times New Roman" w:eastAsia="仿宋" w:cs="Times New Roman"/>
          <w:spacing w:val="0"/>
          <w:sz w:val="32"/>
          <w:szCs w:val="32"/>
        </w:rPr>
        <w:t>次中心组学习，</w:t>
      </w:r>
      <w:r>
        <w:rPr>
          <w:rFonts w:hint="default" w:ascii="Times New Roman" w:hAnsi="Times New Roman" w:eastAsia="仿宋" w:cs="Times New Roman"/>
          <w:spacing w:val="0"/>
          <w:sz w:val="32"/>
          <w:szCs w:val="32"/>
          <w:lang w:eastAsia="zh-CN"/>
        </w:rPr>
        <w:t>围绕“以学铸魂、以学增智、以学正风、以学促干”开展专题研讨4次，</w:t>
      </w:r>
      <w:r>
        <w:rPr>
          <w:rFonts w:hint="default" w:ascii="Times New Roman" w:hAnsi="Times New Roman" w:eastAsia="仿宋" w:cs="Times New Roman"/>
          <w:spacing w:val="0"/>
          <w:sz w:val="32"/>
          <w:szCs w:val="32"/>
        </w:rPr>
        <w:t>举办主题教育</w:t>
      </w:r>
      <w:r>
        <w:rPr>
          <w:rFonts w:hint="default" w:ascii="Times New Roman" w:hAnsi="Times New Roman" w:eastAsia="仿宋" w:cs="Times New Roman"/>
          <w:spacing w:val="0"/>
          <w:sz w:val="32"/>
          <w:szCs w:val="32"/>
          <w:lang w:eastAsia="zh-CN"/>
        </w:rPr>
        <w:t>专题</w:t>
      </w:r>
      <w:r>
        <w:rPr>
          <w:rFonts w:hint="default" w:ascii="Times New Roman" w:hAnsi="Times New Roman" w:eastAsia="仿宋" w:cs="Times New Roman"/>
          <w:spacing w:val="0"/>
          <w:sz w:val="32"/>
          <w:szCs w:val="32"/>
        </w:rPr>
        <w:t>读书班，带动各</w:t>
      </w:r>
      <w:r>
        <w:rPr>
          <w:rFonts w:hint="default" w:ascii="Times New Roman" w:hAnsi="Times New Roman" w:eastAsia="仿宋" w:cs="Times New Roman"/>
          <w:spacing w:val="0"/>
          <w:sz w:val="32"/>
          <w:szCs w:val="32"/>
          <w:lang w:eastAsia="zh-CN"/>
        </w:rPr>
        <w:t>党员</w:t>
      </w:r>
      <w:r>
        <w:rPr>
          <w:rFonts w:hint="default" w:ascii="Times New Roman" w:hAnsi="Times New Roman" w:eastAsia="仿宋" w:cs="Times New Roman"/>
          <w:spacing w:val="0"/>
          <w:sz w:val="32"/>
          <w:szCs w:val="32"/>
        </w:rPr>
        <w:t>通过“三会一课”、专题培训等方式推动主题教育走深走实。</w:t>
      </w:r>
      <w:r>
        <w:rPr>
          <w:rFonts w:hint="default" w:ascii="Times New Roman" w:hAnsi="Times New Roman" w:eastAsia="楷体" w:cs="Times New Roman"/>
          <w:b/>
          <w:bCs/>
          <w:spacing w:val="0"/>
          <w:sz w:val="32"/>
          <w:szCs w:val="32"/>
        </w:rPr>
        <w:t>三是</w:t>
      </w:r>
      <w:r>
        <w:rPr>
          <w:rFonts w:hint="default" w:ascii="Times New Roman" w:hAnsi="Times New Roman" w:eastAsia="楷体" w:cs="Times New Roman"/>
          <w:b/>
          <w:bCs/>
          <w:spacing w:val="0"/>
          <w:sz w:val="32"/>
          <w:szCs w:val="32"/>
          <w:lang w:eastAsia="zh-CN"/>
        </w:rPr>
        <w:t>践行“四下基层”</w:t>
      </w:r>
      <w:r>
        <w:rPr>
          <w:rFonts w:hint="default" w:ascii="Times New Roman" w:hAnsi="Times New Roman" w:eastAsia="楷体" w:cs="Times New Roman"/>
          <w:b/>
          <w:bCs/>
          <w:spacing w:val="0"/>
          <w:sz w:val="32"/>
          <w:szCs w:val="32"/>
        </w:rPr>
        <w:t>。</w:t>
      </w:r>
      <w:r>
        <w:rPr>
          <w:rFonts w:hint="default" w:ascii="Times New Roman" w:hAnsi="Times New Roman" w:eastAsia="仿宋" w:cs="Times New Roman"/>
          <w:spacing w:val="0"/>
          <w:sz w:val="32"/>
          <w:szCs w:val="32"/>
        </w:rPr>
        <w:t>把推动强基固本作为“走找想促”活动的着力点，引导</w:t>
      </w:r>
      <w:r>
        <w:rPr>
          <w:rFonts w:hint="default" w:ascii="Times New Roman" w:hAnsi="Times New Roman" w:eastAsia="仿宋" w:cs="Times New Roman"/>
          <w:spacing w:val="0"/>
          <w:sz w:val="32"/>
          <w:szCs w:val="32"/>
          <w:lang w:eastAsia="zh-CN"/>
        </w:rPr>
        <w:t>全体</w:t>
      </w:r>
      <w:r>
        <w:rPr>
          <w:rFonts w:hint="default" w:ascii="Times New Roman" w:hAnsi="Times New Roman" w:eastAsia="仿宋" w:cs="Times New Roman"/>
          <w:spacing w:val="0"/>
          <w:sz w:val="32"/>
          <w:szCs w:val="32"/>
        </w:rPr>
        <w:t>党员干部下沉一线破难题、促发展、办实事、解民忧，围绕改革发展稳定中心工作和群众急难愁盼问题</w:t>
      </w:r>
      <w:r>
        <w:rPr>
          <w:rFonts w:hint="default" w:ascii="Times New Roman" w:hAnsi="Times New Roman" w:eastAsia="仿宋" w:cs="Times New Roman"/>
          <w:spacing w:val="0"/>
          <w:sz w:val="32"/>
          <w:szCs w:val="32"/>
          <w:lang w:eastAsia="zh-CN"/>
        </w:rPr>
        <w:t>，分别赴溆浦、辰溪、麻阳等县开展“四下基层”活动，</w:t>
      </w:r>
      <w:r>
        <w:rPr>
          <w:rFonts w:hint="default" w:ascii="Times New Roman" w:hAnsi="Times New Roman" w:eastAsia="仿宋" w:cs="Times New Roman"/>
          <w:spacing w:val="0"/>
          <w:sz w:val="32"/>
          <w:szCs w:val="32"/>
        </w:rPr>
        <w:t>推动基层党组织主题教育扎实有效开展</w:t>
      </w:r>
      <w:r>
        <w:rPr>
          <w:rFonts w:hint="default" w:ascii="Times New Roman" w:hAnsi="Times New Roman" w:eastAsia="仿宋" w:cs="Times New Roman"/>
          <w:spacing w:val="0"/>
          <w:sz w:val="32"/>
          <w:szCs w:val="32"/>
          <w:lang w:eastAsia="zh-CN"/>
        </w:rPr>
        <w:t>。</w:t>
      </w:r>
    </w:p>
    <w:p w14:paraId="0071C53B">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spacing w:val="0"/>
          <w:sz w:val="32"/>
          <w:szCs w:val="32"/>
        </w:rPr>
      </w:pPr>
      <w:r>
        <w:rPr>
          <w:rFonts w:hint="eastAsia" w:ascii="Times New Roman" w:hAnsi="Times New Roman" w:eastAsia="黑体" w:cs="Times New Roman"/>
          <w:spacing w:val="0"/>
          <w:sz w:val="32"/>
          <w:szCs w:val="32"/>
          <w:lang w:val="en-US" w:eastAsia="zh-CN"/>
        </w:rPr>
        <w:t>2、</w:t>
      </w:r>
      <w:r>
        <w:rPr>
          <w:rFonts w:hint="default" w:ascii="Times New Roman" w:hAnsi="Times New Roman" w:eastAsia="黑体" w:cs="Times New Roman"/>
          <w:spacing w:val="0"/>
          <w:sz w:val="32"/>
          <w:szCs w:val="32"/>
        </w:rPr>
        <w:t>坚持以政治建设为统领，全面加强新时代党的建设</w:t>
      </w:r>
    </w:p>
    <w:p w14:paraId="7C7FBF6D">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 w:cs="Times New Roman"/>
          <w:spacing w:val="0"/>
          <w:sz w:val="32"/>
          <w:szCs w:val="32"/>
        </w:rPr>
      </w:pPr>
      <w:r>
        <w:rPr>
          <w:rFonts w:hint="default" w:ascii="Times New Roman" w:hAnsi="Times New Roman" w:eastAsia="仿宋" w:cs="Times New Roman"/>
          <w:spacing w:val="0"/>
          <w:sz w:val="32"/>
          <w:szCs w:val="32"/>
        </w:rPr>
        <w:t>始终把讲政治融入我室工作的全过程全环节，切实提高政治判断力、政治领悟力、政治执行力。</w:t>
      </w:r>
      <w:r>
        <w:rPr>
          <w:rFonts w:hint="default" w:ascii="Times New Roman" w:hAnsi="Times New Roman" w:eastAsia="楷体" w:cs="Times New Roman"/>
          <w:b/>
          <w:bCs/>
          <w:spacing w:val="0"/>
          <w:sz w:val="32"/>
          <w:szCs w:val="32"/>
        </w:rPr>
        <w:t>一是强化政治建设</w:t>
      </w:r>
      <w:r>
        <w:rPr>
          <w:rFonts w:hint="default" w:ascii="Times New Roman" w:hAnsi="Times New Roman" w:eastAsia="仿宋" w:cs="Times New Roman"/>
          <w:b/>
          <w:bCs/>
          <w:spacing w:val="0"/>
          <w:sz w:val="32"/>
          <w:szCs w:val="32"/>
        </w:rPr>
        <w:t>。</w:t>
      </w:r>
      <w:r>
        <w:rPr>
          <w:rFonts w:hint="default" w:ascii="Times New Roman" w:hAnsi="Times New Roman" w:eastAsia="仿宋" w:cs="Times New Roman"/>
          <w:spacing w:val="0"/>
          <w:sz w:val="32"/>
          <w:szCs w:val="32"/>
        </w:rPr>
        <w:t>坚定政府</w:t>
      </w:r>
      <w:r>
        <w:rPr>
          <w:rFonts w:hint="default" w:ascii="Times New Roman" w:hAnsi="Times New Roman" w:eastAsia="仿宋" w:cs="Times New Roman"/>
          <w:spacing w:val="0"/>
          <w:sz w:val="32"/>
          <w:szCs w:val="32"/>
          <w:lang w:eastAsia="zh-CN"/>
        </w:rPr>
        <w:t>研究室</w:t>
      </w:r>
      <w:r>
        <w:rPr>
          <w:rFonts w:hint="default" w:ascii="Times New Roman" w:hAnsi="Times New Roman" w:eastAsia="仿宋" w:cs="Times New Roman"/>
          <w:spacing w:val="0"/>
          <w:sz w:val="32"/>
          <w:szCs w:val="32"/>
        </w:rPr>
        <w:t>姓“政”的立场，把政治建设贯穿理论学习、各项工作始终，引导全体党员干部深刻领悟“两个确立”的决定性意义、做到“两个维护”。</w:t>
      </w:r>
      <w:r>
        <w:rPr>
          <w:rFonts w:hint="default" w:ascii="Times New Roman" w:hAnsi="Times New Roman" w:eastAsia="仿宋" w:cs="Times New Roman"/>
          <w:bCs/>
          <w:spacing w:val="0"/>
          <w:kern w:val="2"/>
          <w:sz w:val="32"/>
          <w:szCs w:val="32"/>
          <w:lang w:val="en-US" w:eastAsia="zh-CN" w:bidi="ar-SA"/>
        </w:rPr>
        <w:t>严格</w:t>
      </w:r>
      <w:r>
        <w:rPr>
          <w:rFonts w:hint="default" w:ascii="Times New Roman" w:hAnsi="Times New Roman" w:eastAsia="仿宋" w:cs="Times New Roman"/>
          <w:bCs/>
          <w:spacing w:val="0"/>
          <w:kern w:val="2"/>
          <w:sz w:val="32"/>
          <w:szCs w:val="32"/>
          <w:lang w:eastAsia="zh-CN" w:bidi="ar-SA"/>
        </w:rPr>
        <w:t>落实室</w:t>
      </w:r>
      <w:r>
        <w:rPr>
          <w:rFonts w:hint="default" w:ascii="Times New Roman" w:hAnsi="Times New Roman" w:eastAsia="仿宋" w:cs="Times New Roman"/>
          <w:spacing w:val="0"/>
          <w:sz w:val="32"/>
          <w:szCs w:val="32"/>
        </w:rPr>
        <w:t>党组书记履行党建工作第一责任人职责，党组其他成员实行“一岗双责”，制定下发了《中共怀化市人民政府</w:t>
      </w:r>
      <w:r>
        <w:rPr>
          <w:rFonts w:hint="default" w:ascii="Times New Roman" w:hAnsi="Times New Roman" w:eastAsia="仿宋" w:cs="Times New Roman"/>
          <w:spacing w:val="0"/>
          <w:sz w:val="32"/>
          <w:szCs w:val="32"/>
          <w:lang w:eastAsia="zh-CN"/>
        </w:rPr>
        <w:t>研究室</w:t>
      </w:r>
      <w:r>
        <w:rPr>
          <w:rFonts w:hint="default" w:ascii="Times New Roman" w:hAnsi="Times New Roman" w:eastAsia="仿宋" w:cs="Times New Roman"/>
          <w:spacing w:val="0"/>
          <w:sz w:val="32"/>
          <w:szCs w:val="32"/>
        </w:rPr>
        <w:t>党组2023年机关党的建设工作要点》，对全年的党建工作进行了谋划部署，</w:t>
      </w:r>
      <w:r>
        <w:rPr>
          <w:rFonts w:hint="default" w:ascii="Times New Roman" w:hAnsi="Times New Roman" w:eastAsia="仿宋" w:cs="Times New Roman"/>
          <w:spacing w:val="0"/>
          <w:sz w:val="32"/>
          <w:szCs w:val="32"/>
          <w:lang w:eastAsia="zh-CN"/>
        </w:rPr>
        <w:t>确保</w:t>
      </w:r>
      <w:r>
        <w:rPr>
          <w:rFonts w:hint="default" w:ascii="Times New Roman" w:hAnsi="Times New Roman" w:eastAsia="仿宋" w:cs="Times New Roman"/>
          <w:spacing w:val="0"/>
          <w:sz w:val="32"/>
          <w:szCs w:val="32"/>
        </w:rPr>
        <w:t>责任</w:t>
      </w:r>
      <w:r>
        <w:rPr>
          <w:rFonts w:hint="default" w:ascii="Times New Roman" w:hAnsi="Times New Roman" w:eastAsia="仿宋" w:cs="Times New Roman"/>
          <w:spacing w:val="0"/>
          <w:sz w:val="32"/>
          <w:szCs w:val="32"/>
          <w:lang w:eastAsia="zh-CN"/>
        </w:rPr>
        <w:t>到点到位</w:t>
      </w:r>
      <w:r>
        <w:rPr>
          <w:rFonts w:hint="default" w:ascii="Times New Roman" w:hAnsi="Times New Roman" w:eastAsia="仿宋" w:cs="Times New Roman"/>
          <w:spacing w:val="0"/>
          <w:sz w:val="32"/>
          <w:szCs w:val="32"/>
        </w:rPr>
        <w:t>到个人。同时，及时传达学习党中央国务院、省委省政府、市委市政府重要文件、重大会议和领导讲话精神，研究具体贯彻落实意见，并融入参政设谋服务之中，确保上级决策部署落地见效。</w:t>
      </w:r>
      <w:r>
        <w:rPr>
          <w:rFonts w:hint="default" w:ascii="Times New Roman" w:hAnsi="Times New Roman" w:eastAsia="楷体" w:cs="Times New Roman"/>
          <w:b/>
          <w:bCs/>
          <w:spacing w:val="0"/>
          <w:sz w:val="32"/>
          <w:szCs w:val="32"/>
        </w:rPr>
        <w:t>二是严肃党内政治生活。</w:t>
      </w:r>
      <w:r>
        <w:rPr>
          <w:rFonts w:hint="default" w:ascii="Times New Roman" w:hAnsi="Times New Roman" w:eastAsia="仿宋" w:cs="Times New Roman"/>
          <w:spacing w:val="0"/>
          <w:sz w:val="32"/>
          <w:szCs w:val="32"/>
          <w:lang w:eastAsia="zh-CN"/>
        </w:rPr>
        <w:t>带头执行民主集中制，全面贯彻落实党委议事规则和决策程序，维护党组权威和班子团结。严格执行新形势下</w:t>
      </w:r>
      <w:r>
        <w:rPr>
          <w:rFonts w:hint="eastAsia" w:ascii="Times New Roman" w:hAnsi="Times New Roman" w:eastAsia="仿宋" w:cs="Times New Roman"/>
          <w:spacing w:val="0"/>
          <w:sz w:val="32"/>
          <w:szCs w:val="32"/>
          <w:lang w:eastAsia="zh-CN"/>
        </w:rPr>
        <w:t>党内政治生活的若干准则</w:t>
      </w:r>
      <w:r>
        <w:rPr>
          <w:rFonts w:hint="default" w:ascii="Times New Roman" w:hAnsi="Times New Roman" w:eastAsia="仿宋" w:cs="Times New Roman"/>
          <w:spacing w:val="0"/>
          <w:sz w:val="32"/>
          <w:szCs w:val="32"/>
          <w:lang w:eastAsia="zh-CN"/>
        </w:rPr>
        <w:t>，制定党组会议议事决策程序规定、中心组学习制度和学习计划，规范召开党组会议</w:t>
      </w:r>
      <w:r>
        <w:rPr>
          <w:rFonts w:hint="default" w:ascii="Times New Roman" w:hAnsi="Times New Roman" w:eastAsia="仿宋" w:cs="Times New Roman"/>
          <w:spacing w:val="0"/>
          <w:sz w:val="32"/>
          <w:szCs w:val="32"/>
          <w:lang w:val="en-US" w:eastAsia="zh-CN"/>
        </w:rPr>
        <w:t>20</w:t>
      </w:r>
      <w:r>
        <w:rPr>
          <w:rFonts w:hint="default" w:ascii="Times New Roman" w:hAnsi="Times New Roman" w:eastAsia="仿宋" w:cs="Times New Roman"/>
          <w:spacing w:val="0"/>
          <w:sz w:val="32"/>
          <w:szCs w:val="32"/>
          <w:lang w:eastAsia="zh-CN"/>
        </w:rPr>
        <w:t>余次，坚决落实双重组织生活制度，积极以普通党员身份参加所在党支部组织生活，为支部党员讲专题党课，带动各支部规范开展“三会一课”，不断提升组织生活的政治性、组织性、时代性。</w:t>
      </w:r>
      <w:r>
        <w:rPr>
          <w:rFonts w:hint="default" w:ascii="Times New Roman" w:hAnsi="Times New Roman" w:eastAsia="楷体" w:cs="Times New Roman"/>
          <w:b/>
          <w:bCs/>
          <w:spacing w:val="0"/>
          <w:sz w:val="32"/>
          <w:szCs w:val="32"/>
        </w:rPr>
        <w:t>三是</w:t>
      </w:r>
      <w:r>
        <w:rPr>
          <w:rFonts w:hint="default" w:ascii="Times New Roman" w:hAnsi="Times New Roman" w:eastAsia="楷体" w:cs="Times New Roman"/>
          <w:b/>
          <w:bCs/>
          <w:spacing w:val="0"/>
          <w:sz w:val="32"/>
          <w:szCs w:val="32"/>
          <w:lang w:eastAsia="zh-CN"/>
        </w:rPr>
        <w:t>加强全面从严治党</w:t>
      </w:r>
      <w:r>
        <w:rPr>
          <w:rFonts w:hint="default" w:ascii="Times New Roman" w:hAnsi="Times New Roman" w:eastAsia="楷体" w:cs="Times New Roman"/>
          <w:b/>
          <w:bCs/>
          <w:spacing w:val="0"/>
          <w:sz w:val="32"/>
          <w:szCs w:val="32"/>
        </w:rPr>
        <w:t>。</w:t>
      </w:r>
      <w:r>
        <w:rPr>
          <w:rFonts w:hint="default" w:ascii="Times New Roman" w:hAnsi="Times New Roman" w:eastAsia="仿宋" w:cs="Times New Roman"/>
          <w:spacing w:val="0"/>
          <w:sz w:val="32"/>
          <w:szCs w:val="32"/>
        </w:rPr>
        <w:t>始终坚持把政治纪律和政治规矩挺在前面，做到党中央提倡的坚决响应，党中央决定的坚决执行，党中央禁止的坚决不做，做到“五个必须”，杜绝“七个有之”。坚持在市委、市政府的领导下开展工作，严格落实重大事项请示报告制度。凡是涉及重大决策、重要事项均及时向市委、市政府报告或提请研究解决，始终与市委、市政府保持认识上一致、思想上统一、行动上同步。</w:t>
      </w:r>
    </w:p>
    <w:p w14:paraId="4FDF48D5">
      <w:pPr>
        <w:keepNext w:val="0"/>
        <w:keepLines w:val="0"/>
        <w:pageBreakBefore w:val="0"/>
        <w:widowControl/>
        <w:kinsoku/>
        <w:wordWrap/>
        <w:overflowPunct/>
        <w:topLinePunct w:val="0"/>
        <w:autoSpaceDE/>
        <w:autoSpaceDN/>
        <w:bidi w:val="0"/>
        <w:adjustRightInd/>
        <w:snapToGrid/>
        <w:spacing w:line="600" w:lineRule="exact"/>
        <w:ind w:right="0" w:rightChars="0" w:firstLine="596" w:firstLineChars="200"/>
        <w:jc w:val="left"/>
        <w:textAlignment w:val="auto"/>
        <w:rPr>
          <w:rFonts w:hint="default" w:ascii="Times New Roman" w:hAnsi="Times New Roman" w:eastAsia="黑体" w:cs="Times New Roman"/>
          <w:spacing w:val="-11"/>
          <w:sz w:val="32"/>
          <w:szCs w:val="32"/>
        </w:rPr>
      </w:pPr>
      <w:r>
        <w:rPr>
          <w:rFonts w:hint="eastAsia" w:ascii="Times New Roman" w:hAnsi="Times New Roman" w:eastAsia="黑体" w:cs="Times New Roman"/>
          <w:spacing w:val="-11"/>
          <w:sz w:val="32"/>
          <w:szCs w:val="32"/>
          <w:lang w:val="en-US" w:eastAsia="zh-CN"/>
        </w:rPr>
        <w:t>3、</w:t>
      </w:r>
      <w:r>
        <w:rPr>
          <w:rFonts w:hint="default" w:ascii="Times New Roman" w:hAnsi="Times New Roman" w:eastAsia="黑体" w:cs="Times New Roman"/>
          <w:spacing w:val="-11"/>
          <w:sz w:val="32"/>
          <w:szCs w:val="32"/>
          <w:lang w:eastAsia="zh-CN"/>
        </w:rPr>
        <w:t>坚持以高质量</w:t>
      </w:r>
      <w:r>
        <w:rPr>
          <w:rFonts w:hint="default" w:ascii="Times New Roman" w:hAnsi="Times New Roman" w:eastAsia="黑体" w:cs="Times New Roman"/>
          <w:spacing w:val="-11"/>
          <w:sz w:val="32"/>
          <w:szCs w:val="32"/>
        </w:rPr>
        <w:t>参政设谋</w:t>
      </w:r>
      <w:r>
        <w:rPr>
          <w:rFonts w:hint="default" w:ascii="Times New Roman" w:hAnsi="Times New Roman" w:eastAsia="黑体" w:cs="Times New Roman"/>
          <w:spacing w:val="-11"/>
          <w:sz w:val="32"/>
          <w:szCs w:val="32"/>
          <w:lang w:eastAsia="zh-CN"/>
        </w:rPr>
        <w:t>为目标</w:t>
      </w:r>
      <w:r>
        <w:rPr>
          <w:rFonts w:hint="default" w:ascii="Times New Roman" w:hAnsi="Times New Roman" w:eastAsia="黑体" w:cs="Times New Roman"/>
          <w:spacing w:val="-11"/>
          <w:sz w:val="32"/>
          <w:szCs w:val="32"/>
        </w:rPr>
        <w:t>，切实提升</w:t>
      </w:r>
      <w:r>
        <w:rPr>
          <w:rFonts w:hint="default" w:ascii="Times New Roman" w:hAnsi="Times New Roman" w:eastAsia="黑体" w:cs="Times New Roman"/>
          <w:spacing w:val="-11"/>
          <w:sz w:val="32"/>
          <w:szCs w:val="32"/>
          <w:lang w:eastAsia="zh-CN"/>
        </w:rPr>
        <w:t>主责主业</w:t>
      </w:r>
      <w:r>
        <w:rPr>
          <w:rFonts w:hint="default" w:ascii="Times New Roman" w:hAnsi="Times New Roman" w:eastAsia="黑体" w:cs="Times New Roman"/>
          <w:spacing w:val="-11"/>
          <w:sz w:val="32"/>
          <w:szCs w:val="32"/>
        </w:rPr>
        <w:t>水平</w:t>
      </w:r>
    </w:p>
    <w:p w14:paraId="02B8DCB3">
      <w:pPr>
        <w:keepNext w:val="0"/>
        <w:keepLines w:val="0"/>
        <w:pageBreakBefore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 w:cs="Times New Roman"/>
          <w:spacing w:val="0"/>
          <w:sz w:val="32"/>
          <w:szCs w:val="32"/>
        </w:rPr>
      </w:pPr>
      <w:r>
        <w:rPr>
          <w:rFonts w:hint="default" w:ascii="Times New Roman" w:hAnsi="Times New Roman" w:eastAsia="仿宋" w:cs="Times New Roman"/>
          <w:spacing w:val="0"/>
          <w:sz w:val="32"/>
          <w:szCs w:val="32"/>
        </w:rPr>
        <w:t>积极克服人少事多的困难，不分昼夜，加班加点，较好完成以文辅政的任务。</w:t>
      </w:r>
      <w:r>
        <w:rPr>
          <w:rFonts w:hint="default" w:ascii="Times New Roman" w:hAnsi="Times New Roman" w:eastAsia="楷体" w:cs="Times New Roman"/>
          <w:b/>
          <w:spacing w:val="0"/>
          <w:sz w:val="32"/>
          <w:szCs w:val="32"/>
        </w:rPr>
        <w:t>一是高质量完成文稿起草。</w:t>
      </w:r>
      <w:r>
        <w:rPr>
          <w:rFonts w:hint="default" w:ascii="Times New Roman" w:hAnsi="Times New Roman" w:eastAsia="仿宋" w:cs="Times New Roman"/>
          <w:spacing w:val="0"/>
          <w:sz w:val="32"/>
          <w:szCs w:val="32"/>
        </w:rPr>
        <w:t>始终将文稿起草作为市政府研究室工作的重中之重，高质量完成政府工作报告、经济工作会议、大型会议材料，以及市政府主要领导相关材料的起草工作。一年来，为市政府及市长、常务副市长起草会议讲话、工作汇报等各类文稿</w:t>
      </w:r>
      <w:r>
        <w:rPr>
          <w:rFonts w:hint="eastAsia" w:ascii="Times New Roman" w:hAnsi="Times New Roman" w:eastAsia="仿宋" w:cs="Times New Roman"/>
          <w:spacing w:val="0"/>
          <w:sz w:val="32"/>
          <w:szCs w:val="32"/>
          <w:lang w:val="en-US" w:eastAsia="zh-CN"/>
        </w:rPr>
        <w:t>650</w:t>
      </w:r>
      <w:r>
        <w:rPr>
          <w:rFonts w:hint="default" w:ascii="Times New Roman" w:hAnsi="Times New Roman" w:eastAsia="仿宋" w:cs="Times New Roman"/>
          <w:spacing w:val="0"/>
          <w:sz w:val="32"/>
          <w:szCs w:val="32"/>
        </w:rPr>
        <w:t>余篇、共计</w:t>
      </w:r>
      <w:r>
        <w:rPr>
          <w:rFonts w:hint="default" w:ascii="Times New Roman" w:hAnsi="Times New Roman" w:eastAsia="仿宋" w:cs="Times New Roman"/>
          <w:spacing w:val="0"/>
          <w:sz w:val="32"/>
          <w:szCs w:val="32"/>
          <w:lang w:val="en-US" w:eastAsia="zh-CN"/>
        </w:rPr>
        <w:t>200</w:t>
      </w:r>
      <w:r>
        <w:rPr>
          <w:rFonts w:hint="default" w:ascii="Times New Roman" w:hAnsi="Times New Roman" w:eastAsia="仿宋" w:cs="Times New Roman"/>
          <w:spacing w:val="0"/>
          <w:sz w:val="32"/>
          <w:szCs w:val="32"/>
        </w:rPr>
        <w:t>多万字，把关政府主要领导新闻稿</w:t>
      </w:r>
      <w:r>
        <w:rPr>
          <w:rFonts w:hint="default" w:ascii="Times New Roman" w:hAnsi="Times New Roman" w:eastAsia="仿宋" w:cs="Times New Roman"/>
          <w:spacing w:val="0"/>
          <w:sz w:val="32"/>
          <w:szCs w:val="32"/>
          <w:lang w:val="en-US" w:eastAsia="zh-CN"/>
        </w:rPr>
        <w:t>200</w:t>
      </w:r>
      <w:r>
        <w:rPr>
          <w:rFonts w:hint="default" w:ascii="Times New Roman" w:hAnsi="Times New Roman" w:eastAsia="仿宋" w:cs="Times New Roman"/>
          <w:spacing w:val="0"/>
          <w:sz w:val="32"/>
          <w:szCs w:val="32"/>
        </w:rPr>
        <w:t>余篇、</w:t>
      </w:r>
      <w:r>
        <w:rPr>
          <w:rFonts w:hint="default" w:ascii="Times New Roman" w:hAnsi="Times New Roman" w:eastAsia="仿宋" w:cs="Times New Roman"/>
          <w:spacing w:val="0"/>
          <w:sz w:val="32"/>
          <w:szCs w:val="32"/>
          <w:lang w:val="en-US" w:eastAsia="zh-CN"/>
        </w:rPr>
        <w:t>20</w:t>
      </w:r>
      <w:r>
        <w:rPr>
          <w:rFonts w:hint="default" w:ascii="Times New Roman" w:hAnsi="Times New Roman" w:eastAsia="仿宋" w:cs="Times New Roman"/>
          <w:spacing w:val="0"/>
          <w:sz w:val="32"/>
          <w:szCs w:val="32"/>
        </w:rPr>
        <w:t>余万字。</w:t>
      </w:r>
      <w:r>
        <w:rPr>
          <w:rFonts w:hint="default" w:ascii="Times New Roman" w:hAnsi="Times New Roman" w:eastAsia="楷体" w:cs="Times New Roman"/>
          <w:b/>
          <w:spacing w:val="0"/>
          <w:sz w:val="32"/>
          <w:szCs w:val="32"/>
        </w:rPr>
        <w:t>二是高质量开展课题研究。</w:t>
      </w:r>
      <w:r>
        <w:rPr>
          <w:rFonts w:hint="default" w:ascii="Times New Roman" w:hAnsi="Times New Roman" w:eastAsia="仿宋" w:cs="Times New Roman"/>
          <w:spacing w:val="0"/>
          <w:sz w:val="32"/>
          <w:szCs w:val="32"/>
        </w:rPr>
        <w:t>围绕市委、市政府年度重点工作部署和人民群众关注的重点热点难点问题，精选了“</w:t>
      </w:r>
      <w:r>
        <w:rPr>
          <w:rFonts w:hint="default" w:ascii="Times New Roman" w:hAnsi="Times New Roman" w:eastAsia="仿宋" w:cs="Times New Roman"/>
          <w:spacing w:val="0"/>
          <w:sz w:val="32"/>
          <w:szCs w:val="32"/>
          <w:lang w:val="en-US" w:eastAsia="zh-CN"/>
        </w:rPr>
        <w:t>关于怀化国际陆港临港产业发展的调查与思考</w:t>
      </w:r>
      <w:r>
        <w:rPr>
          <w:rFonts w:hint="default" w:ascii="Times New Roman" w:hAnsi="Times New Roman" w:eastAsia="仿宋" w:cs="Times New Roman"/>
          <w:spacing w:val="0"/>
          <w:sz w:val="32"/>
          <w:szCs w:val="32"/>
        </w:rPr>
        <w:t>”等</w:t>
      </w:r>
      <w:r>
        <w:rPr>
          <w:rFonts w:hint="eastAsia" w:ascii="Times New Roman" w:hAnsi="Times New Roman" w:eastAsia="仿宋" w:cs="Times New Roman"/>
          <w:spacing w:val="0"/>
          <w:sz w:val="32"/>
          <w:szCs w:val="32"/>
          <w:lang w:val="en-US" w:eastAsia="zh-CN"/>
        </w:rPr>
        <w:t>7</w:t>
      </w:r>
      <w:r>
        <w:rPr>
          <w:rFonts w:hint="default" w:ascii="Times New Roman" w:hAnsi="Times New Roman" w:eastAsia="仿宋" w:cs="Times New Roman"/>
          <w:spacing w:val="0"/>
          <w:sz w:val="32"/>
          <w:szCs w:val="32"/>
        </w:rPr>
        <w:t>个重点课题开展专题调研，写出了高质量的调研报告。同时，紧盯上级重大政策进行研究并提出贯彻落实意见建议，供市委、市政府决策参考。</w:t>
      </w:r>
      <w:r>
        <w:rPr>
          <w:rFonts w:hint="default" w:ascii="Times New Roman" w:hAnsi="Times New Roman" w:eastAsia="楷体" w:cs="Times New Roman"/>
          <w:b/>
          <w:spacing w:val="0"/>
          <w:sz w:val="32"/>
          <w:szCs w:val="32"/>
        </w:rPr>
        <w:t>三是高质量做好信息服务。</w:t>
      </w:r>
      <w:r>
        <w:rPr>
          <w:rFonts w:hint="default" w:ascii="Times New Roman" w:hAnsi="Times New Roman" w:eastAsia="仿宋" w:cs="Times New Roman"/>
          <w:spacing w:val="0"/>
          <w:sz w:val="32"/>
          <w:szCs w:val="32"/>
        </w:rPr>
        <w:t>及时掌握上级重大政策动态，广泛收集、整理外地先进做法和经验，主动总结市委市政府各项决策部署落实情况和基层工作成效，为市政府领导提供决策参考。积极做好市政府主要领导接受媒体采访和访谈的文稿服务工作，宣传推介我市国际陆港、生态价值实现、文化旅游发展等方面的好经验、好做法，提升了怀化的影响力。</w:t>
      </w:r>
      <w:r>
        <w:rPr>
          <w:rFonts w:hint="default" w:ascii="Times New Roman" w:hAnsi="Times New Roman" w:eastAsia="仿宋" w:cs="Times New Roman"/>
          <w:spacing w:val="0"/>
          <w:sz w:val="32"/>
          <w:szCs w:val="32"/>
          <w:lang w:eastAsia="zh-CN"/>
        </w:rPr>
        <w:t>今年，在《</w:t>
      </w:r>
      <w:r>
        <w:rPr>
          <w:rFonts w:hint="default" w:ascii="Times New Roman" w:hAnsi="Times New Roman" w:eastAsia="仿宋" w:cs="Times New Roman"/>
          <w:spacing w:val="0"/>
          <w:sz w:val="32"/>
          <w:szCs w:val="32"/>
          <w:lang w:val="en-US" w:eastAsia="zh-CN"/>
        </w:rPr>
        <w:t>人民日报</w:t>
      </w:r>
      <w:r>
        <w:rPr>
          <w:rFonts w:hint="default" w:ascii="Times New Roman" w:hAnsi="Times New Roman" w:eastAsia="仿宋" w:cs="Times New Roman"/>
          <w:spacing w:val="0"/>
          <w:sz w:val="32"/>
          <w:szCs w:val="32"/>
          <w:lang w:eastAsia="zh-CN"/>
        </w:rPr>
        <w:t>》《</w:t>
      </w:r>
      <w:r>
        <w:rPr>
          <w:rFonts w:hint="default" w:ascii="Times New Roman" w:hAnsi="Times New Roman" w:eastAsia="仿宋" w:cs="Times New Roman"/>
          <w:spacing w:val="0"/>
          <w:sz w:val="32"/>
          <w:szCs w:val="32"/>
          <w:lang w:val="en-US" w:eastAsia="zh-CN"/>
        </w:rPr>
        <w:t>经济日报</w:t>
      </w:r>
      <w:r>
        <w:rPr>
          <w:rFonts w:hint="default" w:ascii="Times New Roman" w:hAnsi="Times New Roman" w:eastAsia="仿宋" w:cs="Times New Roman"/>
          <w:spacing w:val="0"/>
          <w:sz w:val="32"/>
          <w:szCs w:val="32"/>
          <w:lang w:eastAsia="zh-CN"/>
        </w:rPr>
        <w:t>》《中国社会报》等国省报刊媒体发表署名文章</w:t>
      </w:r>
      <w:r>
        <w:rPr>
          <w:rFonts w:hint="default" w:ascii="Times New Roman" w:hAnsi="Times New Roman" w:eastAsia="仿宋" w:cs="Times New Roman"/>
          <w:spacing w:val="0"/>
          <w:sz w:val="32"/>
          <w:szCs w:val="32"/>
          <w:lang w:val="en-US" w:eastAsia="zh-CN"/>
        </w:rPr>
        <w:t>5篇，发展“六仗”、党风廉政等工作经验在全省推介，《关于将怀化市建设成为全省多能互补综合能源基地的请求》获伟明省长亲笔批示。</w:t>
      </w:r>
      <w:r>
        <w:rPr>
          <w:rFonts w:hint="default" w:ascii="Times New Roman" w:hAnsi="Times New Roman" w:eastAsia="仿宋" w:cs="Times New Roman"/>
          <w:spacing w:val="0"/>
          <w:sz w:val="32"/>
          <w:szCs w:val="32"/>
        </w:rPr>
        <w:t>同时，积极配合市委政研室做好《新怀化》编辑工作，进一步推动市委市政府各项决策落实落地。</w:t>
      </w:r>
    </w:p>
    <w:p w14:paraId="19B0BBAC">
      <w:pPr>
        <w:keepNext w:val="0"/>
        <w:keepLines w:val="0"/>
        <w:pageBreakBefore w:val="0"/>
        <w:widowControl/>
        <w:kinsoku/>
        <w:wordWrap/>
        <w:overflowPunct/>
        <w:topLinePunct w:val="0"/>
        <w:autoSpaceDE/>
        <w:autoSpaceDN/>
        <w:bidi w:val="0"/>
        <w:adjustRightInd/>
        <w:snapToGrid/>
        <w:spacing w:line="600" w:lineRule="exact"/>
        <w:ind w:right="0" w:rightChars="0" w:firstLine="596" w:firstLineChars="200"/>
        <w:jc w:val="left"/>
        <w:textAlignment w:val="auto"/>
        <w:rPr>
          <w:rFonts w:hint="default" w:ascii="Times New Roman" w:hAnsi="Times New Roman" w:eastAsia="黑体" w:cs="Times New Roman"/>
          <w:spacing w:val="-11"/>
          <w:sz w:val="32"/>
          <w:szCs w:val="32"/>
        </w:rPr>
      </w:pPr>
      <w:r>
        <w:rPr>
          <w:rFonts w:hint="eastAsia" w:ascii="Times New Roman" w:hAnsi="Times New Roman" w:eastAsia="黑体" w:cs="Times New Roman"/>
          <w:spacing w:val="-11"/>
          <w:sz w:val="32"/>
          <w:szCs w:val="32"/>
          <w:lang w:val="en-US" w:eastAsia="zh-CN"/>
        </w:rPr>
        <w:t>4、</w:t>
      </w:r>
      <w:r>
        <w:rPr>
          <w:rFonts w:hint="default" w:ascii="Times New Roman" w:hAnsi="Times New Roman" w:eastAsia="黑体" w:cs="Times New Roman"/>
          <w:spacing w:val="-11"/>
          <w:sz w:val="32"/>
          <w:szCs w:val="32"/>
        </w:rPr>
        <w:t>坚持以党风廉政建设为根本，不断加强机关自身建设</w:t>
      </w:r>
    </w:p>
    <w:p w14:paraId="07035078">
      <w:pPr>
        <w:keepNext w:val="0"/>
        <w:keepLines w:val="0"/>
        <w:pageBreakBefore w:val="0"/>
        <w:widowControl/>
        <w:kinsoku/>
        <w:wordWrap/>
        <w:overflowPunct/>
        <w:topLinePunct w:val="0"/>
        <w:autoSpaceDE/>
        <w:autoSpaceDN/>
        <w:bidi w:val="0"/>
        <w:adjustRightInd/>
        <w:snapToGrid/>
        <w:spacing w:line="600" w:lineRule="exact"/>
        <w:ind w:right="0" w:rightChars="0" w:firstLine="640" w:firstLineChars="200"/>
        <w:jc w:val="left"/>
        <w:textAlignment w:val="auto"/>
        <w:rPr>
          <w:rFonts w:hint="default" w:ascii="Times New Roman" w:hAnsi="Times New Roman" w:eastAsia="仿宋" w:cs="Times New Roman"/>
          <w:spacing w:val="0"/>
          <w:sz w:val="32"/>
          <w:szCs w:val="32"/>
        </w:rPr>
      </w:pPr>
      <w:r>
        <w:rPr>
          <w:rFonts w:hint="default" w:ascii="Times New Roman" w:hAnsi="Times New Roman" w:eastAsia="仿宋" w:cs="Times New Roman"/>
          <w:spacing w:val="0"/>
          <w:sz w:val="32"/>
          <w:szCs w:val="32"/>
        </w:rPr>
        <w:t>坚持党建工作和业务工作同谋划、同部署、同落实，努力打造一支政治坚定、作风过硬、纪律严明队伍。</w:t>
      </w:r>
      <w:r>
        <w:rPr>
          <w:rFonts w:hint="default" w:ascii="Times New Roman" w:hAnsi="Times New Roman" w:eastAsia="楷体" w:cs="Times New Roman"/>
          <w:b/>
          <w:spacing w:val="0"/>
          <w:sz w:val="32"/>
          <w:szCs w:val="32"/>
        </w:rPr>
        <w:t>一是全面加强机关党建工作。</w:t>
      </w:r>
      <w:r>
        <w:rPr>
          <w:rFonts w:hint="default" w:ascii="Times New Roman" w:hAnsi="Times New Roman" w:eastAsia="仿宋" w:cs="Times New Roman"/>
          <w:spacing w:val="0"/>
          <w:sz w:val="32"/>
          <w:szCs w:val="32"/>
        </w:rPr>
        <w:t>始终把党建责任记在心、扛在肩、抓在手。坚持党建工作与其他各项工作同谋划、同部署、同落实。自觉强化市政府研究室党组书记的角色定位，认真落实党建第一责任人责任。</w:t>
      </w:r>
      <w:r>
        <w:rPr>
          <w:rFonts w:hint="default" w:ascii="Times New Roman" w:hAnsi="Times New Roman" w:eastAsia="仿宋" w:cs="Times New Roman"/>
          <w:spacing w:val="0"/>
          <w:sz w:val="32"/>
          <w:szCs w:val="32"/>
          <w:lang w:eastAsia="zh-CN"/>
        </w:rPr>
        <w:t>加强干部队伍建设，今年</w:t>
      </w:r>
      <w:r>
        <w:rPr>
          <w:rFonts w:hint="eastAsia" w:ascii="Times New Roman" w:hAnsi="Times New Roman" w:eastAsia="仿宋" w:cs="Times New Roman"/>
          <w:spacing w:val="0"/>
          <w:sz w:val="32"/>
          <w:szCs w:val="32"/>
          <w:lang w:eastAsia="zh-CN"/>
        </w:rPr>
        <w:t>提拔</w:t>
      </w:r>
      <w:r>
        <w:rPr>
          <w:rFonts w:hint="eastAsia" w:ascii="Times New Roman" w:hAnsi="Times New Roman" w:eastAsia="仿宋" w:cs="Times New Roman"/>
          <w:spacing w:val="0"/>
          <w:sz w:val="32"/>
          <w:szCs w:val="32"/>
          <w:lang w:val="en-US" w:eastAsia="zh-CN"/>
        </w:rPr>
        <w:t>1</w:t>
      </w:r>
      <w:r>
        <w:rPr>
          <w:rFonts w:hint="eastAsia" w:ascii="Times New Roman" w:hAnsi="Times New Roman" w:eastAsia="仿宋" w:cs="Times New Roman"/>
          <w:spacing w:val="0"/>
          <w:sz w:val="32"/>
          <w:szCs w:val="32"/>
          <w:lang w:eastAsia="zh-CN"/>
        </w:rPr>
        <w:t>名同志任副科长，解决了</w:t>
      </w:r>
      <w:r>
        <w:rPr>
          <w:rFonts w:hint="eastAsia" w:ascii="Times New Roman" w:hAnsi="Times New Roman" w:eastAsia="仿宋" w:cs="Times New Roman"/>
          <w:spacing w:val="0"/>
          <w:sz w:val="32"/>
          <w:szCs w:val="32"/>
          <w:lang w:val="en-US" w:eastAsia="zh-CN"/>
        </w:rPr>
        <w:t>4名同志的职级晋升，实现3</w:t>
      </w:r>
      <w:r>
        <w:rPr>
          <w:rFonts w:hint="default" w:ascii="Times New Roman" w:hAnsi="Times New Roman" w:eastAsia="仿宋" w:cs="Times New Roman"/>
          <w:spacing w:val="0"/>
          <w:sz w:val="32"/>
          <w:szCs w:val="32"/>
          <w:lang w:val="en-US" w:eastAsia="zh-CN"/>
        </w:rPr>
        <w:t>名</w:t>
      </w:r>
      <w:r>
        <w:rPr>
          <w:rFonts w:hint="eastAsia" w:ascii="Times New Roman" w:hAnsi="Times New Roman" w:eastAsia="仿宋" w:cs="Times New Roman"/>
          <w:spacing w:val="0"/>
          <w:sz w:val="32"/>
          <w:szCs w:val="32"/>
          <w:lang w:val="en-US" w:eastAsia="zh-CN"/>
        </w:rPr>
        <w:t>科级</w:t>
      </w:r>
      <w:r>
        <w:rPr>
          <w:rFonts w:hint="default" w:ascii="Times New Roman" w:hAnsi="Times New Roman" w:eastAsia="仿宋" w:cs="Times New Roman"/>
          <w:spacing w:val="0"/>
          <w:sz w:val="32"/>
          <w:szCs w:val="32"/>
          <w:lang w:val="en-US" w:eastAsia="zh-CN"/>
        </w:rPr>
        <w:t>干部</w:t>
      </w:r>
      <w:r>
        <w:rPr>
          <w:rFonts w:hint="eastAsia" w:ascii="Times New Roman" w:hAnsi="Times New Roman" w:eastAsia="仿宋" w:cs="Times New Roman"/>
          <w:spacing w:val="0"/>
          <w:sz w:val="32"/>
          <w:szCs w:val="32"/>
          <w:lang w:val="en-US" w:eastAsia="zh-CN"/>
        </w:rPr>
        <w:t>轮岗</w:t>
      </w:r>
      <w:r>
        <w:rPr>
          <w:rFonts w:hint="default" w:ascii="Times New Roman" w:hAnsi="Times New Roman" w:eastAsia="仿宋" w:cs="Times New Roman"/>
          <w:spacing w:val="0"/>
          <w:sz w:val="32"/>
          <w:szCs w:val="32"/>
          <w:lang w:val="en-US" w:eastAsia="zh-CN"/>
        </w:rPr>
        <w:t>交流，</w:t>
      </w:r>
      <w:r>
        <w:rPr>
          <w:rFonts w:hint="default" w:ascii="Times New Roman" w:hAnsi="Times New Roman" w:eastAsia="仿宋" w:cs="Times New Roman"/>
          <w:spacing w:val="0"/>
          <w:sz w:val="32"/>
          <w:szCs w:val="32"/>
          <w:lang w:eastAsia="zh-CN"/>
        </w:rPr>
        <w:t>干部队伍的凝聚力、战斗力、执行力、创新力明显增强。</w:t>
      </w:r>
      <w:r>
        <w:rPr>
          <w:rFonts w:hint="default" w:ascii="Times New Roman" w:hAnsi="Times New Roman" w:eastAsia="楷体" w:cs="Times New Roman"/>
          <w:b/>
          <w:spacing w:val="0"/>
          <w:sz w:val="32"/>
          <w:szCs w:val="32"/>
        </w:rPr>
        <w:t>二是严格落实意识形态责任制。</w:t>
      </w:r>
      <w:r>
        <w:rPr>
          <w:rFonts w:hint="default" w:ascii="Times New Roman" w:hAnsi="Times New Roman" w:eastAsia="仿宋" w:cs="Times New Roman"/>
          <w:spacing w:val="0"/>
          <w:sz w:val="32"/>
          <w:szCs w:val="32"/>
        </w:rPr>
        <w:t>坚持把意识形态工作作为一项重大政治任务来抓，成立由党组书记任组长的意识形态工作领导小组，明确党组书记第一责任、分管领导直接责任和党组其他成员“一岗双责”，形成了党组书记负总责、分管领导具体抓、党组成员协同抓、各科室抓落实的工作责任体系。开展意识形态工作专题研究和研判</w:t>
      </w:r>
      <w:r>
        <w:rPr>
          <w:rFonts w:hint="default" w:ascii="Times New Roman" w:hAnsi="Times New Roman" w:eastAsia="仿宋" w:cs="Times New Roman"/>
          <w:spacing w:val="0"/>
          <w:sz w:val="32"/>
          <w:szCs w:val="32"/>
          <w:lang w:val="en-US" w:eastAsia="zh-CN"/>
        </w:rPr>
        <w:t>4</w:t>
      </w:r>
      <w:r>
        <w:rPr>
          <w:rFonts w:hint="default" w:ascii="Times New Roman" w:hAnsi="Times New Roman" w:eastAsia="仿宋" w:cs="Times New Roman"/>
          <w:spacing w:val="0"/>
          <w:sz w:val="32"/>
          <w:szCs w:val="32"/>
        </w:rPr>
        <w:t>次，及时解决意识形态工作推进存在的问题和困难，定期对办公电脑及内外网进行安全检查，全面登记清理干部职工微信群、QQ群，引导党员干部通过新媒体传播身边榜样典型，弘扬社会新风尚，营造绿色网络环境。</w:t>
      </w:r>
      <w:r>
        <w:rPr>
          <w:rFonts w:hint="default" w:ascii="Times New Roman" w:hAnsi="Times New Roman" w:eastAsia="楷体" w:cs="Times New Roman"/>
          <w:b/>
          <w:spacing w:val="0"/>
          <w:sz w:val="32"/>
          <w:szCs w:val="32"/>
        </w:rPr>
        <w:t>三是扎实开展机关作风和效能建设</w:t>
      </w:r>
      <w:r>
        <w:rPr>
          <w:rFonts w:hint="default" w:ascii="Times New Roman" w:hAnsi="Times New Roman" w:eastAsia="仿宋" w:cs="Times New Roman"/>
          <w:b/>
          <w:spacing w:val="0"/>
          <w:sz w:val="32"/>
          <w:szCs w:val="32"/>
        </w:rPr>
        <w:t>。</w:t>
      </w:r>
      <w:r>
        <w:rPr>
          <w:rFonts w:hint="default" w:ascii="Times New Roman" w:hAnsi="Times New Roman" w:eastAsia="仿宋" w:cs="Times New Roman"/>
          <w:spacing w:val="0"/>
          <w:sz w:val="32"/>
          <w:szCs w:val="32"/>
        </w:rPr>
        <w:t>按照市委统一部署，以清醒坚定的政治自觉推进作风建设，切实提升能力、锻造作风、实干立身、争先出彩，</w:t>
      </w:r>
      <w:r>
        <w:rPr>
          <w:rFonts w:hint="default" w:ascii="Times New Roman" w:hAnsi="Times New Roman" w:eastAsia="仿宋" w:cs="Times New Roman"/>
          <w:spacing w:val="0"/>
          <w:sz w:val="32"/>
          <w:szCs w:val="32"/>
          <w:lang w:eastAsia="zh-CN"/>
        </w:rPr>
        <w:t>抓实清廉机关创建工作，</w:t>
      </w:r>
      <w:r>
        <w:rPr>
          <w:rFonts w:hint="default" w:ascii="Times New Roman" w:hAnsi="Times New Roman" w:eastAsia="仿宋" w:cs="Times New Roman"/>
          <w:spacing w:val="0"/>
          <w:sz w:val="32"/>
          <w:szCs w:val="32"/>
        </w:rPr>
        <w:t>以更加强烈的责任担当推进工作落实，为全市高水平开放高质量发展作出应有贡献。坚持管业务与管思想、管廉政相结合，室党组先后专题研究党风廉政建设</w:t>
      </w:r>
      <w:r>
        <w:rPr>
          <w:rFonts w:hint="default" w:ascii="Times New Roman" w:hAnsi="Times New Roman" w:eastAsia="仿宋" w:cs="Times New Roman"/>
          <w:spacing w:val="0"/>
          <w:sz w:val="32"/>
          <w:szCs w:val="32"/>
          <w:lang w:val="en-US" w:eastAsia="zh-CN"/>
        </w:rPr>
        <w:t>4</w:t>
      </w:r>
      <w:r>
        <w:rPr>
          <w:rFonts w:hint="default" w:ascii="Times New Roman" w:hAnsi="Times New Roman" w:eastAsia="仿宋" w:cs="Times New Roman"/>
          <w:spacing w:val="0"/>
          <w:sz w:val="32"/>
          <w:szCs w:val="32"/>
        </w:rPr>
        <w:t>次。大力开展警示教育，及时传达学习纪委文件（通报），让廉政纪律不绝于耳、警钟长鸣。深化运用监督执纪“四种形态”，开展例行廉政谈话</w:t>
      </w:r>
      <w:r>
        <w:rPr>
          <w:rFonts w:hint="default" w:ascii="Times New Roman" w:hAnsi="Times New Roman" w:eastAsia="仿宋" w:cs="Times New Roman"/>
          <w:spacing w:val="0"/>
          <w:sz w:val="32"/>
          <w:szCs w:val="32"/>
          <w:lang w:val="en-US" w:eastAsia="zh-CN"/>
        </w:rPr>
        <w:t>46</w:t>
      </w:r>
      <w:r>
        <w:rPr>
          <w:rFonts w:hint="default" w:ascii="Times New Roman" w:hAnsi="Times New Roman" w:eastAsia="仿宋" w:cs="Times New Roman"/>
          <w:spacing w:val="0"/>
          <w:sz w:val="32"/>
          <w:szCs w:val="32"/>
        </w:rPr>
        <w:t>人次、任前谈话</w:t>
      </w:r>
      <w:r>
        <w:rPr>
          <w:rFonts w:hint="eastAsia" w:ascii="Times New Roman" w:hAnsi="Times New Roman" w:eastAsia="仿宋" w:cs="Times New Roman"/>
          <w:spacing w:val="0"/>
          <w:sz w:val="32"/>
          <w:szCs w:val="32"/>
          <w:lang w:val="en-US" w:eastAsia="zh-CN"/>
        </w:rPr>
        <w:t>7</w:t>
      </w:r>
      <w:r>
        <w:rPr>
          <w:rFonts w:hint="default" w:ascii="Times New Roman" w:hAnsi="Times New Roman" w:eastAsia="仿宋" w:cs="Times New Roman"/>
          <w:spacing w:val="0"/>
          <w:sz w:val="32"/>
          <w:szCs w:val="32"/>
        </w:rPr>
        <w:t>人次，切实做到抓早抓小、抓严抓实，把问题解决在萌芽状态。</w:t>
      </w:r>
    </w:p>
    <w:p w14:paraId="69D03119">
      <w:pPr>
        <w:keepNext w:val="0"/>
        <w:keepLines w:val="0"/>
        <w:pageBreakBefore w:val="0"/>
        <w:widowControl/>
        <w:shd w:val="clear" w:color="auto" w:fill="FFFFFF"/>
        <w:kinsoku/>
        <w:wordWrap/>
        <w:topLinePunct w:val="0"/>
        <w:autoSpaceDE/>
        <w:autoSpaceDN/>
        <w:bidi w:val="0"/>
        <w:spacing w:line="600" w:lineRule="exact"/>
        <w:ind w:firstLine="632" w:firstLineChars="200"/>
        <w:rPr>
          <w:rFonts w:hint="eastAsia" w:ascii="黑体" w:hAnsi="黑体" w:eastAsia="黑体" w:cs="黑体"/>
          <w:b w:val="0"/>
          <w:bCs/>
          <w:spacing w:val="-2"/>
          <w:sz w:val="32"/>
          <w:szCs w:val="21"/>
        </w:rPr>
      </w:pPr>
      <w:r>
        <w:rPr>
          <w:rFonts w:hint="eastAsia" w:ascii="黑体" w:hAnsi="黑体" w:eastAsia="黑体" w:cs="黑体"/>
          <w:b w:val="0"/>
          <w:bCs/>
          <w:spacing w:val="-2"/>
          <w:sz w:val="32"/>
          <w:szCs w:val="32"/>
        </w:rPr>
        <w:t>资产管理情况</w:t>
      </w:r>
    </w:p>
    <w:p w14:paraId="63649F81">
      <w:pPr>
        <w:pStyle w:val="6"/>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我室根据《行政事业单位内部控制规范（试行）》、《事 业单位国有资产管理暂行办法》及省、市有关规定，制定了《固定资产管理》等制度，及时入账，定期盘点清查，按要求编报资产月报与年报。 </w:t>
      </w:r>
    </w:p>
    <w:p w14:paraId="4E7FC4C3">
      <w:pPr>
        <w:pStyle w:val="6"/>
        <w:keepNext w:val="0"/>
        <w:keepLines w:val="0"/>
        <w:pageBreakBefore w:val="0"/>
        <w:shd w:val="clear" w:color="auto" w:fill="FFFFFF"/>
        <w:kinsoku/>
        <w:wordWrap/>
        <w:topLinePunct w:val="0"/>
        <w:autoSpaceDE/>
        <w:autoSpaceDN/>
        <w:bidi w:val="0"/>
        <w:spacing w:before="0" w:beforeAutospacing="0" w:after="0" w:afterAutospacing="0" w:line="600" w:lineRule="exact"/>
        <w:ind w:firstLine="707" w:firstLineChars="221"/>
        <w:jc w:val="both"/>
        <w:rPr>
          <w:rFonts w:hint="eastAsia" w:ascii="Times New Roman" w:hAnsi="Times New Roman" w:eastAsia="仿宋_GB2312" w:cs="Times New Roman"/>
          <w:color w:val="auto"/>
          <w:kern w:val="0"/>
          <w:sz w:val="32"/>
          <w:szCs w:val="32"/>
          <w:lang w:val="en-US" w:eastAsia="zh-CN" w:bidi="ar-SA"/>
        </w:rPr>
      </w:pPr>
      <w:r>
        <w:rPr>
          <w:rFonts w:hint="eastAsia" w:ascii="Times New Roman" w:hAnsi="Times New Roman" w:eastAsia="仿宋_GB2312" w:cs="Times New Roman"/>
          <w:sz w:val="32"/>
          <w:szCs w:val="32"/>
          <w:lang w:val="en-US" w:eastAsia="zh-CN"/>
        </w:rPr>
        <w:t>截至2023年12月31日，我单位固定资产原值71.67万元，累计折旧37.45万元，账面净值34.22万元。主要为通用设备。</w:t>
      </w:r>
    </w:p>
    <w:p w14:paraId="2BA3FF4E">
      <w:pPr>
        <w:keepNext w:val="0"/>
        <w:keepLines w:val="0"/>
        <w:pageBreakBefore w:val="0"/>
        <w:widowControl/>
        <w:numPr>
          <w:ilvl w:val="0"/>
          <w:numId w:val="0"/>
        </w:numPr>
        <w:shd w:val="clear" w:color="auto" w:fill="FFFFFF"/>
        <w:kinsoku/>
        <w:wordWrap/>
        <w:topLinePunct w:val="0"/>
        <w:autoSpaceDE/>
        <w:autoSpaceDN/>
        <w:bidi w:val="0"/>
        <w:spacing w:line="600" w:lineRule="exact"/>
        <w:ind w:left="640" w:leftChars="0"/>
      </w:pPr>
      <w:r>
        <w:rPr>
          <w:rFonts w:hint="eastAsia" w:ascii="黑体" w:hAnsi="黑体" w:eastAsia="黑体" w:cs="黑体"/>
          <w:b w:val="0"/>
          <w:bCs/>
          <w:spacing w:val="-2"/>
          <w:sz w:val="32"/>
          <w:szCs w:val="32"/>
          <w:lang w:eastAsia="zh-CN"/>
        </w:rPr>
        <w:t>七、</w:t>
      </w:r>
      <w:r>
        <w:rPr>
          <w:rFonts w:hint="eastAsia" w:ascii="黑体" w:hAnsi="黑体" w:eastAsia="黑体" w:cs="黑体"/>
          <w:b w:val="0"/>
          <w:bCs/>
          <w:spacing w:val="-2"/>
          <w:sz w:val="32"/>
          <w:szCs w:val="32"/>
        </w:rPr>
        <w:t>存在的主要问题</w:t>
      </w:r>
    </w:p>
    <w:p w14:paraId="69872B36">
      <w:pPr>
        <w:pStyle w:val="5"/>
        <w:keepNext w:val="0"/>
        <w:keepLines w:val="0"/>
        <w:pageBreakBefore w:val="0"/>
        <w:kinsoku/>
        <w:wordWrap/>
        <w:topLinePunct w:val="0"/>
        <w:autoSpaceDE/>
        <w:autoSpaceDN/>
        <w:bidi w:val="0"/>
        <w:spacing w:line="600" w:lineRule="exact"/>
        <w:ind w:firstLine="640" w:firstLineChars="200"/>
        <w:rPr>
          <w:rFonts w:hint="default" w:ascii="楷体_GB2312" w:hAnsi="楷体_GB2312" w:eastAsia="楷体_GB2312" w:cs="楷体_GB2312"/>
          <w:b w:val="0"/>
          <w:bCs w:val="0"/>
          <w:lang w:val="en-US" w:eastAsia="zh-CN"/>
        </w:rPr>
      </w:pPr>
      <w:r>
        <w:rPr>
          <w:rFonts w:hint="eastAsia" w:ascii="楷体_GB2312" w:hAnsi="楷体_GB2312" w:eastAsia="楷体_GB2312" w:cs="楷体_GB2312"/>
          <w:b w:val="0"/>
          <w:bCs w:val="0"/>
          <w:sz w:val="32"/>
          <w:szCs w:val="32"/>
          <w:lang w:val="en-US" w:eastAsia="zh-CN"/>
        </w:rPr>
        <w:t>（一）绩效管理能力有待进一步提升</w:t>
      </w:r>
    </w:p>
    <w:p w14:paraId="270DDA16">
      <w:pPr>
        <w:keepNext w:val="0"/>
        <w:keepLines w:val="0"/>
        <w:pageBreakBefore w:val="0"/>
        <w:widowControl w:val="0"/>
        <w:numPr>
          <w:ilvl w:val="0"/>
          <w:numId w:val="0"/>
        </w:numPr>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cs="Arial"/>
          <w:b/>
          <w:bCs/>
          <w:snapToGrid w:val="0"/>
          <w:color w:val="000000"/>
          <w:kern w:val="0"/>
          <w:sz w:val="32"/>
          <w:szCs w:val="32"/>
          <w:lang w:val="en-US" w:eastAsia="zh-CN"/>
        </w:rPr>
      </w:pPr>
      <w:r>
        <w:rPr>
          <w:rFonts w:hint="eastAsia" w:ascii="Times New Roman" w:hAnsi="Times New Roman" w:eastAsia="仿宋_GB2312" w:cs="Times New Roman"/>
          <w:sz w:val="32"/>
          <w:szCs w:val="32"/>
          <w:lang w:val="en-US" w:eastAsia="zh-CN"/>
        </w:rPr>
        <w:t>通过组织对财政局绩效评价政策文件的不断学习，我单位已逐渐树立了绩效目标管理观念，但</w:t>
      </w:r>
      <w:r>
        <w:rPr>
          <w:rFonts w:hint="eastAsia" w:eastAsia="仿宋_GB2312" w:cs="Times New Roman"/>
          <w:sz w:val="32"/>
          <w:szCs w:val="32"/>
          <w:lang w:val="en-US" w:eastAsia="zh-CN"/>
        </w:rPr>
        <w:t>分管领导和财务人员</w:t>
      </w:r>
      <w:r>
        <w:rPr>
          <w:rFonts w:hint="eastAsia" w:ascii="Times New Roman" w:hAnsi="Times New Roman" w:eastAsia="仿宋_GB2312" w:cs="Times New Roman"/>
          <w:sz w:val="32"/>
          <w:szCs w:val="32"/>
          <w:lang w:val="en-US" w:eastAsia="zh-CN"/>
        </w:rPr>
        <w:t>绩效管理意识还有待加强，</w:t>
      </w:r>
      <w:r>
        <w:rPr>
          <w:rFonts w:hint="eastAsia" w:eastAsia="仿宋_GB2312" w:cs="Times New Roman"/>
          <w:sz w:val="32"/>
          <w:szCs w:val="32"/>
          <w:lang w:val="en-US" w:eastAsia="zh-CN"/>
        </w:rPr>
        <w:t>绩效管理能力有待进一步提升，</w:t>
      </w:r>
      <w:r>
        <w:rPr>
          <w:rFonts w:hint="eastAsia" w:ascii="Times New Roman" w:hAnsi="Times New Roman" w:eastAsia="仿宋_GB2312" w:cs="Times New Roman"/>
          <w:sz w:val="32"/>
          <w:szCs w:val="32"/>
          <w:lang w:val="en-US" w:eastAsia="zh-CN"/>
        </w:rPr>
        <w:t>需要进一步将绩效目标和预算相结合，</w:t>
      </w:r>
      <w:r>
        <w:rPr>
          <w:rFonts w:hint="eastAsia" w:eastAsia="仿宋_GB2312" w:cs="Times New Roman"/>
          <w:sz w:val="32"/>
          <w:szCs w:val="32"/>
          <w:lang w:val="en-US" w:eastAsia="zh-CN"/>
        </w:rPr>
        <w:t>实现年初绩效目标</w:t>
      </w:r>
      <w:r>
        <w:rPr>
          <w:rFonts w:hint="eastAsia" w:ascii="Times New Roman" w:hAnsi="Times New Roman" w:eastAsia="仿宋_GB2312" w:cs="Times New Roman"/>
          <w:sz w:val="32"/>
          <w:szCs w:val="32"/>
          <w:lang w:val="en-US" w:eastAsia="zh-CN"/>
        </w:rPr>
        <w:t>。</w:t>
      </w:r>
    </w:p>
    <w:p w14:paraId="3A86AC40">
      <w:pPr>
        <w:pStyle w:val="5"/>
        <w:keepNext w:val="0"/>
        <w:keepLines w:val="0"/>
        <w:pageBreakBefore w:val="0"/>
        <w:widowControl w:val="0"/>
        <w:kinsoku/>
        <w:wordWrap/>
        <w:overflowPunct/>
        <w:topLinePunct w:val="0"/>
        <w:autoSpaceDE/>
        <w:autoSpaceDN/>
        <w:bidi w:val="0"/>
        <w:adjustRightInd/>
        <w:spacing w:line="600" w:lineRule="exact"/>
        <w:ind w:firstLine="640" w:firstLineChars="200"/>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（二）项目支出预算调整率偏高</w:t>
      </w:r>
    </w:p>
    <w:p w14:paraId="2E66B71C">
      <w:pPr>
        <w:keepNext w:val="0"/>
        <w:keepLines w:val="0"/>
        <w:pageBreakBefore w:val="0"/>
        <w:numPr>
          <w:ilvl w:val="0"/>
          <w:numId w:val="0"/>
        </w:numPr>
        <w:kinsoku/>
        <w:wordWrap/>
        <w:overflowPunct/>
        <w:topLinePunct w:val="0"/>
        <w:autoSpaceDE/>
        <w:autoSpaceDN/>
        <w:bidi w:val="0"/>
        <w:spacing w:line="600" w:lineRule="exact"/>
        <w:ind w:firstLine="640" w:firstLineChars="200"/>
      </w:pPr>
      <w:r>
        <w:rPr>
          <w:rFonts w:hint="eastAsia" w:ascii="Times New Roman" w:hAnsi="Times New Roman" w:eastAsia="仿宋_GB2312" w:cs="Times New Roman"/>
          <w:sz w:val="32"/>
          <w:szCs w:val="32"/>
          <w:lang w:val="en-US" w:eastAsia="zh-CN"/>
        </w:rPr>
        <w:t>年初预算有待科学合理，执行预算欠严格落实。经统计，202</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年度</w:t>
      </w:r>
      <w:r>
        <w:rPr>
          <w:rFonts w:hint="eastAsia" w:eastAsia="仿宋_GB2312" w:cs="Times New Roman"/>
          <w:sz w:val="32"/>
          <w:szCs w:val="32"/>
          <w:lang w:val="en-US" w:eastAsia="zh-CN"/>
        </w:rPr>
        <w:t>项目支出</w:t>
      </w:r>
      <w:r>
        <w:rPr>
          <w:rFonts w:hint="eastAsia" w:ascii="Times New Roman" w:hAnsi="Times New Roman" w:eastAsia="仿宋_GB2312" w:cs="Times New Roman"/>
          <w:sz w:val="32"/>
          <w:szCs w:val="32"/>
          <w:lang w:val="en-US" w:eastAsia="zh-CN"/>
        </w:rPr>
        <w:t>预算调整数为</w:t>
      </w:r>
      <w:r>
        <w:rPr>
          <w:rFonts w:hint="eastAsia" w:eastAsia="仿宋_GB2312" w:cs="Times New Roman"/>
          <w:sz w:val="32"/>
          <w:szCs w:val="32"/>
          <w:lang w:val="en-US" w:eastAsia="zh-CN"/>
        </w:rPr>
        <w:t>15.32</w:t>
      </w:r>
      <w:r>
        <w:rPr>
          <w:rFonts w:hint="eastAsia" w:ascii="Times New Roman" w:hAnsi="Times New Roman" w:eastAsia="仿宋_GB2312" w:cs="Times New Roman"/>
          <w:sz w:val="32"/>
          <w:szCs w:val="32"/>
          <w:lang w:val="en-US" w:eastAsia="zh-CN"/>
        </w:rPr>
        <w:t>万元，预算数为</w:t>
      </w:r>
      <w:r>
        <w:rPr>
          <w:rFonts w:hint="eastAsia" w:eastAsia="仿宋_GB2312" w:cs="Times New Roman"/>
          <w:sz w:val="32"/>
          <w:szCs w:val="32"/>
          <w:lang w:val="en-US" w:eastAsia="zh-CN"/>
        </w:rPr>
        <w:t>50</w:t>
      </w:r>
      <w:r>
        <w:rPr>
          <w:rFonts w:hint="eastAsia" w:ascii="Times New Roman" w:hAnsi="Times New Roman" w:eastAsia="仿宋_GB2312" w:cs="Times New Roman"/>
          <w:sz w:val="32"/>
          <w:szCs w:val="32"/>
          <w:lang w:val="en-US" w:eastAsia="zh-CN"/>
        </w:rPr>
        <w:t>万元，预算调整率=（预算调整数/预算数）×100%=</w:t>
      </w:r>
      <w:r>
        <w:rPr>
          <w:rFonts w:hint="eastAsia" w:eastAsia="仿宋_GB2312" w:cs="Times New Roman"/>
          <w:sz w:val="32"/>
          <w:szCs w:val="32"/>
          <w:lang w:val="en-US" w:eastAsia="zh-CN"/>
        </w:rPr>
        <w:t>30.64</w:t>
      </w:r>
      <w:r>
        <w:rPr>
          <w:rFonts w:hint="eastAsia" w:ascii="Times New Roman" w:hAnsi="Times New Roman" w:eastAsia="仿宋_GB2312" w:cs="Times New Roman"/>
          <w:sz w:val="32"/>
          <w:szCs w:val="32"/>
          <w:lang w:val="en-US" w:eastAsia="zh-CN"/>
        </w:rPr>
        <w:t>%，预算调整率偏高。</w:t>
      </w:r>
    </w:p>
    <w:p w14:paraId="1D0B9353">
      <w:pPr>
        <w:keepNext w:val="0"/>
        <w:keepLines w:val="0"/>
        <w:pageBreakBefore w:val="0"/>
        <w:widowControl/>
        <w:numPr>
          <w:ilvl w:val="0"/>
          <w:numId w:val="0"/>
        </w:numPr>
        <w:shd w:val="clear" w:color="auto" w:fill="FFFFFF"/>
        <w:kinsoku/>
        <w:wordWrap/>
        <w:topLinePunct w:val="0"/>
        <w:autoSpaceDE/>
        <w:autoSpaceDN/>
        <w:bidi w:val="0"/>
        <w:spacing w:line="600" w:lineRule="exact"/>
        <w:ind w:left="640" w:leftChars="0"/>
        <w:rPr>
          <w:rFonts w:hint="eastAsia" w:ascii="黑体" w:hAnsi="黑体" w:eastAsia="黑体" w:cs="黑体"/>
          <w:b w:val="0"/>
          <w:bCs/>
          <w:spacing w:val="-2"/>
          <w:sz w:val="32"/>
          <w:szCs w:val="32"/>
        </w:rPr>
      </w:pPr>
      <w:r>
        <w:rPr>
          <w:rFonts w:hint="eastAsia" w:ascii="黑体" w:hAnsi="黑体" w:eastAsia="黑体" w:cs="黑体"/>
          <w:b w:val="0"/>
          <w:bCs/>
          <w:spacing w:val="-2"/>
          <w:sz w:val="32"/>
          <w:szCs w:val="32"/>
          <w:lang w:eastAsia="zh-CN"/>
        </w:rPr>
        <w:t>八、</w:t>
      </w:r>
      <w:r>
        <w:rPr>
          <w:rFonts w:hint="eastAsia" w:ascii="黑体" w:hAnsi="黑体" w:eastAsia="黑体" w:cs="黑体"/>
          <w:b w:val="0"/>
          <w:bCs/>
          <w:spacing w:val="-2"/>
          <w:sz w:val="32"/>
          <w:szCs w:val="32"/>
        </w:rPr>
        <w:t>改进措施和有关建议</w:t>
      </w:r>
    </w:p>
    <w:p w14:paraId="5C410D15">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以部门职能职责和绩效目标为基础，合理细化设置绩效目标，全面反映部门整体支出效益。对年初绩效目标各项内容填写规范、完整，有利于财政合理配置资源，节约财政资金，缓解供求矛盾，促进资源的有效配置。</w:t>
      </w:r>
    </w:p>
    <w:p w14:paraId="51F31C98">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科学合理编制预算，严格执行预算。按照《预算法》及其实施条例的相关规定，参考上一年的预算执行情况和年度的收支预测科学编制预算，避免年中大幅调整预算。在预算执行中，严格按照预算科目支出，避免预算科目间的预算资金调剂，确需调剂的，按规定程序报经批准。遵循预算管理办法，对于年度无法预计的临时追加的相关工作所需费用严格按规定执行预算调整程序。</w:t>
      </w:r>
    </w:p>
    <w:p w14:paraId="56E9086D">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进一步增强和</w:t>
      </w:r>
      <w:r>
        <w:rPr>
          <w:rFonts w:hint="eastAsia" w:ascii="Times New Roman" w:hAnsi="Times New Roman" w:eastAsia="仿宋_GB2312" w:cs="Times New Roman"/>
          <w:sz w:val="32"/>
          <w:szCs w:val="32"/>
          <w:lang w:val="en-US" w:eastAsia="zh-CN"/>
        </w:rPr>
        <w:t>提升</w:t>
      </w:r>
      <w:r>
        <w:rPr>
          <w:rFonts w:hint="default" w:ascii="Times New Roman" w:hAnsi="Times New Roman" w:eastAsia="仿宋_GB2312" w:cs="Times New Roman"/>
          <w:sz w:val="32"/>
          <w:szCs w:val="32"/>
          <w:lang w:val="en-US" w:eastAsia="zh-CN"/>
        </w:rPr>
        <w:t>参政辅政水平。锚定“三高四新”美好蓝图，抢抓历史机遇、奋起二次创业，深入实施“五新四城”战略，围绕建设国际陆港、发展特色优势产业、生态优先绿色发展、加快鹤中一体化进程、全面推进乡村振兴等课题，深入开展调查研究，撰写一批高质量的调研报告。认真做好文稿起草工作，力求与领导思路产生共鸣、合拍共振，争取多出精品力作，使文稿成为服务领导决策的“直通车”。</w:t>
      </w:r>
    </w:p>
    <w:p w14:paraId="0B313E51">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lang w:val="en-US" w:eastAsia="zh-CN"/>
        </w:rPr>
      </w:pPr>
    </w:p>
    <w:p w14:paraId="1253A914">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default" w:ascii="Times New Roman" w:hAnsi="Times New Roman" w:eastAsia="仿宋_GB2312" w:cs="Times New Roman"/>
          <w:sz w:val="32"/>
          <w:szCs w:val="32"/>
          <w:lang w:val="en-US" w:eastAsia="zh-CN"/>
        </w:rPr>
      </w:pPr>
    </w:p>
    <w:p w14:paraId="3D48E4AC">
      <w:pPr>
        <w:pStyle w:val="2"/>
        <w:rPr>
          <w:rFonts w:hint="default" w:ascii="Times New Roman" w:hAnsi="Times New Roman" w:eastAsia="仿宋_GB2312" w:cs="Times New Roman"/>
          <w:sz w:val="32"/>
          <w:szCs w:val="32"/>
          <w:lang w:val="en-US" w:eastAsia="zh-CN"/>
        </w:rPr>
      </w:pPr>
    </w:p>
    <w:p w14:paraId="5B090F71">
      <w:pPr>
        <w:pStyle w:val="2"/>
        <w:rPr>
          <w:rFonts w:hint="default" w:ascii="Times New Roman" w:hAnsi="Times New Roman" w:eastAsia="仿宋_GB2312" w:cs="Times New Roman"/>
          <w:sz w:val="32"/>
          <w:szCs w:val="32"/>
          <w:lang w:val="en-US" w:eastAsia="zh-CN"/>
        </w:rPr>
      </w:pPr>
    </w:p>
    <w:p w14:paraId="5763DB14">
      <w:pPr>
        <w:pStyle w:val="2"/>
        <w:rPr>
          <w:rFonts w:hint="default" w:ascii="Times New Roman" w:hAnsi="Times New Roman" w:eastAsia="仿宋_GB2312" w:cs="Times New Roman"/>
          <w:sz w:val="32"/>
          <w:szCs w:val="32"/>
          <w:lang w:val="en-US" w:eastAsia="zh-CN"/>
        </w:rPr>
      </w:pPr>
    </w:p>
    <w:p w14:paraId="3B4B311D">
      <w:pPr>
        <w:pStyle w:val="2"/>
        <w:rPr>
          <w:rFonts w:hint="default" w:ascii="Times New Roman" w:hAnsi="Times New Roman" w:eastAsia="仿宋_GB2312" w:cs="Times New Roman"/>
          <w:sz w:val="32"/>
          <w:szCs w:val="32"/>
          <w:lang w:val="en-US" w:eastAsia="zh-CN"/>
        </w:rPr>
      </w:pPr>
    </w:p>
    <w:p w14:paraId="4299CC91">
      <w:pPr>
        <w:pStyle w:val="2"/>
        <w:rPr>
          <w:rFonts w:hint="default" w:ascii="Times New Roman" w:hAnsi="Times New Roman" w:eastAsia="仿宋_GB2312" w:cs="Times New Roman"/>
          <w:sz w:val="32"/>
          <w:szCs w:val="32"/>
          <w:lang w:val="en-US" w:eastAsia="zh-CN"/>
        </w:rPr>
      </w:pPr>
    </w:p>
    <w:p w14:paraId="743F4560">
      <w:pPr>
        <w:pStyle w:val="2"/>
        <w:rPr>
          <w:rFonts w:hint="default" w:ascii="Times New Roman" w:hAnsi="Times New Roman" w:eastAsia="仿宋_GB2312" w:cs="Times New Roman"/>
          <w:sz w:val="32"/>
          <w:szCs w:val="32"/>
          <w:lang w:val="en-US" w:eastAsia="zh-CN"/>
        </w:rPr>
      </w:pPr>
    </w:p>
    <w:p w14:paraId="626DCABE">
      <w:pPr>
        <w:pStyle w:val="2"/>
        <w:rPr>
          <w:rFonts w:hint="default" w:ascii="Times New Roman" w:hAnsi="Times New Roman" w:eastAsia="仿宋_GB2312" w:cs="Times New Roman"/>
          <w:sz w:val="32"/>
          <w:szCs w:val="32"/>
          <w:lang w:val="en-US" w:eastAsia="zh-CN"/>
        </w:rPr>
      </w:pPr>
    </w:p>
    <w:p w14:paraId="0C15D8D8">
      <w:pPr>
        <w:pStyle w:val="2"/>
        <w:rPr>
          <w:rFonts w:hint="default" w:ascii="Times New Roman" w:hAnsi="Times New Roman" w:eastAsia="仿宋_GB2312" w:cs="Times New Roman"/>
          <w:sz w:val="32"/>
          <w:szCs w:val="32"/>
          <w:lang w:val="en-US" w:eastAsia="zh-CN"/>
        </w:rPr>
      </w:pPr>
    </w:p>
    <w:p w14:paraId="61F4B4F8">
      <w:pPr>
        <w:pStyle w:val="2"/>
        <w:rPr>
          <w:rFonts w:hint="default" w:ascii="Times New Roman" w:hAnsi="Times New Roman" w:eastAsia="仿宋_GB2312" w:cs="Times New Roman"/>
          <w:sz w:val="32"/>
          <w:szCs w:val="32"/>
          <w:lang w:val="en-US" w:eastAsia="zh-CN"/>
        </w:rPr>
      </w:pPr>
    </w:p>
    <w:p w14:paraId="757ECC42">
      <w:pPr>
        <w:pStyle w:val="2"/>
        <w:rPr>
          <w:rFonts w:hint="default" w:ascii="Times New Roman" w:hAnsi="Times New Roman" w:eastAsia="仿宋_GB2312" w:cs="Times New Roman"/>
          <w:sz w:val="32"/>
          <w:szCs w:val="32"/>
          <w:lang w:val="en-US" w:eastAsia="zh-CN"/>
        </w:rPr>
      </w:pPr>
    </w:p>
    <w:p w14:paraId="2B8DD8A8">
      <w:pPr>
        <w:pStyle w:val="2"/>
        <w:rPr>
          <w:rFonts w:hint="default" w:ascii="Times New Roman" w:hAnsi="Times New Roman" w:eastAsia="仿宋_GB2312" w:cs="Times New Roman"/>
          <w:sz w:val="32"/>
          <w:szCs w:val="32"/>
          <w:lang w:val="en-US" w:eastAsia="zh-CN"/>
        </w:rPr>
      </w:pPr>
    </w:p>
    <w:p w14:paraId="6C6F4B76">
      <w:pPr>
        <w:keepNext w:val="0"/>
        <w:keepLines w:val="0"/>
        <w:pageBreakBefore w:val="0"/>
        <w:numPr>
          <w:ilvl w:val="0"/>
          <w:numId w:val="0"/>
        </w:numPr>
        <w:kinsoku/>
        <w:wordWrap/>
        <w:overflowPunct/>
        <w:topLinePunct w:val="0"/>
        <w:autoSpaceDE/>
        <w:autoSpaceDN/>
        <w:bidi w:val="0"/>
        <w:spacing w:line="600" w:lineRule="exact"/>
        <w:rPr>
          <w:rFonts w:hint="default" w:ascii="Times New Roman" w:hAnsi="Times New Roman" w:eastAsia="仿宋_GB2312" w:cs="Times New Roman"/>
          <w:sz w:val="32"/>
          <w:szCs w:val="32"/>
          <w:lang w:val="en-US" w:eastAsia="zh-CN"/>
        </w:rPr>
      </w:pPr>
    </w:p>
    <w:p w14:paraId="437122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9B570A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116FD257">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怀化市人民政府研究室                                       </w:t>
      </w:r>
    </w:p>
    <w:tbl>
      <w:tblPr>
        <w:tblStyle w:val="7"/>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51ECC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1E25475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51B65B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602FE25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0C5E14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53C5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9891782">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43887F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15</w:t>
            </w:r>
          </w:p>
        </w:tc>
        <w:tc>
          <w:tcPr>
            <w:tcW w:w="2240" w:type="dxa"/>
            <w:gridSpan w:val="2"/>
            <w:noWrap w:val="0"/>
            <w:vAlign w:val="center"/>
          </w:tcPr>
          <w:p w14:paraId="73E6C97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14</w:t>
            </w:r>
            <w:r>
              <w:rPr>
                <w:rFonts w:hint="eastAsia" w:ascii="仿宋" w:hAnsi="仿宋" w:eastAsia="仿宋" w:cs="仿宋"/>
                <w:b w:val="0"/>
                <w:bCs w:val="0"/>
                <w:kern w:val="0"/>
                <w:sz w:val="20"/>
                <w:szCs w:val="20"/>
              </w:rPr>
              <w:t>　</w:t>
            </w:r>
          </w:p>
        </w:tc>
        <w:tc>
          <w:tcPr>
            <w:tcW w:w="1832" w:type="dxa"/>
            <w:gridSpan w:val="2"/>
            <w:noWrap w:val="0"/>
            <w:vAlign w:val="center"/>
          </w:tcPr>
          <w:p w14:paraId="2EE2DA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93.33%</w:t>
            </w:r>
            <w:r>
              <w:rPr>
                <w:rFonts w:hint="eastAsia" w:ascii="仿宋" w:hAnsi="仿宋" w:eastAsia="仿宋" w:cs="仿宋"/>
                <w:b w:val="0"/>
                <w:bCs w:val="0"/>
                <w:kern w:val="0"/>
                <w:sz w:val="20"/>
                <w:szCs w:val="20"/>
              </w:rPr>
              <w:t>　</w:t>
            </w:r>
          </w:p>
        </w:tc>
      </w:tr>
      <w:tr w14:paraId="0D50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DA4A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4C24215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17EFEB1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1488C69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11B5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B96AD7C">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11B3D3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0.089</w:t>
            </w:r>
            <w:r>
              <w:rPr>
                <w:rFonts w:hint="eastAsia" w:ascii="仿宋" w:hAnsi="仿宋" w:eastAsia="仿宋" w:cs="仿宋"/>
                <w:b w:val="0"/>
                <w:bCs w:val="0"/>
                <w:kern w:val="0"/>
                <w:sz w:val="20"/>
                <w:szCs w:val="20"/>
              </w:rPr>
              <w:t>　</w:t>
            </w:r>
          </w:p>
        </w:tc>
        <w:tc>
          <w:tcPr>
            <w:tcW w:w="2240" w:type="dxa"/>
            <w:gridSpan w:val="2"/>
            <w:noWrap w:val="0"/>
            <w:vAlign w:val="center"/>
          </w:tcPr>
          <w:p w14:paraId="0B60F2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w:t>
            </w:r>
            <w:r>
              <w:rPr>
                <w:rFonts w:hint="eastAsia" w:ascii="仿宋" w:hAnsi="仿宋" w:eastAsia="仿宋" w:cs="仿宋"/>
                <w:b w:val="0"/>
                <w:bCs w:val="0"/>
                <w:kern w:val="0"/>
                <w:sz w:val="20"/>
                <w:szCs w:val="20"/>
              </w:rPr>
              <w:t>　</w:t>
            </w:r>
          </w:p>
        </w:tc>
        <w:tc>
          <w:tcPr>
            <w:tcW w:w="1832" w:type="dxa"/>
            <w:gridSpan w:val="2"/>
            <w:noWrap w:val="0"/>
            <w:vAlign w:val="center"/>
          </w:tcPr>
          <w:p w14:paraId="311B4A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0.17</w:t>
            </w:r>
            <w:r>
              <w:rPr>
                <w:rFonts w:hint="eastAsia" w:ascii="仿宋" w:hAnsi="仿宋" w:eastAsia="仿宋" w:cs="仿宋"/>
                <w:b w:val="0"/>
                <w:bCs w:val="0"/>
                <w:kern w:val="0"/>
                <w:sz w:val="20"/>
                <w:szCs w:val="20"/>
              </w:rPr>
              <w:t>　</w:t>
            </w:r>
          </w:p>
        </w:tc>
      </w:tr>
      <w:tr w14:paraId="09E6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A2E327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CDE5D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36FE4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A0EAC2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66E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CE94EF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47FBA5C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2CC5C6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B54D56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87D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AC7A9A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6E5C200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19BBEB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123829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E8C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CECC80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15878C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C3C9B2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B45121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07FD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750EC9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5CCEAD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0.089</w:t>
            </w:r>
            <w:r>
              <w:rPr>
                <w:rFonts w:hint="eastAsia" w:ascii="仿宋" w:hAnsi="仿宋" w:eastAsia="仿宋" w:cs="仿宋"/>
                <w:b w:val="0"/>
                <w:bCs w:val="0"/>
                <w:kern w:val="0"/>
                <w:sz w:val="20"/>
                <w:szCs w:val="20"/>
              </w:rPr>
              <w:t>　</w:t>
            </w:r>
          </w:p>
        </w:tc>
        <w:tc>
          <w:tcPr>
            <w:tcW w:w="2240" w:type="dxa"/>
            <w:gridSpan w:val="2"/>
            <w:noWrap w:val="0"/>
            <w:vAlign w:val="center"/>
          </w:tcPr>
          <w:p w14:paraId="672AD5C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1.8</w:t>
            </w:r>
            <w:r>
              <w:rPr>
                <w:rFonts w:hint="eastAsia" w:ascii="仿宋" w:hAnsi="仿宋" w:eastAsia="仿宋" w:cs="仿宋"/>
                <w:b w:val="0"/>
                <w:bCs w:val="0"/>
                <w:kern w:val="0"/>
                <w:sz w:val="20"/>
                <w:szCs w:val="20"/>
              </w:rPr>
              <w:t>　</w:t>
            </w:r>
          </w:p>
        </w:tc>
        <w:tc>
          <w:tcPr>
            <w:tcW w:w="1832" w:type="dxa"/>
            <w:gridSpan w:val="2"/>
            <w:noWrap w:val="0"/>
            <w:vAlign w:val="center"/>
          </w:tcPr>
          <w:p w14:paraId="5E1474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0.17</w:t>
            </w:r>
            <w:r>
              <w:rPr>
                <w:rFonts w:hint="eastAsia" w:ascii="仿宋" w:hAnsi="仿宋" w:eastAsia="仿宋" w:cs="仿宋"/>
                <w:b w:val="0"/>
                <w:bCs w:val="0"/>
                <w:kern w:val="0"/>
                <w:sz w:val="20"/>
                <w:szCs w:val="20"/>
              </w:rPr>
              <w:t>　</w:t>
            </w:r>
          </w:p>
        </w:tc>
      </w:tr>
      <w:tr w14:paraId="3EE7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554DE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13EF5EC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62.91</w:t>
            </w:r>
            <w:r>
              <w:rPr>
                <w:rFonts w:hint="eastAsia" w:ascii="仿宋" w:hAnsi="仿宋" w:eastAsia="仿宋" w:cs="仿宋"/>
                <w:b w:val="0"/>
                <w:bCs w:val="0"/>
                <w:kern w:val="0"/>
                <w:sz w:val="20"/>
                <w:szCs w:val="20"/>
              </w:rPr>
              <w:t>　</w:t>
            </w:r>
          </w:p>
        </w:tc>
        <w:tc>
          <w:tcPr>
            <w:tcW w:w="2240" w:type="dxa"/>
            <w:gridSpan w:val="2"/>
            <w:noWrap w:val="0"/>
            <w:vAlign w:val="center"/>
          </w:tcPr>
          <w:p w14:paraId="1E8DD08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62ADA7B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65.32</w:t>
            </w:r>
            <w:r>
              <w:rPr>
                <w:rFonts w:hint="eastAsia" w:ascii="仿宋" w:hAnsi="仿宋" w:eastAsia="仿宋" w:cs="仿宋"/>
                <w:b w:val="0"/>
                <w:bCs w:val="0"/>
                <w:kern w:val="0"/>
                <w:sz w:val="20"/>
                <w:szCs w:val="20"/>
              </w:rPr>
              <w:t>　</w:t>
            </w:r>
          </w:p>
        </w:tc>
      </w:tr>
      <w:tr w14:paraId="03D96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03769D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4F2498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59.41</w:t>
            </w:r>
            <w:r>
              <w:rPr>
                <w:rFonts w:hint="eastAsia" w:ascii="仿宋" w:hAnsi="仿宋" w:eastAsia="仿宋" w:cs="仿宋"/>
                <w:b w:val="0"/>
                <w:bCs w:val="0"/>
                <w:kern w:val="0"/>
                <w:sz w:val="20"/>
                <w:szCs w:val="20"/>
              </w:rPr>
              <w:t>　</w:t>
            </w:r>
          </w:p>
        </w:tc>
        <w:tc>
          <w:tcPr>
            <w:tcW w:w="2240" w:type="dxa"/>
            <w:gridSpan w:val="2"/>
            <w:noWrap w:val="0"/>
            <w:vAlign w:val="center"/>
          </w:tcPr>
          <w:p w14:paraId="4705F4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7B571F7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45.32</w:t>
            </w:r>
            <w:r>
              <w:rPr>
                <w:rFonts w:hint="eastAsia" w:ascii="仿宋" w:hAnsi="仿宋" w:eastAsia="仿宋" w:cs="仿宋"/>
                <w:b w:val="0"/>
                <w:bCs w:val="0"/>
                <w:kern w:val="0"/>
                <w:sz w:val="20"/>
                <w:szCs w:val="20"/>
              </w:rPr>
              <w:t>　</w:t>
            </w:r>
          </w:p>
        </w:tc>
      </w:tr>
      <w:tr w14:paraId="0A61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9223714">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xml:space="preserve">    2、</w:t>
            </w:r>
            <w:r>
              <w:rPr>
                <w:rFonts w:hint="eastAsia" w:ascii="仿宋" w:hAnsi="仿宋" w:eastAsia="仿宋" w:cs="仿宋"/>
                <w:b w:val="0"/>
                <w:bCs w:val="0"/>
                <w:kern w:val="0"/>
                <w:sz w:val="20"/>
                <w:szCs w:val="20"/>
                <w:lang w:val="en-US" w:eastAsia="zh-CN"/>
              </w:rPr>
              <w:t>抗疫补助资金</w:t>
            </w:r>
          </w:p>
        </w:tc>
        <w:tc>
          <w:tcPr>
            <w:tcW w:w="2038" w:type="dxa"/>
            <w:gridSpan w:val="2"/>
            <w:noWrap w:val="0"/>
            <w:vAlign w:val="center"/>
          </w:tcPr>
          <w:p w14:paraId="7B805F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2240" w:type="dxa"/>
            <w:gridSpan w:val="2"/>
            <w:noWrap w:val="0"/>
            <w:vAlign w:val="center"/>
          </w:tcPr>
          <w:p w14:paraId="006B92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85A697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D1E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F78A184">
            <w:pPr>
              <w:widowControl/>
              <w:ind w:firstLine="400" w:firstLineChars="200"/>
              <w:jc w:val="left"/>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课题经费</w:t>
            </w:r>
          </w:p>
        </w:tc>
        <w:tc>
          <w:tcPr>
            <w:tcW w:w="2038" w:type="dxa"/>
            <w:gridSpan w:val="2"/>
            <w:noWrap w:val="0"/>
            <w:vAlign w:val="center"/>
          </w:tcPr>
          <w:p w14:paraId="1D91037F">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w:t>
            </w:r>
          </w:p>
        </w:tc>
        <w:tc>
          <w:tcPr>
            <w:tcW w:w="2240" w:type="dxa"/>
            <w:gridSpan w:val="2"/>
            <w:noWrap w:val="0"/>
            <w:vAlign w:val="center"/>
          </w:tcPr>
          <w:p w14:paraId="1BC0B27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75814B30">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w:t>
            </w:r>
          </w:p>
        </w:tc>
      </w:tr>
      <w:tr w14:paraId="7F47A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AB7527B">
            <w:pPr>
              <w:widowControl/>
              <w:ind w:firstLine="400" w:firstLineChars="200"/>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4.市县基层建设及网络运行经费</w:t>
            </w:r>
          </w:p>
        </w:tc>
        <w:tc>
          <w:tcPr>
            <w:tcW w:w="2038" w:type="dxa"/>
            <w:gridSpan w:val="2"/>
            <w:noWrap w:val="0"/>
            <w:vAlign w:val="center"/>
          </w:tcPr>
          <w:p w14:paraId="71259A24">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0F7F6ADE">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798D14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r>
      <w:tr w14:paraId="2BDA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BDFBF65">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730ADC3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33.65</w:t>
            </w:r>
            <w:r>
              <w:rPr>
                <w:rFonts w:hint="eastAsia" w:ascii="仿宋" w:hAnsi="仿宋" w:eastAsia="仿宋" w:cs="仿宋"/>
                <w:b w:val="0"/>
                <w:bCs w:val="0"/>
                <w:kern w:val="0"/>
                <w:sz w:val="20"/>
                <w:szCs w:val="20"/>
              </w:rPr>
              <w:t>　</w:t>
            </w:r>
          </w:p>
        </w:tc>
        <w:tc>
          <w:tcPr>
            <w:tcW w:w="2240" w:type="dxa"/>
            <w:gridSpan w:val="2"/>
            <w:noWrap w:val="0"/>
            <w:vAlign w:val="center"/>
          </w:tcPr>
          <w:p w14:paraId="0E52344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38.5</w:t>
            </w:r>
            <w:r>
              <w:rPr>
                <w:rFonts w:hint="eastAsia" w:ascii="仿宋" w:hAnsi="仿宋" w:eastAsia="仿宋" w:cs="仿宋"/>
                <w:b w:val="0"/>
                <w:bCs w:val="0"/>
                <w:kern w:val="0"/>
                <w:sz w:val="20"/>
                <w:szCs w:val="20"/>
              </w:rPr>
              <w:t>　</w:t>
            </w:r>
          </w:p>
        </w:tc>
        <w:tc>
          <w:tcPr>
            <w:tcW w:w="1832" w:type="dxa"/>
            <w:gridSpan w:val="2"/>
            <w:noWrap w:val="0"/>
            <w:vAlign w:val="center"/>
          </w:tcPr>
          <w:p w14:paraId="4B04B2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34.85</w:t>
            </w:r>
            <w:r>
              <w:rPr>
                <w:rFonts w:hint="eastAsia" w:ascii="仿宋" w:hAnsi="仿宋" w:eastAsia="仿宋" w:cs="仿宋"/>
                <w:b w:val="0"/>
                <w:bCs w:val="0"/>
                <w:kern w:val="0"/>
                <w:sz w:val="20"/>
                <w:szCs w:val="20"/>
              </w:rPr>
              <w:t>　</w:t>
            </w:r>
          </w:p>
        </w:tc>
      </w:tr>
      <w:tr w14:paraId="3136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3364B0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08B4A5">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0.57</w:t>
            </w:r>
          </w:p>
        </w:tc>
        <w:tc>
          <w:tcPr>
            <w:tcW w:w="2240" w:type="dxa"/>
            <w:gridSpan w:val="2"/>
            <w:noWrap w:val="0"/>
            <w:vAlign w:val="center"/>
          </w:tcPr>
          <w:p w14:paraId="4DF427C5">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35674A2F">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lang w:val="en-US" w:eastAsia="zh-CN"/>
              </w:rPr>
              <w:t>0.85</w:t>
            </w:r>
            <w:r>
              <w:rPr>
                <w:rFonts w:hint="eastAsia" w:ascii="仿宋" w:hAnsi="仿宋" w:eastAsia="仿宋" w:cs="仿宋"/>
                <w:b w:val="0"/>
                <w:bCs w:val="0"/>
                <w:color w:val="FF0000"/>
                <w:kern w:val="0"/>
                <w:sz w:val="20"/>
                <w:szCs w:val="20"/>
              </w:rPr>
              <w:t>　</w:t>
            </w:r>
          </w:p>
        </w:tc>
      </w:tr>
      <w:tr w14:paraId="6E22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333E61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1694E0E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7654ACE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013C7AAA">
            <w:pPr>
              <w:widowControl/>
              <w:jc w:val="center"/>
              <w:rPr>
                <w:rFonts w:hint="default" w:ascii="仿宋" w:hAnsi="仿宋" w:eastAsia="仿宋" w:cs="仿宋"/>
                <w:b w:val="0"/>
                <w:bCs w:val="0"/>
                <w:color w:val="FF0000"/>
                <w:kern w:val="0"/>
                <w:sz w:val="20"/>
                <w:szCs w:val="20"/>
                <w:lang w:val="en-US" w:eastAsia="zh-CN"/>
              </w:rPr>
            </w:pPr>
            <w:r>
              <w:rPr>
                <w:rFonts w:hint="eastAsia" w:ascii="仿宋" w:hAnsi="仿宋" w:eastAsia="仿宋" w:cs="仿宋"/>
                <w:b w:val="0"/>
                <w:bCs w:val="0"/>
                <w:color w:val="FF0000"/>
                <w:kern w:val="0"/>
                <w:sz w:val="20"/>
                <w:szCs w:val="20"/>
              </w:rPr>
              <w:t>　</w:t>
            </w:r>
            <w:r>
              <w:rPr>
                <w:rFonts w:hint="eastAsia" w:ascii="仿宋" w:hAnsi="仿宋" w:eastAsia="仿宋" w:cs="仿宋"/>
                <w:b w:val="0"/>
                <w:bCs w:val="0"/>
                <w:color w:val="FF0000"/>
                <w:kern w:val="0"/>
                <w:sz w:val="20"/>
                <w:szCs w:val="20"/>
                <w:lang w:val="en-US" w:eastAsia="zh-CN"/>
              </w:rPr>
              <w:t>0.48</w:t>
            </w:r>
          </w:p>
        </w:tc>
      </w:tr>
      <w:tr w14:paraId="7D83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292BF12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A47ED1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647CB514">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600E03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690B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C687F5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0FC8FC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649539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264D3C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5F6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079F42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6BF6A3C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1290C9B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27E4184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1.52</w:t>
            </w:r>
            <w:r>
              <w:rPr>
                <w:rFonts w:hint="eastAsia" w:ascii="仿宋" w:hAnsi="仿宋" w:eastAsia="仿宋" w:cs="仿宋"/>
                <w:b w:val="0"/>
                <w:bCs w:val="0"/>
                <w:kern w:val="0"/>
                <w:sz w:val="20"/>
                <w:szCs w:val="20"/>
              </w:rPr>
              <w:t>　</w:t>
            </w:r>
          </w:p>
        </w:tc>
      </w:tr>
      <w:tr w14:paraId="7103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027EF84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p>
        </w:tc>
        <w:tc>
          <w:tcPr>
            <w:tcW w:w="1189" w:type="dxa"/>
            <w:noWrap w:val="0"/>
            <w:vAlign w:val="center"/>
          </w:tcPr>
          <w:p w14:paraId="33AE21C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512951B9">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3E5B070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44ABFF7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5BD1A6A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7037108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5B3B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41A8DE82">
            <w:pPr>
              <w:widowControl/>
              <w:jc w:val="left"/>
              <w:rPr>
                <w:rFonts w:hint="eastAsia" w:ascii="仿宋" w:hAnsi="仿宋" w:eastAsia="仿宋" w:cs="仿宋"/>
                <w:b w:val="0"/>
                <w:bCs w:val="0"/>
                <w:kern w:val="0"/>
                <w:sz w:val="20"/>
                <w:szCs w:val="20"/>
              </w:rPr>
            </w:pPr>
          </w:p>
        </w:tc>
        <w:tc>
          <w:tcPr>
            <w:tcW w:w="1189" w:type="dxa"/>
            <w:noWrap w:val="0"/>
            <w:vAlign w:val="center"/>
          </w:tcPr>
          <w:p w14:paraId="0E6864D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49" w:type="dxa"/>
            <w:noWrap w:val="0"/>
            <w:vAlign w:val="center"/>
          </w:tcPr>
          <w:p w14:paraId="45D1438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0D5AA7F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4FF4096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1ABE147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3DCF9E1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3E3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3202B49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62F04570">
            <w:pPr>
              <w:widowControl/>
              <w:jc w:val="center"/>
              <w:rPr>
                <w:rFonts w:hint="eastAsia" w:ascii="仿宋" w:hAnsi="仿宋" w:eastAsia="仿宋" w:cs="仿宋"/>
                <w:b w:val="0"/>
                <w:bCs w:val="0"/>
                <w:kern w:val="0"/>
                <w:sz w:val="20"/>
                <w:szCs w:val="20"/>
              </w:rPr>
            </w:pPr>
            <w:r>
              <w:rPr>
                <w:rFonts w:hint="eastAsia" w:ascii="Times New Roman" w:hAnsi="Times New Roman" w:eastAsia="仿宋_GB2312" w:cs="Times New Roman"/>
                <w:sz w:val="20"/>
                <w:szCs w:val="20"/>
                <w:lang w:eastAsia="zh-CN"/>
              </w:rPr>
              <w:t>《财务管理制度》《课题项目资金管理制度》</w:t>
            </w:r>
            <w:r>
              <w:rPr>
                <w:rFonts w:ascii="Times New Roman" w:hAnsi="Times New Roman" w:eastAsia="仿宋_GB2312" w:cs="Times New Roman"/>
                <w:sz w:val="20"/>
                <w:szCs w:val="20"/>
              </w:rPr>
              <w:t>　</w:t>
            </w:r>
            <w:r>
              <w:rPr>
                <w:rFonts w:hint="eastAsia" w:ascii="仿宋" w:hAnsi="仿宋" w:eastAsia="仿宋" w:cs="仿宋"/>
                <w:b w:val="0"/>
                <w:bCs w:val="0"/>
                <w:kern w:val="0"/>
                <w:sz w:val="20"/>
                <w:szCs w:val="20"/>
              </w:rPr>
              <w:t>　</w:t>
            </w:r>
          </w:p>
        </w:tc>
      </w:tr>
    </w:tbl>
    <w:p w14:paraId="7E813F2C">
      <w:pPr>
        <w:pStyle w:val="10"/>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39333643">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2783CC52"/>
    <w:p w14:paraId="76B6753D"/>
    <w:p w14:paraId="42778B28"/>
    <w:p w14:paraId="7FA83CFA"/>
    <w:p w14:paraId="279A7B5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t>附件1-2</w:t>
      </w:r>
    </w:p>
    <w:p w14:paraId="2D4361B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p w14:paraId="1EE14DF1">
      <w:pPr>
        <w:pStyle w:val="2"/>
        <w:rPr>
          <w:rFonts w:hint="eastAsia"/>
          <w:lang w:val="en-US" w:eastAsia="zh-CN"/>
        </w:rPr>
      </w:pPr>
    </w:p>
    <w:tbl>
      <w:tblPr>
        <w:tblStyle w:val="7"/>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720"/>
        <w:gridCol w:w="950"/>
        <w:gridCol w:w="70"/>
        <w:gridCol w:w="890"/>
        <w:gridCol w:w="570"/>
        <w:gridCol w:w="660"/>
        <w:gridCol w:w="600"/>
        <w:gridCol w:w="1400"/>
        <w:gridCol w:w="536"/>
        <w:gridCol w:w="764"/>
        <w:gridCol w:w="1015"/>
      </w:tblGrid>
      <w:tr w14:paraId="64C0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47" w:type="dxa"/>
            <w:noWrap w:val="0"/>
            <w:vAlign w:val="center"/>
          </w:tcPr>
          <w:p w14:paraId="4954C5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75" w:type="dxa"/>
            <w:gridSpan w:val="11"/>
            <w:noWrap w:val="0"/>
            <w:vAlign w:val="center"/>
          </w:tcPr>
          <w:p w14:paraId="06BC9C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怀化市人民政府研究室</w:t>
            </w:r>
            <w:r>
              <w:rPr>
                <w:rFonts w:hint="eastAsia" w:ascii="仿宋" w:hAnsi="仿宋" w:eastAsia="仿宋" w:cs="仿宋"/>
                <w:color w:val="000000"/>
                <w:kern w:val="0"/>
                <w:sz w:val="20"/>
                <w:szCs w:val="20"/>
              </w:rPr>
              <w:t>　</w:t>
            </w:r>
          </w:p>
        </w:tc>
      </w:tr>
      <w:tr w14:paraId="5522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47" w:type="dxa"/>
            <w:vMerge w:val="restart"/>
            <w:noWrap w:val="0"/>
            <w:vAlign w:val="center"/>
          </w:tcPr>
          <w:p w14:paraId="57B140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6E3010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1670" w:type="dxa"/>
            <w:gridSpan w:val="2"/>
            <w:noWrap w:val="0"/>
            <w:vAlign w:val="center"/>
          </w:tcPr>
          <w:p w14:paraId="7CE841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60" w:type="dxa"/>
            <w:gridSpan w:val="2"/>
            <w:noWrap w:val="0"/>
            <w:vAlign w:val="center"/>
          </w:tcPr>
          <w:p w14:paraId="01F565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7653E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30" w:type="dxa"/>
            <w:gridSpan w:val="2"/>
            <w:noWrap w:val="0"/>
            <w:vAlign w:val="center"/>
          </w:tcPr>
          <w:p w14:paraId="595F2B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2000" w:type="dxa"/>
            <w:gridSpan w:val="2"/>
            <w:noWrap w:val="0"/>
            <w:vAlign w:val="center"/>
          </w:tcPr>
          <w:p w14:paraId="3FCF43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54533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36" w:type="dxa"/>
            <w:noWrap w:val="0"/>
            <w:vAlign w:val="center"/>
          </w:tcPr>
          <w:p w14:paraId="53A5C4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764" w:type="dxa"/>
            <w:noWrap w:val="0"/>
            <w:vAlign w:val="center"/>
          </w:tcPr>
          <w:p w14:paraId="4FBECC8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15" w:type="dxa"/>
            <w:noWrap w:val="0"/>
            <w:vAlign w:val="center"/>
          </w:tcPr>
          <w:p w14:paraId="3F866A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452B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6503C8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670" w:type="dxa"/>
            <w:gridSpan w:val="2"/>
            <w:noWrap w:val="0"/>
            <w:vAlign w:val="center"/>
          </w:tcPr>
          <w:p w14:paraId="63C5AD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60" w:type="dxa"/>
            <w:gridSpan w:val="2"/>
            <w:noWrap w:val="0"/>
            <w:vAlign w:val="center"/>
          </w:tcPr>
          <w:p w14:paraId="780B5D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285.97</w:t>
            </w:r>
          </w:p>
        </w:tc>
        <w:tc>
          <w:tcPr>
            <w:tcW w:w="1230" w:type="dxa"/>
            <w:gridSpan w:val="2"/>
            <w:noWrap w:val="0"/>
            <w:vAlign w:val="center"/>
          </w:tcPr>
          <w:p w14:paraId="1BA20D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302.8</w:t>
            </w:r>
          </w:p>
        </w:tc>
        <w:tc>
          <w:tcPr>
            <w:tcW w:w="2000" w:type="dxa"/>
            <w:gridSpan w:val="2"/>
            <w:noWrap w:val="0"/>
            <w:vAlign w:val="center"/>
          </w:tcPr>
          <w:p w14:paraId="56D297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302.8</w:t>
            </w:r>
          </w:p>
        </w:tc>
        <w:tc>
          <w:tcPr>
            <w:tcW w:w="536" w:type="dxa"/>
            <w:noWrap w:val="0"/>
            <w:vAlign w:val="center"/>
          </w:tcPr>
          <w:p w14:paraId="627955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764" w:type="dxa"/>
            <w:noWrap w:val="0"/>
            <w:vAlign w:val="center"/>
          </w:tcPr>
          <w:p w14:paraId="0E56296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100%</w:t>
            </w:r>
          </w:p>
        </w:tc>
        <w:tc>
          <w:tcPr>
            <w:tcW w:w="1015" w:type="dxa"/>
            <w:noWrap w:val="0"/>
            <w:vAlign w:val="center"/>
          </w:tcPr>
          <w:p w14:paraId="70287C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3DD6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467071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0606B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4315" w:type="dxa"/>
            <w:gridSpan w:val="5"/>
            <w:noWrap w:val="0"/>
            <w:vAlign w:val="center"/>
          </w:tcPr>
          <w:p w14:paraId="458E0C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29A19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0090CD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58C704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302.8</w:t>
            </w:r>
          </w:p>
        </w:tc>
        <w:tc>
          <w:tcPr>
            <w:tcW w:w="4315" w:type="dxa"/>
            <w:gridSpan w:val="5"/>
            <w:noWrap w:val="0"/>
            <w:vAlign w:val="center"/>
          </w:tcPr>
          <w:p w14:paraId="4792A0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237.49</w:t>
            </w:r>
          </w:p>
        </w:tc>
      </w:tr>
      <w:tr w14:paraId="3E2E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00AB45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602E5550">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4315" w:type="dxa"/>
            <w:gridSpan w:val="5"/>
            <w:noWrap w:val="0"/>
            <w:vAlign w:val="center"/>
          </w:tcPr>
          <w:p w14:paraId="494A7BC8">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65.32</w:t>
            </w:r>
          </w:p>
        </w:tc>
      </w:tr>
      <w:tr w14:paraId="2598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241006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1341F0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4315" w:type="dxa"/>
            <w:gridSpan w:val="5"/>
            <w:noWrap w:val="0"/>
            <w:vAlign w:val="center"/>
          </w:tcPr>
          <w:p w14:paraId="7F6EA8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r>
      <w:tr w14:paraId="3901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47" w:type="dxa"/>
            <w:vMerge w:val="continue"/>
            <w:noWrap w:val="0"/>
            <w:vAlign w:val="center"/>
          </w:tcPr>
          <w:p w14:paraId="050C884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181A56D5">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4315" w:type="dxa"/>
            <w:gridSpan w:val="5"/>
            <w:noWrap w:val="0"/>
            <w:vAlign w:val="center"/>
          </w:tcPr>
          <w:p w14:paraId="419D146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r>
      <w:tr w14:paraId="0747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restart"/>
            <w:noWrap w:val="0"/>
            <w:vAlign w:val="center"/>
          </w:tcPr>
          <w:p w14:paraId="387641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3860" w:type="dxa"/>
            <w:gridSpan w:val="6"/>
            <w:noWrap w:val="0"/>
            <w:vAlign w:val="center"/>
          </w:tcPr>
          <w:p w14:paraId="2FA54E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315" w:type="dxa"/>
            <w:gridSpan w:val="5"/>
            <w:noWrap w:val="0"/>
            <w:vAlign w:val="center"/>
          </w:tcPr>
          <w:p w14:paraId="0B2F49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B80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0" w:hRule="atLeast"/>
          <w:jc w:val="center"/>
        </w:trPr>
        <w:tc>
          <w:tcPr>
            <w:tcW w:w="1147" w:type="dxa"/>
            <w:vMerge w:val="continue"/>
            <w:noWrap w:val="0"/>
            <w:vAlign w:val="center"/>
          </w:tcPr>
          <w:p w14:paraId="6C5543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3860" w:type="dxa"/>
            <w:gridSpan w:val="6"/>
            <w:noWrap w:val="0"/>
            <w:vAlign w:val="center"/>
          </w:tcPr>
          <w:p w14:paraId="5E330DB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1.在坚定政治立场上下真功，在强化理论武装上悟真理。</w:t>
            </w:r>
          </w:p>
          <w:p w14:paraId="347C326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2.在践行宗旨意识上倾真情，在厚植民生福祉上用真力。</w:t>
            </w:r>
          </w:p>
          <w:p w14:paraId="6842A4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3.在主动担当作为上见真章，在推动怀化发展上鼓真劲。</w:t>
            </w:r>
          </w:p>
          <w:p w14:paraId="4BDE6C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4.在严守纪律规矩上动真格，在作风纪律转变上见真效。　　</w:t>
            </w:r>
          </w:p>
        </w:tc>
        <w:tc>
          <w:tcPr>
            <w:tcW w:w="4315" w:type="dxa"/>
            <w:gridSpan w:val="5"/>
            <w:noWrap w:val="0"/>
            <w:vAlign w:val="center"/>
          </w:tcPr>
          <w:p w14:paraId="40DE610E">
            <w:pPr>
              <w:widowControl/>
              <w:spacing w:line="240" w:lineRule="exact"/>
              <w:jc w:val="left"/>
              <w:rPr>
                <w:rFonts w:hint="eastAsia" w:ascii="Times New Roman" w:hAnsi="Times New Roman" w:eastAsia="仿宋_GB2312" w:cs="Times New Roman"/>
                <w:color w:val="000000"/>
                <w:kern w:val="0"/>
                <w:sz w:val="20"/>
                <w:szCs w:val="20"/>
              </w:rPr>
            </w:pPr>
          </w:p>
          <w:p w14:paraId="409F01C7">
            <w:pPr>
              <w:widowControl/>
              <w:spacing w:line="240" w:lineRule="exact"/>
              <w:jc w:val="left"/>
              <w:rPr>
                <w:rFonts w:hint="default"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rPr>
              <w:t>　</w:t>
            </w:r>
            <w:r>
              <w:rPr>
                <w:rFonts w:hint="default" w:ascii="Times New Roman" w:hAnsi="Times New Roman" w:eastAsia="仿宋_GB2312" w:cs="Times New Roman"/>
                <w:color w:val="000000"/>
                <w:kern w:val="0"/>
                <w:sz w:val="20"/>
                <w:szCs w:val="20"/>
              </w:rPr>
              <w:t>一是高质量完成文稿起草。一年来，为市政府及市长、常务副市长起草会议讲话、工作汇报等各类文稿</w:t>
            </w:r>
            <w:r>
              <w:rPr>
                <w:rFonts w:hint="eastAsia" w:ascii="Times New Roman" w:hAnsi="Times New Roman" w:eastAsia="仿宋_GB2312" w:cs="Times New Roman"/>
                <w:color w:val="000000"/>
                <w:kern w:val="0"/>
                <w:sz w:val="20"/>
                <w:szCs w:val="20"/>
                <w:lang w:val="en-US" w:eastAsia="zh-CN"/>
              </w:rPr>
              <w:t>650</w:t>
            </w:r>
            <w:r>
              <w:rPr>
                <w:rFonts w:hint="default" w:ascii="Times New Roman" w:hAnsi="Times New Roman" w:eastAsia="仿宋_GB2312" w:cs="Times New Roman"/>
                <w:color w:val="000000"/>
                <w:kern w:val="0"/>
                <w:sz w:val="20"/>
                <w:szCs w:val="20"/>
              </w:rPr>
              <w:t>余篇、共计</w:t>
            </w:r>
            <w:r>
              <w:rPr>
                <w:rFonts w:hint="default" w:ascii="Times New Roman" w:hAnsi="Times New Roman" w:eastAsia="仿宋_GB2312" w:cs="Times New Roman"/>
                <w:color w:val="000000"/>
                <w:kern w:val="0"/>
                <w:sz w:val="20"/>
                <w:szCs w:val="20"/>
                <w:lang w:val="en-US" w:eastAsia="zh-CN"/>
              </w:rPr>
              <w:t>200</w:t>
            </w:r>
            <w:r>
              <w:rPr>
                <w:rFonts w:hint="default" w:ascii="Times New Roman" w:hAnsi="Times New Roman" w:eastAsia="仿宋_GB2312" w:cs="Times New Roman"/>
                <w:color w:val="000000"/>
                <w:kern w:val="0"/>
                <w:sz w:val="20"/>
                <w:szCs w:val="20"/>
              </w:rPr>
              <w:t>多万字，把关政府主要领导新闻稿</w:t>
            </w:r>
            <w:r>
              <w:rPr>
                <w:rFonts w:hint="default" w:ascii="Times New Roman" w:hAnsi="Times New Roman" w:eastAsia="仿宋_GB2312" w:cs="Times New Roman"/>
                <w:color w:val="000000"/>
                <w:kern w:val="0"/>
                <w:sz w:val="20"/>
                <w:szCs w:val="20"/>
                <w:lang w:val="en-US" w:eastAsia="zh-CN"/>
              </w:rPr>
              <w:t>200</w:t>
            </w:r>
            <w:r>
              <w:rPr>
                <w:rFonts w:hint="default" w:ascii="Times New Roman" w:hAnsi="Times New Roman" w:eastAsia="仿宋_GB2312" w:cs="Times New Roman"/>
                <w:color w:val="000000"/>
                <w:kern w:val="0"/>
                <w:sz w:val="20"/>
                <w:szCs w:val="20"/>
              </w:rPr>
              <w:t>余篇、</w:t>
            </w:r>
            <w:r>
              <w:rPr>
                <w:rFonts w:hint="default" w:ascii="Times New Roman" w:hAnsi="Times New Roman" w:eastAsia="仿宋_GB2312" w:cs="Times New Roman"/>
                <w:color w:val="000000"/>
                <w:kern w:val="0"/>
                <w:sz w:val="20"/>
                <w:szCs w:val="20"/>
                <w:lang w:val="en-US" w:eastAsia="zh-CN"/>
              </w:rPr>
              <w:t>20</w:t>
            </w:r>
            <w:r>
              <w:rPr>
                <w:rFonts w:hint="default" w:ascii="Times New Roman" w:hAnsi="Times New Roman" w:eastAsia="仿宋_GB2312" w:cs="Times New Roman"/>
                <w:color w:val="000000"/>
                <w:kern w:val="0"/>
                <w:sz w:val="20"/>
                <w:szCs w:val="20"/>
              </w:rPr>
              <w:t>余万字。</w:t>
            </w:r>
          </w:p>
          <w:p w14:paraId="5EE74E23">
            <w:pPr>
              <w:widowControl/>
              <w:spacing w:line="240" w:lineRule="exact"/>
              <w:ind w:firstLine="400" w:firstLineChars="200"/>
              <w:jc w:val="left"/>
              <w:rPr>
                <w:rFonts w:hint="default" w:ascii="Times New Roman" w:hAnsi="Times New Roman" w:eastAsia="仿宋_GB2312" w:cs="Times New Roman"/>
                <w:color w:val="000000"/>
                <w:kern w:val="0"/>
                <w:sz w:val="20"/>
                <w:szCs w:val="20"/>
              </w:rPr>
            </w:pPr>
            <w:r>
              <w:rPr>
                <w:rFonts w:hint="default" w:ascii="Times New Roman" w:hAnsi="Times New Roman" w:eastAsia="仿宋_GB2312" w:cs="Times New Roman"/>
                <w:color w:val="000000"/>
                <w:kern w:val="0"/>
                <w:sz w:val="20"/>
                <w:szCs w:val="20"/>
              </w:rPr>
              <w:t>二是高质量开展课题研究。围精选了“</w:t>
            </w:r>
            <w:r>
              <w:rPr>
                <w:rFonts w:hint="default" w:ascii="Times New Roman" w:hAnsi="Times New Roman" w:eastAsia="仿宋_GB2312" w:cs="Times New Roman"/>
                <w:color w:val="000000"/>
                <w:kern w:val="0"/>
                <w:sz w:val="20"/>
                <w:szCs w:val="20"/>
                <w:lang w:val="en-US" w:eastAsia="zh-CN"/>
              </w:rPr>
              <w:t>关于怀化国际陆港临港产业发展的调查与思考</w:t>
            </w:r>
            <w:r>
              <w:rPr>
                <w:rFonts w:hint="default" w:ascii="Times New Roman" w:hAnsi="Times New Roman" w:eastAsia="仿宋_GB2312" w:cs="Times New Roman"/>
                <w:color w:val="000000"/>
                <w:kern w:val="0"/>
                <w:sz w:val="20"/>
                <w:szCs w:val="20"/>
              </w:rPr>
              <w:t>”等</w:t>
            </w:r>
            <w:r>
              <w:rPr>
                <w:rFonts w:hint="eastAsia" w:ascii="Times New Roman" w:hAnsi="Times New Roman" w:eastAsia="仿宋_GB2312" w:cs="Times New Roman"/>
                <w:color w:val="000000"/>
                <w:kern w:val="0"/>
                <w:sz w:val="20"/>
                <w:szCs w:val="20"/>
                <w:lang w:val="en-US" w:eastAsia="zh-CN"/>
              </w:rPr>
              <w:t>7</w:t>
            </w:r>
            <w:r>
              <w:rPr>
                <w:rFonts w:hint="default" w:ascii="Times New Roman" w:hAnsi="Times New Roman" w:eastAsia="仿宋_GB2312" w:cs="Times New Roman"/>
                <w:color w:val="000000"/>
                <w:kern w:val="0"/>
                <w:sz w:val="20"/>
                <w:szCs w:val="20"/>
              </w:rPr>
              <w:t>个重点课题开展专题调研，写出了高质量的调研报告。同时，紧盯上级重大政策进行研究并提出贯彻落实意见建议，供市委、市政府决策参考。</w:t>
            </w:r>
          </w:p>
          <w:p w14:paraId="5519C35E">
            <w:pPr>
              <w:widowControl/>
              <w:spacing w:line="240" w:lineRule="exact"/>
              <w:ind w:firstLine="400" w:firstLineChars="200"/>
              <w:jc w:val="left"/>
              <w:rPr>
                <w:rFonts w:hint="eastAsia"/>
              </w:rPr>
            </w:pPr>
            <w:r>
              <w:rPr>
                <w:rFonts w:hint="default" w:ascii="Times New Roman" w:hAnsi="Times New Roman" w:eastAsia="仿宋_GB2312" w:cs="Times New Roman"/>
                <w:color w:val="000000"/>
                <w:kern w:val="0"/>
                <w:sz w:val="20"/>
                <w:szCs w:val="20"/>
              </w:rPr>
              <w:t>三是高质量做好信息服务。积极做好市政府主要领导接受媒体采访和访谈的文稿服务工作，宣传推介我市国际陆港、生态价值实现、文化旅游发展等方面的好经验、好做法，提升了怀化的影响力。</w:t>
            </w:r>
            <w:r>
              <w:rPr>
                <w:rFonts w:hint="default" w:ascii="Times New Roman" w:hAnsi="Times New Roman" w:eastAsia="仿宋_GB2312" w:cs="Times New Roman"/>
                <w:color w:val="000000"/>
                <w:kern w:val="0"/>
                <w:sz w:val="20"/>
                <w:szCs w:val="20"/>
                <w:lang w:eastAsia="zh-CN"/>
              </w:rPr>
              <w:t>今年，在《</w:t>
            </w:r>
            <w:r>
              <w:rPr>
                <w:rFonts w:hint="default" w:ascii="Times New Roman" w:hAnsi="Times New Roman" w:eastAsia="仿宋_GB2312" w:cs="Times New Roman"/>
                <w:color w:val="000000"/>
                <w:kern w:val="0"/>
                <w:sz w:val="20"/>
                <w:szCs w:val="20"/>
                <w:lang w:val="en-US" w:eastAsia="zh-CN"/>
              </w:rPr>
              <w:t>人民日报</w:t>
            </w:r>
            <w:r>
              <w:rPr>
                <w:rFonts w:hint="default" w:ascii="Times New Roman" w:hAnsi="Times New Roman" w:eastAsia="仿宋_GB2312" w:cs="Times New Roman"/>
                <w:color w:val="000000"/>
                <w:kern w:val="0"/>
                <w:sz w:val="20"/>
                <w:szCs w:val="20"/>
                <w:lang w:eastAsia="zh-CN"/>
              </w:rPr>
              <w:t>》《</w:t>
            </w:r>
            <w:r>
              <w:rPr>
                <w:rFonts w:hint="default" w:ascii="Times New Roman" w:hAnsi="Times New Roman" w:eastAsia="仿宋_GB2312" w:cs="Times New Roman"/>
                <w:color w:val="000000"/>
                <w:kern w:val="0"/>
                <w:sz w:val="20"/>
                <w:szCs w:val="20"/>
                <w:lang w:val="en-US" w:eastAsia="zh-CN"/>
              </w:rPr>
              <w:t>经济日报</w:t>
            </w:r>
            <w:r>
              <w:rPr>
                <w:rFonts w:hint="default" w:ascii="Times New Roman" w:hAnsi="Times New Roman" w:eastAsia="仿宋_GB2312" w:cs="Times New Roman"/>
                <w:color w:val="000000"/>
                <w:kern w:val="0"/>
                <w:sz w:val="20"/>
                <w:szCs w:val="20"/>
                <w:lang w:eastAsia="zh-CN"/>
              </w:rPr>
              <w:t>》《中国社会报》等国省报刊媒体发表署名文章</w:t>
            </w:r>
            <w:r>
              <w:rPr>
                <w:rFonts w:hint="default" w:ascii="Times New Roman" w:hAnsi="Times New Roman" w:eastAsia="仿宋_GB2312" w:cs="Times New Roman"/>
                <w:color w:val="000000"/>
                <w:kern w:val="0"/>
                <w:sz w:val="20"/>
                <w:szCs w:val="20"/>
                <w:lang w:val="en-US" w:eastAsia="zh-CN"/>
              </w:rPr>
              <w:t>5篇，发展“六仗”、党风廉政等工作经验在全省推介，《关于将怀化市建设成为全省多能互补综合能源基地的请求》获伟明省长亲笔批示。</w:t>
            </w:r>
            <w:r>
              <w:rPr>
                <w:rFonts w:hint="default" w:ascii="Times New Roman" w:hAnsi="Times New Roman" w:eastAsia="仿宋_GB2312" w:cs="Times New Roman"/>
                <w:color w:val="000000"/>
                <w:kern w:val="0"/>
                <w:sz w:val="20"/>
                <w:szCs w:val="20"/>
              </w:rPr>
              <w:t>同时，积极配合市委政研室做好《新怀化》编辑工作，进一步推动市委市政府各项决策落实落地。</w:t>
            </w:r>
          </w:p>
        </w:tc>
      </w:tr>
      <w:tr w14:paraId="2879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47" w:type="dxa"/>
            <w:vMerge w:val="restart"/>
            <w:noWrap w:val="0"/>
            <w:vAlign w:val="center"/>
          </w:tcPr>
          <w:p w14:paraId="237FAA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551360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27B3B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4A4B35B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720" w:type="dxa"/>
            <w:noWrap w:val="0"/>
            <w:vAlign w:val="center"/>
          </w:tcPr>
          <w:p w14:paraId="31A464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20" w:type="dxa"/>
            <w:gridSpan w:val="2"/>
            <w:noWrap w:val="0"/>
            <w:vAlign w:val="center"/>
          </w:tcPr>
          <w:p w14:paraId="0813226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460" w:type="dxa"/>
            <w:gridSpan w:val="2"/>
            <w:noWrap w:val="0"/>
            <w:vAlign w:val="center"/>
          </w:tcPr>
          <w:p w14:paraId="1A06281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60" w:type="dxa"/>
            <w:gridSpan w:val="2"/>
            <w:noWrap w:val="0"/>
            <w:vAlign w:val="center"/>
          </w:tcPr>
          <w:p w14:paraId="72FFE0D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BB173D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400" w:type="dxa"/>
            <w:noWrap w:val="0"/>
            <w:vAlign w:val="center"/>
          </w:tcPr>
          <w:p w14:paraId="036BCD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BA5B7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36" w:type="dxa"/>
            <w:noWrap w:val="0"/>
            <w:vAlign w:val="center"/>
          </w:tcPr>
          <w:p w14:paraId="0AB02A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764" w:type="dxa"/>
            <w:noWrap w:val="0"/>
            <w:vAlign w:val="center"/>
          </w:tcPr>
          <w:p w14:paraId="443D98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15" w:type="dxa"/>
            <w:noWrap w:val="0"/>
            <w:vAlign w:val="top"/>
          </w:tcPr>
          <w:p w14:paraId="2C9D3F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700A3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A0903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6B8F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17955F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restart"/>
            <w:noWrap w:val="0"/>
            <w:vAlign w:val="center"/>
          </w:tcPr>
          <w:p w14:paraId="3D840C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C9F89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20" w:type="dxa"/>
            <w:gridSpan w:val="2"/>
            <w:noWrap w:val="0"/>
            <w:vAlign w:val="center"/>
          </w:tcPr>
          <w:p w14:paraId="0CF03F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721ED5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60" w:type="dxa"/>
            <w:gridSpan w:val="2"/>
            <w:noWrap w:val="0"/>
            <w:vAlign w:val="center"/>
          </w:tcPr>
          <w:p w14:paraId="7E87E6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课题调研报告</w:t>
            </w:r>
          </w:p>
        </w:tc>
        <w:tc>
          <w:tcPr>
            <w:tcW w:w="1260" w:type="dxa"/>
            <w:gridSpan w:val="2"/>
            <w:noWrap w:val="0"/>
            <w:vAlign w:val="center"/>
          </w:tcPr>
          <w:p w14:paraId="715CC51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4</w:t>
            </w:r>
          </w:p>
        </w:tc>
        <w:tc>
          <w:tcPr>
            <w:tcW w:w="1400" w:type="dxa"/>
            <w:noWrap w:val="0"/>
            <w:vAlign w:val="center"/>
          </w:tcPr>
          <w:p w14:paraId="234B1B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w:t>
            </w:r>
          </w:p>
        </w:tc>
        <w:tc>
          <w:tcPr>
            <w:tcW w:w="536" w:type="dxa"/>
            <w:noWrap w:val="0"/>
            <w:vAlign w:val="center"/>
          </w:tcPr>
          <w:p w14:paraId="3AEE82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764" w:type="dxa"/>
            <w:noWrap w:val="0"/>
            <w:vAlign w:val="center"/>
          </w:tcPr>
          <w:p w14:paraId="7DEB8E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15" w:type="dxa"/>
            <w:noWrap w:val="0"/>
            <w:vAlign w:val="center"/>
          </w:tcPr>
          <w:p w14:paraId="58834A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2E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276229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314E015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1818C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0E60669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60" w:type="dxa"/>
            <w:gridSpan w:val="2"/>
            <w:noWrap w:val="0"/>
            <w:vAlign w:val="center"/>
          </w:tcPr>
          <w:p w14:paraId="14666829">
            <w:pPr>
              <w:widowControl/>
              <w:tabs>
                <w:tab w:val="left" w:pos="559"/>
              </w:tabs>
              <w:spacing w:line="240" w:lineRule="exact"/>
              <w:jc w:val="left"/>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eastAsia="zh-CN"/>
              </w:rPr>
              <w:t>文稿起草、决策参谋精准度</w:t>
            </w:r>
          </w:p>
        </w:tc>
        <w:tc>
          <w:tcPr>
            <w:tcW w:w="1260" w:type="dxa"/>
            <w:gridSpan w:val="2"/>
            <w:noWrap w:val="0"/>
            <w:vAlign w:val="center"/>
          </w:tcPr>
          <w:p w14:paraId="0FB2973A">
            <w:pPr>
              <w:widowControl/>
              <w:spacing w:line="240" w:lineRule="exact"/>
              <w:jc w:val="left"/>
              <w:rPr>
                <w:rFonts w:hint="eastAsia" w:ascii="仿宋" w:hAnsi="仿宋" w:eastAsia="仿宋" w:cs="仿宋"/>
                <w:color w:val="000000"/>
                <w:kern w:val="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rPr>
              <w:t>≥</w:t>
            </w:r>
            <w:r>
              <w:rPr>
                <w:rFonts w:hint="eastAsia" w:ascii="Times New Roman" w:hAnsi="Times New Roman" w:eastAsia="仿宋_GB2312" w:cs="Times New Roman"/>
                <w:color w:val="000000"/>
                <w:sz w:val="20"/>
                <w:szCs w:val="20"/>
                <w:lang w:val="en-US" w:eastAsia="zh-CN"/>
              </w:rPr>
              <w:t>90%</w:t>
            </w:r>
          </w:p>
        </w:tc>
        <w:tc>
          <w:tcPr>
            <w:tcW w:w="1400" w:type="dxa"/>
            <w:noWrap w:val="0"/>
            <w:vAlign w:val="center"/>
          </w:tcPr>
          <w:p w14:paraId="34A0E912">
            <w:pPr>
              <w:widowControl/>
              <w:spacing w:line="240" w:lineRule="exact"/>
              <w:jc w:val="left"/>
              <w:rPr>
                <w:rFonts w:hint="eastAsia" w:ascii="仿宋" w:hAnsi="仿宋" w:eastAsia="仿宋" w:cs="仿宋"/>
                <w:color w:val="000000"/>
                <w:kern w:val="0"/>
                <w:sz w:val="20"/>
                <w:szCs w:val="20"/>
              </w:rPr>
            </w:pPr>
            <w:r>
              <w:rPr>
                <w:rFonts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val="en-US" w:eastAsia="zh-CN"/>
              </w:rPr>
              <w:t>98%</w:t>
            </w:r>
          </w:p>
        </w:tc>
        <w:tc>
          <w:tcPr>
            <w:tcW w:w="536" w:type="dxa"/>
            <w:noWrap w:val="0"/>
            <w:vAlign w:val="center"/>
          </w:tcPr>
          <w:p w14:paraId="05E45181">
            <w:pPr>
              <w:widowControl/>
              <w:spacing w:line="240" w:lineRule="exact"/>
              <w:jc w:val="left"/>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10</w:t>
            </w:r>
          </w:p>
        </w:tc>
        <w:tc>
          <w:tcPr>
            <w:tcW w:w="764" w:type="dxa"/>
            <w:noWrap w:val="0"/>
            <w:vAlign w:val="center"/>
          </w:tcPr>
          <w:p w14:paraId="079298A1">
            <w:pPr>
              <w:widowControl/>
              <w:spacing w:line="240" w:lineRule="exact"/>
              <w:jc w:val="left"/>
              <w:rPr>
                <w:rFonts w:hint="eastAsia" w:ascii="仿宋" w:hAnsi="仿宋" w:eastAsia="仿宋" w:cs="仿宋"/>
                <w:color w:val="000000"/>
                <w:kern w:val="0"/>
                <w:sz w:val="20"/>
                <w:szCs w:val="20"/>
              </w:rPr>
            </w:pPr>
            <w:r>
              <w:rPr>
                <w:rFonts w:hint="eastAsia" w:ascii="Times New Roman" w:hAnsi="Times New Roman" w:eastAsia="仿宋_GB2312" w:cs="Times New Roman"/>
                <w:color w:val="000000"/>
                <w:sz w:val="20"/>
                <w:szCs w:val="20"/>
                <w:lang w:val="en-US" w:eastAsia="zh-CN"/>
              </w:rPr>
              <w:t>10</w:t>
            </w:r>
          </w:p>
        </w:tc>
        <w:tc>
          <w:tcPr>
            <w:tcW w:w="1015" w:type="dxa"/>
            <w:noWrap w:val="0"/>
            <w:vAlign w:val="center"/>
          </w:tcPr>
          <w:p w14:paraId="35A293D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6F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147" w:type="dxa"/>
            <w:vMerge w:val="continue"/>
            <w:noWrap w:val="0"/>
            <w:vAlign w:val="center"/>
          </w:tcPr>
          <w:p w14:paraId="388A7E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39A7237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4EF531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30D765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60" w:type="dxa"/>
            <w:gridSpan w:val="2"/>
            <w:noWrap w:val="0"/>
            <w:vAlign w:val="center"/>
          </w:tcPr>
          <w:p w14:paraId="1A16F9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及时完成情况</w:t>
            </w:r>
          </w:p>
        </w:tc>
        <w:tc>
          <w:tcPr>
            <w:tcW w:w="1260" w:type="dxa"/>
            <w:gridSpan w:val="2"/>
            <w:noWrap w:val="0"/>
            <w:vAlign w:val="center"/>
          </w:tcPr>
          <w:p w14:paraId="1AB08B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2023年12月31日</w:t>
            </w:r>
          </w:p>
        </w:tc>
        <w:tc>
          <w:tcPr>
            <w:tcW w:w="1400" w:type="dxa"/>
            <w:noWrap w:val="0"/>
            <w:vAlign w:val="center"/>
          </w:tcPr>
          <w:p w14:paraId="52495B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在规定的时间内完成了工作</w:t>
            </w:r>
          </w:p>
        </w:tc>
        <w:tc>
          <w:tcPr>
            <w:tcW w:w="536" w:type="dxa"/>
            <w:noWrap w:val="0"/>
            <w:vAlign w:val="center"/>
          </w:tcPr>
          <w:p w14:paraId="078138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64" w:type="dxa"/>
            <w:noWrap w:val="0"/>
            <w:vAlign w:val="center"/>
          </w:tcPr>
          <w:p w14:paraId="7D5927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5" w:type="dxa"/>
            <w:noWrap w:val="0"/>
            <w:vAlign w:val="center"/>
          </w:tcPr>
          <w:p w14:paraId="715E07C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9A8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79C951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60A796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372A66D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42EC8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460" w:type="dxa"/>
            <w:gridSpan w:val="2"/>
            <w:noWrap w:val="0"/>
            <w:vAlign w:val="center"/>
          </w:tcPr>
          <w:p w14:paraId="7054ECD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成本控制</w:t>
            </w:r>
          </w:p>
        </w:tc>
        <w:tc>
          <w:tcPr>
            <w:tcW w:w="1260" w:type="dxa"/>
            <w:gridSpan w:val="2"/>
            <w:noWrap w:val="0"/>
            <w:vAlign w:val="center"/>
          </w:tcPr>
          <w:p w14:paraId="453312A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小于等于财政预算指标控制数</w:t>
            </w:r>
          </w:p>
        </w:tc>
        <w:tc>
          <w:tcPr>
            <w:tcW w:w="1400" w:type="dxa"/>
            <w:noWrap w:val="0"/>
            <w:vAlign w:val="center"/>
          </w:tcPr>
          <w:p w14:paraId="37F5984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预算调整率5.87%</w:t>
            </w:r>
          </w:p>
        </w:tc>
        <w:tc>
          <w:tcPr>
            <w:tcW w:w="536" w:type="dxa"/>
            <w:noWrap w:val="0"/>
            <w:vAlign w:val="center"/>
          </w:tcPr>
          <w:p w14:paraId="53FE91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64" w:type="dxa"/>
            <w:noWrap w:val="0"/>
            <w:vAlign w:val="center"/>
          </w:tcPr>
          <w:p w14:paraId="4719DD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w:t>
            </w:r>
          </w:p>
        </w:tc>
        <w:tc>
          <w:tcPr>
            <w:tcW w:w="1015" w:type="dxa"/>
            <w:noWrap w:val="0"/>
            <w:vAlign w:val="center"/>
          </w:tcPr>
          <w:p w14:paraId="521423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CD5A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1D23411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restart"/>
            <w:noWrap w:val="0"/>
            <w:vAlign w:val="center"/>
          </w:tcPr>
          <w:p w14:paraId="53A372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87A1C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20" w:type="dxa"/>
            <w:gridSpan w:val="2"/>
            <w:noWrap w:val="0"/>
            <w:vAlign w:val="center"/>
          </w:tcPr>
          <w:p w14:paraId="1FAA7A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FC61B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60" w:type="dxa"/>
            <w:gridSpan w:val="2"/>
            <w:noWrap w:val="0"/>
            <w:vAlign w:val="center"/>
          </w:tcPr>
          <w:p w14:paraId="2120E9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60" w:type="dxa"/>
            <w:gridSpan w:val="2"/>
            <w:noWrap w:val="0"/>
            <w:vAlign w:val="center"/>
          </w:tcPr>
          <w:p w14:paraId="19B8F0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0" w:type="dxa"/>
            <w:noWrap w:val="0"/>
            <w:vAlign w:val="center"/>
          </w:tcPr>
          <w:p w14:paraId="7CFD94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536" w:type="dxa"/>
            <w:noWrap w:val="0"/>
            <w:vAlign w:val="center"/>
          </w:tcPr>
          <w:p w14:paraId="4DE166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64" w:type="dxa"/>
            <w:noWrap w:val="0"/>
            <w:vAlign w:val="center"/>
          </w:tcPr>
          <w:p w14:paraId="6A9577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5" w:type="dxa"/>
            <w:noWrap w:val="0"/>
            <w:vAlign w:val="center"/>
          </w:tcPr>
          <w:p w14:paraId="03F164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5D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2E060D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7BBCB2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62F30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38B3E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60" w:type="dxa"/>
            <w:gridSpan w:val="2"/>
            <w:noWrap w:val="0"/>
            <w:vAlign w:val="center"/>
          </w:tcPr>
          <w:p w14:paraId="05FAE7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单位工作职能给社会增加的正面影响</w:t>
            </w:r>
          </w:p>
        </w:tc>
        <w:tc>
          <w:tcPr>
            <w:tcW w:w="1260" w:type="dxa"/>
            <w:gridSpan w:val="2"/>
            <w:noWrap w:val="0"/>
            <w:vAlign w:val="center"/>
          </w:tcPr>
          <w:p w14:paraId="3AA894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400" w:type="dxa"/>
            <w:noWrap w:val="0"/>
            <w:vAlign w:val="center"/>
          </w:tcPr>
          <w:p w14:paraId="6AB5617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高质量的决策参谋和文稿服务为市委市政府科学决策贡献了力量，得到了领导的充分肯定</w:t>
            </w:r>
          </w:p>
        </w:tc>
        <w:tc>
          <w:tcPr>
            <w:tcW w:w="536" w:type="dxa"/>
            <w:noWrap w:val="0"/>
            <w:vAlign w:val="center"/>
          </w:tcPr>
          <w:p w14:paraId="684DD0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764" w:type="dxa"/>
            <w:noWrap w:val="0"/>
            <w:vAlign w:val="center"/>
          </w:tcPr>
          <w:p w14:paraId="2D4E1B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15" w:type="dxa"/>
            <w:noWrap w:val="0"/>
            <w:vAlign w:val="center"/>
          </w:tcPr>
          <w:p w14:paraId="57C5559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31C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7696BE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145D2A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628114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5D69776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460" w:type="dxa"/>
            <w:gridSpan w:val="2"/>
            <w:noWrap w:val="0"/>
            <w:vAlign w:val="center"/>
          </w:tcPr>
          <w:p w14:paraId="0F2B4AC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60" w:type="dxa"/>
            <w:gridSpan w:val="2"/>
            <w:noWrap w:val="0"/>
            <w:vAlign w:val="center"/>
          </w:tcPr>
          <w:p w14:paraId="57C3A4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00" w:type="dxa"/>
            <w:noWrap w:val="0"/>
            <w:vAlign w:val="center"/>
          </w:tcPr>
          <w:p w14:paraId="31BE940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536" w:type="dxa"/>
            <w:noWrap w:val="0"/>
            <w:vAlign w:val="center"/>
          </w:tcPr>
          <w:p w14:paraId="21C061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64" w:type="dxa"/>
            <w:noWrap w:val="0"/>
            <w:vAlign w:val="center"/>
          </w:tcPr>
          <w:p w14:paraId="0DB181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15" w:type="dxa"/>
            <w:noWrap w:val="0"/>
            <w:vAlign w:val="center"/>
          </w:tcPr>
          <w:p w14:paraId="756696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60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2EABCE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720" w:type="dxa"/>
            <w:vMerge w:val="continue"/>
            <w:noWrap w:val="0"/>
            <w:vAlign w:val="center"/>
          </w:tcPr>
          <w:p w14:paraId="6E68C5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20" w:type="dxa"/>
            <w:gridSpan w:val="2"/>
            <w:noWrap w:val="0"/>
            <w:vAlign w:val="center"/>
          </w:tcPr>
          <w:p w14:paraId="220EE9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460" w:type="dxa"/>
            <w:gridSpan w:val="2"/>
            <w:noWrap w:val="0"/>
            <w:vAlign w:val="center"/>
          </w:tcPr>
          <w:p w14:paraId="2AC2C4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可持续影响情况</w:t>
            </w:r>
          </w:p>
        </w:tc>
        <w:tc>
          <w:tcPr>
            <w:tcW w:w="1260" w:type="dxa"/>
            <w:gridSpan w:val="2"/>
            <w:noWrap w:val="0"/>
            <w:vAlign w:val="center"/>
          </w:tcPr>
          <w:p w14:paraId="5ED5A5D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效果明显</w:t>
            </w:r>
          </w:p>
        </w:tc>
        <w:tc>
          <w:tcPr>
            <w:tcW w:w="1400" w:type="dxa"/>
            <w:noWrap w:val="0"/>
            <w:vAlign w:val="center"/>
          </w:tcPr>
          <w:p w14:paraId="6DFE5A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撰写的调研报告、请示对怀化发展起到了促进作用，而且是可持续的。</w:t>
            </w:r>
          </w:p>
        </w:tc>
        <w:tc>
          <w:tcPr>
            <w:tcW w:w="536" w:type="dxa"/>
            <w:noWrap w:val="0"/>
            <w:vAlign w:val="center"/>
          </w:tcPr>
          <w:p w14:paraId="79C4FF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764" w:type="dxa"/>
            <w:noWrap w:val="0"/>
            <w:vAlign w:val="center"/>
          </w:tcPr>
          <w:p w14:paraId="6C15D1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15" w:type="dxa"/>
            <w:noWrap w:val="0"/>
            <w:vAlign w:val="center"/>
          </w:tcPr>
          <w:p w14:paraId="447210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2B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7" w:type="dxa"/>
            <w:vMerge w:val="continue"/>
            <w:noWrap w:val="0"/>
            <w:vAlign w:val="center"/>
          </w:tcPr>
          <w:p w14:paraId="3733F9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720" w:type="dxa"/>
            <w:noWrap w:val="0"/>
            <w:vAlign w:val="center"/>
          </w:tcPr>
          <w:p w14:paraId="220EDE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A3C3A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0AA9D0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20" w:type="dxa"/>
            <w:gridSpan w:val="2"/>
            <w:noWrap w:val="0"/>
            <w:vAlign w:val="center"/>
          </w:tcPr>
          <w:p w14:paraId="4358BB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460" w:type="dxa"/>
            <w:gridSpan w:val="2"/>
            <w:noWrap w:val="0"/>
            <w:vAlign w:val="center"/>
          </w:tcPr>
          <w:p w14:paraId="724D40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社会公众满意度</w:t>
            </w:r>
          </w:p>
        </w:tc>
        <w:tc>
          <w:tcPr>
            <w:tcW w:w="1260" w:type="dxa"/>
            <w:gridSpan w:val="2"/>
            <w:noWrap w:val="0"/>
            <w:vAlign w:val="center"/>
          </w:tcPr>
          <w:p w14:paraId="7F1079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大于等于95%</w:t>
            </w:r>
          </w:p>
        </w:tc>
        <w:tc>
          <w:tcPr>
            <w:tcW w:w="1400" w:type="dxa"/>
            <w:noWrap w:val="0"/>
            <w:vAlign w:val="center"/>
          </w:tcPr>
          <w:p w14:paraId="4EDB950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536" w:type="dxa"/>
            <w:noWrap w:val="0"/>
            <w:vAlign w:val="center"/>
          </w:tcPr>
          <w:p w14:paraId="40E6C0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764" w:type="dxa"/>
            <w:noWrap w:val="0"/>
            <w:vAlign w:val="center"/>
          </w:tcPr>
          <w:p w14:paraId="101548E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1015" w:type="dxa"/>
            <w:noWrap w:val="0"/>
            <w:vAlign w:val="center"/>
          </w:tcPr>
          <w:p w14:paraId="45DDC2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23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07" w:type="dxa"/>
            <w:gridSpan w:val="9"/>
            <w:noWrap w:val="0"/>
            <w:vAlign w:val="center"/>
          </w:tcPr>
          <w:p w14:paraId="762EEF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36" w:type="dxa"/>
            <w:noWrap w:val="0"/>
            <w:vAlign w:val="center"/>
          </w:tcPr>
          <w:p w14:paraId="496D113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764" w:type="dxa"/>
            <w:noWrap w:val="0"/>
            <w:vAlign w:val="center"/>
          </w:tcPr>
          <w:p w14:paraId="15257AB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w:t>
            </w:r>
          </w:p>
        </w:tc>
        <w:tc>
          <w:tcPr>
            <w:tcW w:w="1015" w:type="dxa"/>
            <w:noWrap w:val="0"/>
            <w:vAlign w:val="center"/>
          </w:tcPr>
          <w:p w14:paraId="181933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911CE0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w:t>
      </w:r>
    </w:p>
    <w:p w14:paraId="47741665">
      <w:pPr>
        <w:rPr>
          <w:rFonts w:hint="default"/>
          <w:lang w:val="en-US" w:eastAsia="zh-CN"/>
        </w:rPr>
      </w:pPr>
      <w:r>
        <w:rPr>
          <w:rFonts w:hint="default"/>
          <w:lang w:val="en-US" w:eastAsia="zh-CN"/>
        </w:rPr>
        <w:br w:type="page"/>
      </w:r>
    </w:p>
    <w:p w14:paraId="392E26A5">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14:paraId="5F1BB9E2">
      <w:pPr>
        <w:pStyle w:val="5"/>
        <w:keepNext w:val="0"/>
        <w:keepLines w:val="0"/>
        <w:pageBreakBefore w:val="0"/>
        <w:kinsoku/>
        <w:wordWrap/>
        <w:topLinePunct w:val="0"/>
        <w:autoSpaceDE/>
        <w:autoSpaceDN/>
        <w:bidi w:val="0"/>
        <w:spacing w:line="600" w:lineRule="exact"/>
        <w:rPr>
          <w:rFonts w:hint="eastAsia"/>
          <w:lang w:val="en-US" w:eastAsia="zh-CN"/>
        </w:rPr>
      </w:pPr>
    </w:p>
    <w:p w14:paraId="17CFEC46">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14:paraId="637197BF">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14:paraId="450877BF">
      <w:pPr>
        <w:keepNext w:val="0"/>
        <w:keepLines w:val="0"/>
        <w:pageBreakBefore w:val="0"/>
        <w:numPr>
          <w:ilvl w:val="0"/>
          <w:numId w:val="0"/>
        </w:numPr>
        <w:kinsoku/>
        <w:wordWrap/>
        <w:overflowPunct/>
        <w:topLinePunct w:val="0"/>
        <w:autoSpaceDE/>
        <w:autoSpaceDN/>
        <w:bidi w:val="0"/>
        <w:spacing w:line="600" w:lineRule="exact"/>
        <w:ind w:firstLine="640" w:firstLineChars="200"/>
        <w:rPr>
          <w:rFonts w:hint="eastAsia" w:ascii="Times New Roman" w:hAnsi="Times New Roman" w:eastAsia="仿宋_GB2312" w:cs="Times New Roman"/>
          <w:sz w:val="32"/>
          <w:szCs w:val="32"/>
          <w:lang w:val="en-US" w:eastAsia="zh-CN"/>
        </w:rPr>
      </w:pPr>
    </w:p>
    <w:p w14:paraId="315CC6DC">
      <w:pPr>
        <w:pStyle w:val="5"/>
        <w:keepNext w:val="0"/>
        <w:keepLines w:val="0"/>
        <w:pageBreakBefore w:val="0"/>
        <w:kinsoku/>
        <w:wordWrap/>
        <w:topLinePunct w:val="0"/>
        <w:autoSpaceDE/>
        <w:autoSpaceDN/>
        <w:bidi w:val="0"/>
        <w:spacing w:line="600" w:lineRule="exact"/>
        <w:rPr>
          <w:rFonts w:hint="eastAsia" w:ascii="Times New Roman" w:hAnsi="Times New Roman" w:eastAsia="仿宋_GB2312" w:cs="Times New Roman"/>
          <w:sz w:val="32"/>
          <w:szCs w:val="32"/>
          <w:lang w:val="en-US" w:eastAsia="zh-CN"/>
        </w:rPr>
      </w:pPr>
    </w:p>
    <w:p w14:paraId="23AA333E">
      <w:pPr>
        <w:pStyle w:val="4"/>
        <w:keepNext w:val="0"/>
        <w:keepLines w:val="0"/>
        <w:pageBreakBefore w:val="0"/>
        <w:kinsoku/>
        <w:wordWrap/>
        <w:topLinePunct w:val="0"/>
        <w:autoSpaceDE/>
        <w:autoSpaceDN/>
        <w:bidi w:val="0"/>
        <w:spacing w:line="600" w:lineRule="exact"/>
        <w:rPr>
          <w:rFonts w:hint="eastAsia"/>
          <w:lang w:val="en-US" w:eastAsia="zh-CN"/>
        </w:rPr>
      </w:pPr>
    </w:p>
    <w:p w14:paraId="591F17B3">
      <w:pPr>
        <w:keepNext w:val="0"/>
        <w:keepLines w:val="0"/>
        <w:pageBreakBefore w:val="0"/>
        <w:kinsoku/>
        <w:wordWrap/>
        <w:topLinePunct w:val="0"/>
        <w:autoSpaceDE/>
        <w:autoSpaceDN/>
        <w:bidi w:val="0"/>
        <w:spacing w:line="600" w:lineRule="exact"/>
        <w:rPr>
          <w:rFonts w:hint="eastAsia"/>
          <w:lang w:val="en-US" w:eastAsia="zh-CN"/>
        </w:rPr>
      </w:pPr>
    </w:p>
    <w:p w14:paraId="339C6914">
      <w:pPr>
        <w:keepNext w:val="0"/>
        <w:keepLines w:val="0"/>
        <w:pageBreakBefore w:val="0"/>
        <w:kinsoku/>
        <w:wordWrap/>
        <w:topLinePunct w:val="0"/>
        <w:autoSpaceDE/>
        <w:autoSpaceDN/>
        <w:bidi w:val="0"/>
        <w:spacing w:line="600" w:lineRule="exact"/>
      </w:pPr>
    </w:p>
    <w:p w14:paraId="56D60066">
      <w:pPr>
        <w:spacing w:line="600" w:lineRule="exact"/>
        <w:ind w:firstLine="3520" w:firstLineChars="1100"/>
        <w:rPr>
          <w:rFonts w:ascii="Times New Roman" w:hAnsi="Times New Roman" w:eastAsia="楷体_GB2312" w:cs="Times New Roman"/>
          <w:sz w:val="32"/>
          <w:szCs w:val="32"/>
        </w:rPr>
      </w:pPr>
    </w:p>
    <w:p w14:paraId="32F09513">
      <w:pPr>
        <w:spacing w:line="600" w:lineRule="exact"/>
        <w:ind w:firstLine="3520" w:firstLineChars="1100"/>
        <w:rPr>
          <w:rFonts w:ascii="Times New Roman" w:hAnsi="Times New Roman" w:eastAsia="楷体_GB2312" w:cs="Times New Roman"/>
          <w:sz w:val="32"/>
          <w:szCs w:val="32"/>
        </w:rPr>
      </w:pPr>
    </w:p>
    <w:p w14:paraId="354E7A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3D68A4"/>
    <w:multiLevelType w:val="singleLevel"/>
    <w:tmpl w:val="DB3D68A4"/>
    <w:lvl w:ilvl="0" w:tentative="0">
      <w:start w:val="1"/>
      <w:numFmt w:val="chineseCounting"/>
      <w:suff w:val="nothing"/>
      <w:lvlText w:val="（%1）"/>
      <w:lvlJc w:val="left"/>
      <w:pPr>
        <w:ind w:left="624" w:leftChars="0" w:firstLine="0" w:firstLineChars="0"/>
      </w:pPr>
      <w:rPr>
        <w:rFonts w:hint="eastAsia"/>
      </w:rPr>
    </w:lvl>
  </w:abstractNum>
  <w:abstractNum w:abstractNumId="1">
    <w:nsid w:val="3A7E4FBE"/>
    <w:multiLevelType w:val="singleLevel"/>
    <w:tmpl w:val="3A7E4FBE"/>
    <w:lvl w:ilvl="0" w:tentative="0">
      <w:start w:val="2"/>
      <w:numFmt w:val="decimal"/>
      <w:lvlText w:val="%1."/>
      <w:lvlJc w:val="left"/>
      <w:pPr>
        <w:tabs>
          <w:tab w:val="left" w:pos="312"/>
        </w:tabs>
      </w:pPr>
    </w:lvl>
  </w:abstractNum>
  <w:abstractNum w:abstractNumId="2">
    <w:nsid w:val="44924D35"/>
    <w:multiLevelType w:val="singleLevel"/>
    <w:tmpl w:val="44924D35"/>
    <w:lvl w:ilvl="0" w:tentative="0">
      <w:start w:val="3"/>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hYmY1OTY5ZTRjM2UzNTU5ZDk3MGYzOTAzMGEzZDkifQ=="/>
  </w:docVars>
  <w:rsids>
    <w:rsidRoot w:val="4FA64E43"/>
    <w:rsid w:val="499631FF"/>
    <w:rsid w:val="4FA64E43"/>
    <w:rsid w:val="74B80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NormalIndent"/>
    <w:basedOn w:val="1"/>
    <w:qFormat/>
    <w:uiPriority w:val="0"/>
    <w:pPr>
      <w:widowControl w:val="0"/>
      <w:ind w:firstLine="200" w:firstLineChars="200"/>
      <w:jc w:val="both"/>
      <w:textAlignment w:val="baseline"/>
    </w:pPr>
    <w:rPr>
      <w:rFonts w:ascii="Calibri" w:hAnsi="Calibri" w:eastAsia="宋体" w:cs="Times New Roman"/>
      <w:kern w:val="2"/>
      <w:sz w:val="21"/>
      <w:szCs w:val="24"/>
      <w:lang w:val="en-US" w:eastAsia="zh-CN" w:bidi="ar-SA"/>
    </w:rPr>
  </w:style>
  <w:style w:type="paragraph" w:styleId="4">
    <w:name w:val="index 5"/>
    <w:basedOn w:val="1"/>
    <w:next w:val="1"/>
    <w:semiHidden/>
    <w:qFormat/>
    <w:uiPriority w:val="99"/>
    <w:pPr>
      <w:ind w:left="1680"/>
    </w:pPr>
  </w:style>
  <w:style w:type="paragraph" w:styleId="5">
    <w:name w:val="footer"/>
    <w:basedOn w:val="1"/>
    <w:next w:val="4"/>
    <w:qFormat/>
    <w:uiPriority w:val="0"/>
    <w:pPr>
      <w:tabs>
        <w:tab w:val="center" w:pos="4153"/>
        <w:tab w:val="right" w:pos="8306"/>
      </w:tabs>
      <w:snapToGrid w:val="0"/>
      <w:jc w:val="left"/>
    </w:pPr>
    <w:rPr>
      <w:sz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列出段落"/>
    <w:basedOn w:val="1"/>
    <w:qFormat/>
    <w:uiPriority w:val="0"/>
    <w:pPr>
      <w:ind w:firstLine="200" w:firstLineChars="200"/>
    </w:pPr>
    <w:rPr>
      <w:rFonts w:ascii="Calibri" w:hAnsi="Calibri"/>
      <w:szCs w:val="22"/>
    </w:rPr>
  </w:style>
  <w:style w:type="paragraph" w:customStyle="1" w:styleId="10">
    <w:name w:val="标题1"/>
    <w:basedOn w:val="3"/>
    <w:autoRedefine/>
    <w:qFormat/>
    <w:uiPriority w:val="0"/>
    <w:rPr>
      <w:rFonts w:eastAsia="黑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6916</Words>
  <Characters>7387</Characters>
  <Lines>0</Lines>
  <Paragraphs>0</Paragraphs>
  <TotalTime>3</TotalTime>
  <ScaleCrop>false</ScaleCrop>
  <LinksUpToDate>false</LinksUpToDate>
  <CharactersWithSpaces>7676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2024-06-28T03:34:00Z</dcterms:created>
  <dc:creator>澎澎</dc:creator>
  <cp:lastModifiedBy>牧思远</cp:lastModifiedBy>
  <dcterms:modified xsi:type="dcterms:W3CDTF">2024-09-20T02:45:42Z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8A0BCCFC8C0B40FF9322BAF1BE213D4E_11</vt:lpwstr>
  </property>
</Properties>
</file>