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3C807">
      <w:pPr>
        <w:widowControl/>
        <w:jc w:val="left"/>
        <w:rPr>
          <w:rFonts w:hint="eastAsia"/>
          <w:bCs/>
          <w:kern w:val="0"/>
          <w:sz w:val="32"/>
          <w:szCs w:val="32"/>
          <w:lang w:val="en-US" w:eastAsia="zh-CN"/>
        </w:rPr>
      </w:pPr>
    </w:p>
    <w:p w14:paraId="71E88228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怀化市人民政府研究室</w:t>
      </w:r>
    </w:p>
    <w:p w14:paraId="7F1591DD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年度部门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算公开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说明</w:t>
      </w:r>
    </w:p>
    <w:p w14:paraId="73778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</w:p>
    <w:p w14:paraId="0CF3D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center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目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录</w:t>
      </w:r>
    </w:p>
    <w:p w14:paraId="4109B33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"/>
        <w:jc w:val="left"/>
        <w:textAlignment w:val="auto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2025年部门预算说明</w:t>
      </w:r>
    </w:p>
    <w:p w14:paraId="284C407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 w14:paraId="4FF6E5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（一）部门职责</w:t>
      </w:r>
    </w:p>
    <w:p w14:paraId="62C41D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（二）机构设置情况</w:t>
      </w:r>
    </w:p>
    <w:p w14:paraId="7F75585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部门预算单位构成</w:t>
      </w:r>
    </w:p>
    <w:p w14:paraId="6ED8F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部门收支总体情况</w:t>
      </w:r>
    </w:p>
    <w:p w14:paraId="2C969994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一般公共预算财政拨款支出情况</w:t>
      </w:r>
    </w:p>
    <w:p w14:paraId="22E0CED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政府性基金支出情况</w:t>
      </w:r>
    </w:p>
    <w:p w14:paraId="4EFEAA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六、其他重要事项的情况说明</w:t>
      </w:r>
    </w:p>
    <w:p w14:paraId="1477883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60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“三公”经费</w:t>
      </w:r>
    </w:p>
    <w:p w14:paraId="14AF909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60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机关运行经费</w:t>
      </w:r>
    </w:p>
    <w:p w14:paraId="5AC72E5C">
      <w:pPr>
        <w:numPr>
          <w:ilvl w:val="0"/>
          <w:numId w:val="4"/>
        </w:numPr>
        <w:ind w:left="0" w:leftChars="0" w:firstLine="660" w:firstLineChars="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政府采购情况</w:t>
      </w:r>
    </w:p>
    <w:p w14:paraId="7B7F4D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（四）预算绩效管理情况</w:t>
      </w:r>
    </w:p>
    <w:p w14:paraId="1AD9A63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（五） 国有资产占用情况</w:t>
      </w:r>
    </w:p>
    <w:p w14:paraId="3CCAEF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（六）一般性支出情况</w:t>
      </w:r>
    </w:p>
    <w:p w14:paraId="011040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名词</w:t>
      </w:r>
      <w:r>
        <w:rPr>
          <w:rFonts w:hint="eastAsia" w:eastAsia="黑体"/>
          <w:b w:val="0"/>
          <w:bCs w:val="0"/>
          <w:sz w:val="32"/>
          <w:szCs w:val="32"/>
        </w:rPr>
        <w:t>解释</w:t>
      </w:r>
    </w:p>
    <w:p w14:paraId="773E6BF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32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第二部分 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2025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年部门预算表</w:t>
      </w:r>
      <w:r>
        <w:rPr>
          <w:rFonts w:hint="eastAsia" w:ascii="黑体" w:hAnsi="黑体" w:eastAsia="黑体" w:cs="黑体"/>
        </w:rPr>
        <w:t xml:space="preserve"> </w:t>
      </w:r>
    </w:p>
    <w:p w14:paraId="747FA62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sz w:val="32"/>
          <w:szCs w:val="32"/>
        </w:rPr>
        <w:t>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0D390487">
      <w:pPr>
        <w:numPr>
          <w:ilvl w:val="0"/>
          <w:numId w:val="0"/>
        </w:numPr>
        <w:ind w:firstLine="640" w:firstLineChars="20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sz w:val="32"/>
          <w:szCs w:val="32"/>
        </w:rPr>
        <w:t>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0079768A">
      <w:pPr>
        <w:numPr>
          <w:ilvl w:val="0"/>
          <w:numId w:val="0"/>
        </w:numPr>
        <w:ind w:firstLine="640" w:firstLineChars="20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eastAsia="仿宋_GB2312"/>
          <w:color w:val="000000"/>
          <w:sz w:val="32"/>
          <w:szCs w:val="32"/>
        </w:rPr>
        <w:t>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3BDFA977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sz w:val="32"/>
          <w:szCs w:val="32"/>
        </w:rPr>
        <w:t>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01B36274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34C3851B">
      <w:pPr>
        <w:numPr>
          <w:ilvl w:val="0"/>
          <w:numId w:val="0"/>
        </w:numPr>
        <w:ind w:firstLine="640" w:firstLineChars="20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6.本年一般公共预算基本支出预算表</w:t>
      </w:r>
    </w:p>
    <w:p w14:paraId="424C0994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2799609">
      <w:pPr>
        <w:numPr>
          <w:ilvl w:val="0"/>
          <w:numId w:val="0"/>
        </w:numPr>
        <w:ind w:firstLine="640" w:firstLineChars="20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DFB4AEB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本年项目支出预算表</w:t>
      </w:r>
    </w:p>
    <w:p w14:paraId="63A89575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10.国有资本经营预算支出预算表 </w:t>
      </w:r>
    </w:p>
    <w:p w14:paraId="5605A8A0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11.项目支出绩效目标表</w:t>
      </w:r>
    </w:p>
    <w:p w14:paraId="56629C87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  <w:r>
        <w:rPr>
          <w:rFonts w:eastAsia="仿宋_GB2312"/>
          <w:color w:val="000000"/>
          <w:sz w:val="32"/>
          <w:szCs w:val="32"/>
        </w:rPr>
        <w:t xml:space="preserve">12.部门整体支出绩效目标表 </w:t>
      </w:r>
      <w:bookmarkStart w:id="0" w:name="_GoBack"/>
      <w:bookmarkEnd w:id="0"/>
    </w:p>
    <w:p w14:paraId="3C5472FB">
      <w:pPr>
        <w:pStyle w:val="4"/>
        <w:keepNext w:val="0"/>
        <w:keepLines w:val="0"/>
        <w:widowControl/>
        <w:suppressLineNumbers w:val="0"/>
        <w:spacing w:before="100" w:beforeAutospacing="1" w:after="100" w:afterAutospacing="1"/>
        <w:ind w:left="0" w:right="0" w:firstLine="640"/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注：以上部门预算报表中，空表表示本部门无相关收支情况</w:t>
      </w:r>
      <w:r>
        <w:rPr>
          <w:rFonts w:hint="eastAsia" w:asci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。</w:t>
      </w:r>
    </w:p>
    <w:p w14:paraId="72456B81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5A942A28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59EE97FE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3BEF3E3F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01D3892C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55CD5EC6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4A530179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3E4FF2F6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br w:type="page"/>
      </w:r>
    </w:p>
    <w:p w14:paraId="0C073B6C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"/>
        <w:jc w:val="center"/>
        <w:textAlignment w:val="auto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2025年部门预算说明</w:t>
      </w:r>
    </w:p>
    <w:p w14:paraId="5DF32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eastAsia="黑体"/>
          <w:bCs/>
          <w:kern w:val="0"/>
          <w:sz w:val="32"/>
          <w:szCs w:val="32"/>
        </w:rPr>
      </w:pPr>
    </w:p>
    <w:p w14:paraId="65FAAB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 w14:paraId="0E78B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（一）部门职责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</w:p>
    <w:p w14:paraId="6651A2A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ascii="仿宋" w:hAnsi="仿宋" w:eastAsia="仿宋" w:cs="仿宋"/>
          <w:color w:val="3D3D3D"/>
          <w:sz w:val="32"/>
          <w:szCs w:val="32"/>
          <w:shd w:val="clear" w:color="auto" w:fill="FFFFFF"/>
        </w:rPr>
        <w:t>1.负责《政府工作报告》和市政府主要领导同志重要讲话、报告、文章的起草及有关新闻稿的审定。</w:t>
      </w:r>
    </w:p>
    <w:p w14:paraId="2441CA3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2.负责起草市政府向省委省政府的重要汇报材料；组织和协同有关方面起草、修改市政府的有关重要综合性文件；参与起草市委、市政府有关重要会议的文件。</w:t>
      </w:r>
    </w:p>
    <w:p w14:paraId="26E056A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3.负责牵头组织涉及全市经济建设、社会发展和改革开放等战略性、全局性、综合性重大问题的调查研究，及时综合归纳，提出供市政府决策的参考方案和政策性建议。</w:t>
      </w:r>
    </w:p>
    <w:p w14:paraId="2EC09E5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4.负责对市内外经济形势和社会发展政策进行分析和研究，提出政策建议；收集、分析、整理和报送经济社会发展的重要信息、动态，为市政府决策提供参考建议。</w:t>
      </w:r>
    </w:p>
    <w:p w14:paraId="36B48FF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5.负责市政府主要领导联络服务工作。</w:t>
      </w:r>
    </w:p>
    <w:p w14:paraId="2C97C04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6.负责组织全市政府系统经济研究工作人员的培训与业务交流。</w:t>
      </w:r>
    </w:p>
    <w:p w14:paraId="3654AAF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7.负责组织专家对全市经济社会发展的重大问题、重大决策、重大项目进行研究论证、提供咨询服务。</w:t>
      </w:r>
    </w:p>
    <w:p w14:paraId="0B82AA9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8.承办市委、市政府交办的其他事项。</w:t>
      </w:r>
    </w:p>
    <w:p w14:paraId="4240D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（二）机构设置情况</w:t>
      </w:r>
    </w:p>
    <w:p w14:paraId="6D5211A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怀化市人民政府研究室作为一级部门预算单位，内设科室为：办公室、综合调研一科、综合调研二科、综合调研三科。</w:t>
      </w:r>
    </w:p>
    <w:p w14:paraId="1A718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二、部门预算单位构成</w:t>
      </w:r>
    </w:p>
    <w:p w14:paraId="7B31D77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纳入</w:t>
      </w:r>
      <w:r>
        <w:rPr>
          <w:rFonts w:hint="eastAsia" w:ascii="Times New Roman" w:eastAsia="仿宋_GB2312" w:cs="Times New Roman"/>
          <w:color w:val="3D3D3D"/>
          <w:sz w:val="32"/>
          <w:szCs w:val="32"/>
          <w:shd w:val="clear" w:color="auto" w:fill="FFFFFF"/>
          <w:lang w:eastAsia="zh-CN"/>
        </w:rPr>
        <w:t>2025</w:t>
      </w:r>
      <w:r>
        <w:rPr>
          <w:rFonts w:hint="default"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年怀化市人民政府研究室部门预算编制范围的预算单位包括：怀化市人民政府研究室本级。</w:t>
      </w:r>
    </w:p>
    <w:p w14:paraId="35BE0A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部门收支总体情况</w:t>
      </w:r>
    </w:p>
    <w:p w14:paraId="30F2AE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2025年部门预算包括本单位预算内的收支情况。</w:t>
      </w:r>
    </w:p>
    <w:p w14:paraId="63874A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（一）收入预算，2025年年初预算数</w:t>
      </w:r>
      <w:r>
        <w:rPr>
          <w:rFonts w:hint="eastAsia" w:eastAsia="仿宋_GB2312"/>
          <w:sz w:val="32"/>
          <w:szCs w:val="32"/>
          <w:lang w:val="en-US" w:eastAsia="zh-CN"/>
        </w:rPr>
        <w:t>302.04</w:t>
      </w:r>
      <w:r>
        <w:rPr>
          <w:rFonts w:hint="eastAsia" w:eastAsia="仿宋_GB2312"/>
          <w:sz w:val="32"/>
          <w:szCs w:val="32"/>
          <w:lang w:eastAsia="zh-CN"/>
        </w:rPr>
        <w:t>万元，其中，一般公共预算拨款</w:t>
      </w:r>
      <w:r>
        <w:rPr>
          <w:rFonts w:hint="eastAsia" w:eastAsia="仿宋_GB2312"/>
          <w:sz w:val="32"/>
          <w:szCs w:val="32"/>
          <w:lang w:val="en-US" w:eastAsia="zh-CN"/>
        </w:rPr>
        <w:t>302.04</w:t>
      </w:r>
      <w:r>
        <w:rPr>
          <w:rFonts w:hint="eastAsia" w:eastAsia="仿宋_GB2312"/>
          <w:sz w:val="32"/>
          <w:szCs w:val="32"/>
          <w:lang w:eastAsia="zh-CN"/>
        </w:rPr>
        <w:t>万元，政府性基金预算拨款</w:t>
      </w:r>
      <w:r>
        <w:rPr>
          <w:rFonts w:hint="eastAsia" w:eastAsia="仿宋_GB2312"/>
          <w:sz w:val="32"/>
          <w:szCs w:val="32"/>
          <w:lang w:val="en-US" w:eastAsia="zh-CN"/>
        </w:rPr>
        <w:t>0万元，</w:t>
      </w:r>
      <w:r>
        <w:rPr>
          <w:rFonts w:hint="eastAsia" w:eastAsia="仿宋_GB2312"/>
          <w:sz w:val="32"/>
          <w:szCs w:val="32"/>
          <w:lang w:eastAsia="zh-CN"/>
        </w:rPr>
        <w:t>纳入财政专户管理的非税收入拨款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万元，国有资本经营预算拨款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压减公用经费和专项支出后，同口径对比，收入较上年减少57.58万元，主要原因是人员类经费和专项业务工作经费减少。</w:t>
      </w:r>
    </w:p>
    <w:p w14:paraId="0D0CF2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</w:rPr>
      </w:pPr>
      <w:r>
        <w:rPr>
          <w:rFonts w:hint="eastAsia" w:eastAsia="仿宋_GB2312"/>
          <w:sz w:val="32"/>
          <w:szCs w:val="32"/>
          <w:lang w:eastAsia="zh-CN"/>
        </w:rPr>
        <w:t>（二）支出预算，2025年年初预算数</w:t>
      </w:r>
      <w:r>
        <w:rPr>
          <w:rFonts w:hint="eastAsia" w:eastAsia="仿宋_GB2312"/>
          <w:sz w:val="32"/>
          <w:szCs w:val="32"/>
          <w:lang w:val="en-US" w:eastAsia="zh-CN"/>
        </w:rPr>
        <w:t>302.04</w:t>
      </w:r>
      <w:r>
        <w:rPr>
          <w:rFonts w:hint="eastAsia" w:eastAsia="仿宋_GB2312"/>
          <w:sz w:val="32"/>
          <w:szCs w:val="32"/>
          <w:lang w:eastAsia="zh-CN"/>
        </w:rPr>
        <w:t>万元，其中，</w:t>
      </w:r>
      <w:r>
        <w:rPr>
          <w:rFonts w:hint="default" w:eastAsia="仿宋_GB2312"/>
          <w:sz w:val="32"/>
          <w:szCs w:val="32"/>
          <w:lang w:eastAsia="zh-CN"/>
        </w:rPr>
        <w:t>全部为</w:t>
      </w:r>
      <w:r>
        <w:rPr>
          <w:rFonts w:hint="default"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一般公共服务支出。</w:t>
      </w:r>
      <w:r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  <w:lang w:eastAsia="zh-CN"/>
        </w:rPr>
        <w:t>压减公用经费和专项支出后，同口径对比，</w:t>
      </w:r>
      <w:r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支出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较上年减少57.58万元，主要原因是人员类经费和专项业务工作经费减少。</w:t>
      </w:r>
    </w:p>
    <w:p w14:paraId="472B0E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（三）公开表格，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部门预算公开表格共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12</w:t>
      </w:r>
      <w:r>
        <w:rPr>
          <w:rFonts w:eastAsia="仿宋_GB2312"/>
          <w:color w:val="000000"/>
          <w:sz w:val="32"/>
          <w:szCs w:val="32"/>
        </w:rPr>
        <w:t>张，包括：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部门</w:t>
      </w:r>
      <w:r>
        <w:rPr>
          <w:rFonts w:eastAsia="仿宋_GB2312"/>
          <w:color w:val="000000"/>
          <w:sz w:val="32"/>
          <w:szCs w:val="32"/>
        </w:rPr>
        <w:t>收支总表3张，即《收支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总表》《收入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表》《支出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表》；财政拨款收支表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eastAsia="仿宋_GB2312"/>
          <w:color w:val="000000"/>
          <w:sz w:val="32"/>
          <w:szCs w:val="32"/>
        </w:rPr>
        <w:t>张，即《财政拨款收支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总表》《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表》《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一般公共预算基本支出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表》《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表》《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表》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《本年项目支出预算表》；《</w:t>
      </w:r>
      <w:r>
        <w:rPr>
          <w:rFonts w:eastAsia="仿宋_GB2312"/>
          <w:color w:val="000000"/>
          <w:sz w:val="32"/>
          <w:szCs w:val="32"/>
        </w:rPr>
        <w:t>国有资本经营预算支出预算表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》、《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项目支出绩效表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》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和《部门整体支出绩效目标表》</w:t>
      </w:r>
      <w:r>
        <w:rPr>
          <w:rFonts w:hint="eastAsia" w:ascii="仿宋_GB2312" w:eastAsia="仿宋_GB2312"/>
          <w:kern w:val="0"/>
          <w:sz w:val="32"/>
          <w:szCs w:val="32"/>
        </w:rPr>
        <w:t>（公开表格附后）。</w:t>
      </w:r>
    </w:p>
    <w:p w14:paraId="4C56F4C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四、一般公共预算财政拨款收支情况</w:t>
      </w:r>
    </w:p>
    <w:p w14:paraId="7A4730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val="en-US"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32"/>
          <w:lang w:val="en-US" w:eastAsia="zh-CN"/>
        </w:rPr>
        <w:t>2025年一般公共预算拨款收入</w:t>
      </w:r>
      <w:r>
        <w:rPr>
          <w:rFonts w:hint="eastAsia" w:eastAsia="仿宋_GB2312"/>
          <w:sz w:val="32"/>
          <w:szCs w:val="32"/>
          <w:lang w:eastAsia="zh-CN"/>
        </w:rPr>
        <w:t>为</w:t>
      </w:r>
      <w:r>
        <w:rPr>
          <w:rFonts w:hint="eastAsia" w:eastAsia="仿宋_GB2312"/>
          <w:sz w:val="32"/>
          <w:szCs w:val="32"/>
          <w:lang w:val="en-US" w:eastAsia="zh-CN"/>
        </w:rPr>
        <w:t>302.04</w:t>
      </w:r>
      <w:r>
        <w:rPr>
          <w:rFonts w:hint="eastAsia" w:eastAsia="仿宋_GB2312"/>
          <w:sz w:val="32"/>
          <w:szCs w:val="32"/>
          <w:lang w:eastAsia="zh-CN"/>
        </w:rPr>
        <w:t>万元，具体安排情况如下：</w:t>
      </w:r>
    </w:p>
    <w:p w14:paraId="116176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基本支出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eastAsia="zh-CN"/>
        </w:rPr>
        <w:t>2025年年初预算数为</w:t>
      </w:r>
      <w:r>
        <w:rPr>
          <w:rFonts w:hint="eastAsia" w:eastAsia="仿宋_GB2312"/>
          <w:sz w:val="32"/>
          <w:szCs w:val="32"/>
          <w:lang w:val="en-US" w:eastAsia="zh-CN"/>
        </w:rPr>
        <w:t>242.04</w:t>
      </w:r>
      <w:r>
        <w:rPr>
          <w:rFonts w:hint="eastAsia" w:eastAsia="仿宋_GB2312"/>
          <w:sz w:val="32"/>
          <w:szCs w:val="32"/>
          <w:lang w:eastAsia="zh-CN"/>
        </w:rPr>
        <w:t>万元，是指为保障单位机构正常运转、完成日常工作任务而发生的各项支出，包括用于基本工资</w:t>
      </w:r>
      <w:r>
        <w:rPr>
          <w:rFonts w:hint="eastAsia" w:eastAsia="仿宋_GB2312"/>
          <w:sz w:val="32"/>
          <w:szCs w:val="32"/>
          <w:lang w:val="en-US" w:eastAsia="zh-CN"/>
        </w:rPr>
        <w:t>59.12万元</w:t>
      </w:r>
      <w:r>
        <w:rPr>
          <w:rFonts w:hint="eastAsia" w:eastAsia="仿宋_GB2312"/>
          <w:sz w:val="32"/>
          <w:szCs w:val="32"/>
          <w:lang w:eastAsia="zh-CN"/>
        </w:rPr>
        <w:t>、津贴补贴</w:t>
      </w:r>
      <w:r>
        <w:rPr>
          <w:rFonts w:hint="eastAsia" w:eastAsia="仿宋_GB2312"/>
          <w:sz w:val="32"/>
          <w:szCs w:val="32"/>
          <w:lang w:val="en-US" w:eastAsia="zh-CN"/>
        </w:rPr>
        <w:t>34.51万元、</w:t>
      </w:r>
      <w:r>
        <w:rPr>
          <w:rFonts w:hint="eastAsia" w:eastAsia="仿宋_GB2312"/>
          <w:sz w:val="32"/>
          <w:szCs w:val="32"/>
          <w:lang w:eastAsia="zh-CN"/>
        </w:rPr>
        <w:t>奖金</w:t>
      </w:r>
      <w:r>
        <w:rPr>
          <w:rFonts w:hint="eastAsia" w:eastAsia="仿宋_GB2312"/>
          <w:sz w:val="32"/>
          <w:szCs w:val="32"/>
          <w:lang w:val="en-US" w:eastAsia="zh-CN"/>
        </w:rPr>
        <w:t>46.11</w:t>
      </w:r>
      <w:r>
        <w:rPr>
          <w:rFonts w:hint="eastAsia" w:eastAsia="仿宋_GB2312"/>
          <w:sz w:val="32"/>
          <w:szCs w:val="32"/>
          <w:lang w:eastAsia="zh-CN"/>
        </w:rPr>
        <w:t>万</w:t>
      </w:r>
      <w:r>
        <w:rPr>
          <w:rFonts w:hint="eastAsia" w:eastAsia="仿宋_GB2312"/>
          <w:sz w:val="32"/>
          <w:szCs w:val="32"/>
          <w:lang w:val="en-US" w:eastAsia="zh-CN"/>
        </w:rPr>
        <w:t>元</w:t>
      </w:r>
      <w:r>
        <w:rPr>
          <w:rFonts w:hint="eastAsia" w:eastAsia="仿宋_GB2312"/>
          <w:sz w:val="32"/>
          <w:szCs w:val="32"/>
          <w:lang w:eastAsia="zh-CN"/>
        </w:rPr>
        <w:t>、</w:t>
      </w:r>
      <w:r>
        <w:rPr>
          <w:rFonts w:hint="eastAsia" w:eastAsia="仿宋_GB2312"/>
          <w:sz w:val="32"/>
          <w:szCs w:val="32"/>
          <w:lang w:val="en-US" w:eastAsia="zh-CN"/>
        </w:rPr>
        <w:t>机关事业单位养老保险缴费20.12万元、职工基本医疗保险缴费7.89万元、住房公积金16.77万元、其他交通费12.48万元、福利费2.96万元、工会经费</w:t>
      </w:r>
      <w:r>
        <w:rPr>
          <w:rFonts w:hint="default" w:eastAsia="仿宋_GB2312"/>
          <w:sz w:val="32"/>
          <w:szCs w:val="32"/>
          <w:lang w:eastAsia="zh-CN"/>
        </w:rPr>
        <w:t>1</w:t>
      </w:r>
      <w:r>
        <w:rPr>
          <w:rFonts w:hint="eastAsia" w:eastAsia="仿宋_GB2312"/>
          <w:sz w:val="32"/>
          <w:szCs w:val="32"/>
          <w:lang w:val="en-US" w:eastAsia="zh-CN"/>
        </w:rPr>
        <w:t>3.87万元、其他商品和服务支出8.81万元、维修费3万元、邮电费2万元、办公费9.4万元、公务接待费2万元、其他对个人和家庭的补助3万元</w:t>
      </w:r>
      <w:r>
        <w:rPr>
          <w:rFonts w:hint="eastAsia" w:eastAsia="仿宋_GB2312"/>
          <w:sz w:val="32"/>
          <w:szCs w:val="32"/>
        </w:rPr>
        <w:t>；</w:t>
      </w:r>
    </w:p>
    <w:p w14:paraId="19BC1B1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eastAsia="仿宋_GB2312"/>
          <w:sz w:val="32"/>
          <w:szCs w:val="32"/>
          <w:lang w:val="en-US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</w:rPr>
        <w:t>项目支出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2025年年初预算数为60万元，是指单位为完成特定行政工作任务或事业发展目标而发生的支出，为《政府工作报告》起草和文稿服务工作经费；政策研究、决策咨询和课题经费60</w:t>
      </w:r>
      <w:r>
        <w:rPr>
          <w:rFonts w:hint="eastAsia" w:eastAsia="仿宋_GB2312"/>
          <w:sz w:val="32"/>
          <w:szCs w:val="32"/>
          <w:lang w:eastAsia="zh-CN"/>
        </w:rPr>
        <w:t>万元，主</w:t>
      </w: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是用于开展政府工作报告起草、</w:t>
      </w:r>
      <w:r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  <w:lang w:eastAsia="zh-CN"/>
        </w:rPr>
        <w:t>文稿起草、</w:t>
      </w: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课题调研、业务培训等日常工作发生的各项支出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6F5D05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五、政府性基金支出情况</w:t>
      </w:r>
    </w:p>
    <w:p w14:paraId="6AE4E7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Times New Roman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宋体" w:eastAsia="仿宋_GB2312" w:cs="宋体"/>
          <w:kern w:val="0"/>
          <w:sz w:val="32"/>
          <w:szCs w:val="32"/>
          <w:lang w:val="en-US" w:eastAsia="zh-CN" w:bidi="ar-SA"/>
        </w:rPr>
        <w:t>2025</w:t>
      </w:r>
      <w:r>
        <w:rPr>
          <w:rFonts w:hint="eastAsia" w:ascii="宋体" w:hAnsi="Times New Roman" w:eastAsia="仿宋_GB2312" w:cs="宋体"/>
          <w:kern w:val="0"/>
          <w:sz w:val="32"/>
          <w:szCs w:val="32"/>
          <w:lang w:val="en-US" w:eastAsia="zh-CN" w:bidi="ar-SA"/>
        </w:rPr>
        <w:t>年无政府性基金预算支出。</w:t>
      </w:r>
    </w:p>
    <w:p w14:paraId="09BD1A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六、其他重要事项的情况说明</w:t>
      </w:r>
    </w:p>
    <w:p w14:paraId="30B14E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（一）“三公”经费预算</w:t>
      </w:r>
    </w:p>
    <w:p w14:paraId="0598D3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textAlignment w:val="auto"/>
        <w:outlineLvl w:val="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/>
          <w:b/>
          <w:bCs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2025年市政府研究室安排“三公”经费预算数为2万元，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其中，公务接待费2万元，公务用车购置费0万元，公务用车运行费0万元，因公出国（境）费0万元。2025年“三公”经费预算较上年预算数无变化，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无公务用车运行费和公务用车购置费。</w:t>
      </w:r>
    </w:p>
    <w:p w14:paraId="135805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（二）机关运行经费</w:t>
      </w:r>
    </w:p>
    <w:p w14:paraId="28B953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 xml:space="preserve"> 2025年市政府研究室机关运行经费45.5万元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压减公用经费后安排36.4万元，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同口径对比，比上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预算数减少2.8万元，增加7.14%，主要因为人员减少。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主要用于：工会经费支出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万元、办公费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9.4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万元、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邮电费2万元、接待费2万元、维修费3万元、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其他商品和服务支出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万元等。</w:t>
      </w:r>
    </w:p>
    <w:p w14:paraId="2E6BD5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 xml:space="preserve">    （三）政府采购情况</w:t>
      </w:r>
    </w:p>
    <w:p w14:paraId="477514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2025年</w:t>
      </w:r>
      <w:r>
        <w:rPr>
          <w:rFonts w:hint="eastAsia" w:eastAsia="仿宋_GB2312"/>
          <w:sz w:val="32"/>
          <w:szCs w:val="32"/>
          <w:lang w:eastAsia="zh-CN"/>
        </w:rPr>
        <w:t>市政府研究室</w:t>
      </w:r>
      <w:r>
        <w:rPr>
          <w:rFonts w:hint="eastAsia" w:eastAsia="仿宋_GB2312"/>
          <w:sz w:val="32"/>
          <w:szCs w:val="32"/>
          <w:lang w:val="en-US" w:eastAsia="zh-CN"/>
        </w:rPr>
        <w:t>政府采购预算总额40.5万元，其中，政府采购货物预算40.5万元、政府采购工程预算0万元、政府采购服务预算0万元</w:t>
      </w:r>
      <w:r>
        <w:rPr>
          <w:rFonts w:hint="eastAsia" w:eastAsia="仿宋_GB2312"/>
          <w:sz w:val="32"/>
          <w:szCs w:val="32"/>
        </w:rPr>
        <w:t>。</w:t>
      </w:r>
    </w:p>
    <w:p w14:paraId="4575BC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（四）预算绩效管理情况</w:t>
      </w:r>
    </w:p>
    <w:p w14:paraId="2DEC92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按照市本级预算绩效管理工作的总体要求，2025年我单位整体支出</w:t>
      </w:r>
      <w:r>
        <w:rPr>
          <w:rFonts w:hint="eastAsia" w:eastAsia="仿宋_GB2312"/>
          <w:sz w:val="32"/>
          <w:szCs w:val="32"/>
          <w:lang w:val="en-US" w:eastAsia="zh-CN"/>
        </w:rPr>
        <w:t>302.04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万元，全部实行整体支出绩效目标管理，编报绩效目标的项目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个，涉及项目支出</w:t>
      </w:r>
      <w:r>
        <w:rPr>
          <w:rFonts w:hint="eastAsia" w:eastAsia="仿宋_GB2312"/>
          <w:sz w:val="32"/>
          <w:szCs w:val="32"/>
          <w:lang w:val="en-US" w:eastAsia="zh-CN"/>
        </w:rPr>
        <w:t>60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万元，其中</w:t>
      </w:r>
      <w:r>
        <w:rPr>
          <w:rFonts w:hint="eastAsia" w:eastAsia="仿宋_GB2312"/>
          <w:sz w:val="32"/>
          <w:szCs w:val="32"/>
          <w:lang w:eastAsia="zh-CN"/>
        </w:rPr>
        <w:t>专</w:t>
      </w:r>
      <w:r>
        <w:rPr>
          <w:rFonts w:hint="eastAsia" w:eastAsia="仿宋_GB2312"/>
          <w:sz w:val="32"/>
          <w:szCs w:val="32"/>
          <w:lang w:val="en-US" w:eastAsia="zh-CN"/>
        </w:rPr>
        <w:t>《政府工作报告》起草和文稿服务工作经费；政策研究、决策咨询和课题经费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60万元，全部实行项目支出绩效目标管理。</w:t>
      </w:r>
    </w:p>
    <w:p w14:paraId="677F0E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（五） 国有资产占用情况</w:t>
      </w:r>
    </w:p>
    <w:p w14:paraId="78CF60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1.截至2024年12月31日，本部门无车辆，无50万元以上的专用设备。</w:t>
      </w:r>
    </w:p>
    <w:p w14:paraId="74715A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2.2025年，本部门无新增车辆，无新增50万元以上的通用设备和专用设备。</w:t>
      </w:r>
    </w:p>
    <w:p w14:paraId="499300F3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一般性支出情况</w:t>
      </w:r>
    </w:p>
    <w:p w14:paraId="4FF2C3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1.2025年本部门无会议费预算。</w:t>
      </w:r>
    </w:p>
    <w:p w14:paraId="28702E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2025年，本部门培训费预算4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万元，具体为：市政府研究室系统业务培训，内容为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文稿写作培训，</w:t>
      </w:r>
      <w:r>
        <w:rPr>
          <w:rFonts w:hint="eastAsia" w:eastAsia="仿宋_GB2312"/>
          <w:color w:val="auto"/>
          <w:sz w:val="32"/>
          <w:szCs w:val="32"/>
          <w:lang w:eastAsia="zh-CN"/>
        </w:rPr>
        <w:t>预计人数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70</w:t>
      </w:r>
      <w:r>
        <w:rPr>
          <w:rFonts w:hint="eastAsia" w:eastAsia="仿宋_GB2312"/>
          <w:color w:val="auto"/>
          <w:sz w:val="32"/>
          <w:szCs w:val="32"/>
          <w:lang w:eastAsia="zh-CN"/>
        </w:rPr>
        <w:t>人，预算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万元。</w:t>
      </w:r>
    </w:p>
    <w:p w14:paraId="18D641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/>
        <w:jc w:val="left"/>
        <w:textAlignment w:val="auto"/>
        <w:outlineLvl w:val="9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2025年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本部门无举办节庆、晚会、论坛、赛事等预算。</w:t>
      </w:r>
    </w:p>
    <w:p w14:paraId="50B554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七、</w:t>
      </w:r>
      <w:r>
        <w:rPr>
          <w:rFonts w:hint="eastAsia" w:eastAsia="黑体"/>
          <w:sz w:val="32"/>
          <w:szCs w:val="32"/>
        </w:rPr>
        <w:t>专业名词解释</w:t>
      </w:r>
    </w:p>
    <w:p w14:paraId="169C45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1.机关运行经费：</w:t>
      </w:r>
      <w:r>
        <w:rPr>
          <w:rFonts w:hint="eastAsia" w:eastAsia="仿宋_GB2312"/>
          <w:sz w:val="32"/>
          <w:szCs w:val="32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77090C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2.“三公”经费：</w:t>
      </w:r>
      <w:r>
        <w:rPr>
          <w:rFonts w:hint="eastAsia" w:eastAsia="仿宋_GB2312"/>
          <w:sz w:val="32"/>
          <w:szCs w:val="32"/>
          <w:lang w:val="en-US" w:eastAsia="zh-CN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2F1B3A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507545C2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"/>
        <w:jc w:val="center"/>
        <w:textAlignment w:val="auto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2025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年部门预算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公开表</w:t>
      </w:r>
    </w:p>
    <w:p w14:paraId="52ABA4C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320" w:leftChars="0" w:right="0" w:rightChars="0"/>
        <w:jc w:val="both"/>
        <w:textAlignment w:val="auto"/>
        <w:rPr>
          <w:rFonts w:hint="eastAsia" w:eastAsia="黑体"/>
          <w:bCs/>
          <w:kern w:val="0"/>
          <w:sz w:val="32"/>
          <w:szCs w:val="32"/>
        </w:rPr>
      </w:pPr>
    </w:p>
    <w:p w14:paraId="370FA72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见附表</w:t>
      </w:r>
    </w:p>
    <w:p w14:paraId="26AB17EE"/>
    <w:p w14:paraId="084E5107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61251C-2654-4C50-B874-ECF726F2DC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F921261-3B28-40F2-BCEA-F316DD980F3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C08979E-7934-48B9-9BF7-4641D0F1BC8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64FE155-0D69-454B-81EC-A98EEF7B236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9321A97-B720-4600-9424-5C879AC3318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DF943B5-5425-44E6-B9BE-114637F0485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1BA7EF0D-0123-4037-962B-2D316861AE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A6D7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48567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3787A">
                          <w:pPr>
                            <w:pStyle w:val="2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NR4T90AAAAAIBAAAPAAAAAAAAAAEAIAAAACIAAABkcnMvZG93bnJl&#10;di54bWxQSwECFAAUAAAACACHTuJAOF6AXc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43787A">
                    <w:pPr>
                      <w:pStyle w:val="2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6D06C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A09196"/>
    <w:multiLevelType w:val="singleLevel"/>
    <w:tmpl w:val="D3A09196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E3DDE686"/>
    <w:multiLevelType w:val="singleLevel"/>
    <w:tmpl w:val="E3DDE686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E421EE9E"/>
    <w:multiLevelType w:val="singleLevel"/>
    <w:tmpl w:val="E421EE9E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abstractNum w:abstractNumId="5">
    <w:nsid w:val="5A7FA95D"/>
    <w:multiLevelType w:val="singleLevel"/>
    <w:tmpl w:val="5A7FA95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10E8B"/>
    <w:rsid w:val="12110E8B"/>
    <w:rsid w:val="6B48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2630</Words>
  <Characters>2841</Characters>
  <Lines>0</Lines>
  <Paragraphs>0</Paragraphs>
  <TotalTime>0</TotalTime>
  <ScaleCrop>false</ScaleCrop>
  <LinksUpToDate>false</LinksUpToDate>
  <CharactersWithSpaces>2877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2025-01-24T07:46:00Z</dcterms:created>
  <dc:creator>澎澎</dc:creator>
  <cp:lastModifiedBy>澎澎</cp:lastModifiedBy>
  <dcterms:modified xsi:type="dcterms:W3CDTF">2025-02-04T14:20:59Z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C4B326341A3447E6B05CA2327982F62E_13</vt:lpwstr>
  </property>
  <property fmtid="{D5CDD505-2E9C-101B-9397-08002B2CF9AE}" pid="4" name="KSOTemplateDocerSaveRecord">
    <vt:lpwstr>eyJoZGlkIjoiNzY4YTMzNTQ2NjU2ZmE4NDc2YWVjMzkyNTIxMjc3NjUiLCJ1c2VySWQiOiIzMjQ2MTc4NzIifQ==</vt:lpwstr>
  </property>
</Properties>
</file>