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06DB0">
      <w:pPr>
        <w:jc w:val="center"/>
        <w:rPr>
          <w:rFonts w:ascii="Times New Roman" w:hAnsi="Times New Roman" w:eastAsia="方正小标宋_GBK" w:cs="Times New Roman"/>
          <w:sz w:val="52"/>
          <w:szCs w:val="52"/>
          <w:highlight w:val="none"/>
        </w:rPr>
      </w:pPr>
    </w:p>
    <w:p w14:paraId="1A6FBB78">
      <w:pPr>
        <w:jc w:val="center"/>
        <w:rPr>
          <w:rFonts w:ascii="Times New Roman" w:hAnsi="Times New Roman" w:eastAsia="方正小标宋_GBK" w:cs="Times New Roman"/>
          <w:sz w:val="52"/>
          <w:szCs w:val="52"/>
          <w:highlight w:val="none"/>
        </w:rPr>
      </w:pPr>
    </w:p>
    <w:p w14:paraId="3424599D">
      <w:pPr>
        <w:jc w:val="center"/>
        <w:rPr>
          <w:rFonts w:ascii="Times New Roman" w:hAnsi="Times New Roman" w:eastAsia="方正小标宋_GBK" w:cs="Times New Roman"/>
          <w:sz w:val="52"/>
          <w:szCs w:val="52"/>
          <w:highlight w:val="none"/>
        </w:rPr>
      </w:pPr>
    </w:p>
    <w:p w14:paraId="480DC638">
      <w:pPr>
        <w:jc w:val="center"/>
        <w:rPr>
          <w:rFonts w:hint="eastAsia" w:ascii="黑体" w:hAnsi="黑体" w:eastAsia="黑体" w:cs="黑体"/>
          <w:sz w:val="52"/>
          <w:szCs w:val="52"/>
          <w:highlight w:val="none"/>
          <w:lang w:eastAsia="zh-CN"/>
        </w:rPr>
      </w:pPr>
      <w:r>
        <w:rPr>
          <w:rFonts w:hint="eastAsia" w:ascii="黑体" w:hAnsi="黑体" w:eastAsia="黑体" w:cs="黑体"/>
          <w:sz w:val="52"/>
          <w:szCs w:val="52"/>
          <w:highlight w:val="none"/>
        </w:rPr>
        <w:t>202</w:t>
      </w:r>
      <w:r>
        <w:rPr>
          <w:rFonts w:hint="eastAsia" w:ascii="黑体" w:hAnsi="黑体" w:eastAsia="黑体" w:cs="黑体"/>
          <w:sz w:val="52"/>
          <w:szCs w:val="52"/>
          <w:highlight w:val="none"/>
          <w:lang w:val="en-US" w:eastAsia="zh-CN"/>
        </w:rPr>
        <w:t>2</w:t>
      </w:r>
      <w:r>
        <w:rPr>
          <w:rFonts w:hint="eastAsia" w:ascii="黑体" w:hAnsi="黑体" w:eastAsia="黑体" w:cs="黑体"/>
          <w:sz w:val="52"/>
          <w:szCs w:val="52"/>
          <w:highlight w:val="none"/>
        </w:rPr>
        <w:t>年</w:t>
      </w:r>
      <w:r>
        <w:rPr>
          <w:rFonts w:hint="eastAsia" w:ascii="黑体" w:hAnsi="黑体" w:eastAsia="黑体" w:cs="黑体"/>
          <w:sz w:val="52"/>
          <w:szCs w:val="52"/>
          <w:highlight w:val="none"/>
          <w:lang w:eastAsia="zh-CN"/>
        </w:rPr>
        <w:t>度怀化市人民政府研究室</w:t>
      </w:r>
    </w:p>
    <w:p w14:paraId="70FB968E">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rPr>
        <w:t>整体支出绩效自评报告</w:t>
      </w:r>
    </w:p>
    <w:p w14:paraId="3EE7E182">
      <w:pPr>
        <w:jc w:val="both"/>
        <w:rPr>
          <w:rFonts w:ascii="Times New Roman" w:hAnsi="Times New Roman" w:eastAsia="楷体_GB2312" w:cs="Times New Roman"/>
          <w:b/>
          <w:sz w:val="32"/>
          <w:szCs w:val="32"/>
          <w:highlight w:val="none"/>
        </w:rPr>
      </w:pPr>
    </w:p>
    <w:p w14:paraId="2C27C8FB">
      <w:pPr>
        <w:jc w:val="center"/>
        <w:rPr>
          <w:rFonts w:ascii="Times New Roman" w:hAnsi="Times New Roman" w:eastAsia="黑体" w:cs="Times New Roman"/>
          <w:sz w:val="32"/>
          <w:szCs w:val="32"/>
          <w:highlight w:val="none"/>
        </w:rPr>
      </w:pPr>
    </w:p>
    <w:p w14:paraId="7E2825E3">
      <w:pPr>
        <w:jc w:val="center"/>
        <w:rPr>
          <w:rFonts w:ascii="Times New Roman" w:hAnsi="Times New Roman" w:eastAsia="黑体" w:cs="Times New Roman"/>
          <w:sz w:val="32"/>
          <w:szCs w:val="32"/>
          <w:highlight w:val="none"/>
        </w:rPr>
      </w:pPr>
    </w:p>
    <w:p w14:paraId="19B8D3D2">
      <w:pPr>
        <w:jc w:val="center"/>
        <w:rPr>
          <w:rFonts w:ascii="Times New Roman" w:hAnsi="Times New Roman" w:eastAsia="黑体" w:cs="Times New Roman"/>
          <w:sz w:val="32"/>
          <w:szCs w:val="32"/>
          <w:highlight w:val="none"/>
        </w:rPr>
      </w:pPr>
    </w:p>
    <w:p w14:paraId="7DF2AAEF">
      <w:pPr>
        <w:jc w:val="center"/>
        <w:rPr>
          <w:rFonts w:ascii="Times New Roman" w:hAnsi="Times New Roman" w:eastAsia="黑体" w:cs="Times New Roman"/>
          <w:sz w:val="32"/>
          <w:szCs w:val="32"/>
          <w:highlight w:val="none"/>
        </w:rPr>
      </w:pPr>
    </w:p>
    <w:p w14:paraId="4A4D5D69">
      <w:pPr>
        <w:jc w:val="center"/>
        <w:rPr>
          <w:rFonts w:ascii="Times New Roman" w:hAnsi="Times New Roman" w:eastAsia="黑体" w:cs="Times New Roman"/>
          <w:sz w:val="32"/>
          <w:szCs w:val="32"/>
          <w:highlight w:val="none"/>
        </w:rPr>
      </w:pPr>
    </w:p>
    <w:p w14:paraId="748838C7">
      <w:pPr>
        <w:jc w:val="center"/>
        <w:rPr>
          <w:rFonts w:ascii="Times New Roman" w:hAnsi="Times New Roman" w:eastAsia="黑体" w:cs="Times New Roman"/>
          <w:sz w:val="32"/>
          <w:szCs w:val="32"/>
          <w:highlight w:val="none"/>
        </w:rPr>
      </w:pPr>
    </w:p>
    <w:p w14:paraId="3A4E068A">
      <w:pPr>
        <w:jc w:val="both"/>
        <w:rPr>
          <w:rFonts w:ascii="Times New Roman" w:hAnsi="Times New Roman" w:eastAsia="黑体" w:cs="Times New Roman"/>
          <w:sz w:val="32"/>
          <w:szCs w:val="32"/>
          <w:highlight w:val="none"/>
        </w:rPr>
      </w:pPr>
    </w:p>
    <w:p w14:paraId="1E6054EB">
      <w:pPr>
        <w:jc w:val="center"/>
        <w:rPr>
          <w:rFonts w:ascii="Times New Roman" w:hAnsi="Times New Roman" w:eastAsia="黑体" w:cs="Times New Roman"/>
          <w:sz w:val="32"/>
          <w:szCs w:val="32"/>
          <w:highlight w:val="none"/>
        </w:rPr>
      </w:pPr>
    </w:p>
    <w:p w14:paraId="44023B3F">
      <w:pPr>
        <w:spacing w:line="600" w:lineRule="exact"/>
        <w:ind w:firstLine="1920" w:firstLineChars="600"/>
        <w:rPr>
          <w:rFonts w:hint="eastAsia" w:eastAsia="仿宋_GB2312" w:cs="Times New Roman"/>
          <w:sz w:val="32"/>
          <w:szCs w:val="32"/>
          <w:highlight w:val="none"/>
          <w:lang w:eastAsia="zh-CN"/>
        </w:rPr>
      </w:pPr>
      <w:r>
        <w:rPr>
          <w:rFonts w:ascii="Times New Roman" w:hAnsi="Times New Roman" w:eastAsia="仿宋_GB2312" w:cs="Times New Roman"/>
          <w:sz w:val="32"/>
          <w:szCs w:val="32"/>
          <w:highlight w:val="none"/>
        </w:rPr>
        <w:t>单位名称：</w:t>
      </w:r>
      <w:r>
        <w:rPr>
          <w:rFonts w:hint="eastAsia" w:eastAsia="仿宋_GB2312" w:cs="Times New Roman"/>
          <w:sz w:val="32"/>
          <w:szCs w:val="32"/>
          <w:highlight w:val="none"/>
          <w:lang w:eastAsia="zh-CN"/>
        </w:rPr>
        <w:t>怀化市人民政府研究室</w:t>
      </w:r>
    </w:p>
    <w:p w14:paraId="310FA50A">
      <w:pPr>
        <w:spacing w:line="600" w:lineRule="exact"/>
        <w:ind w:firstLine="3520" w:firstLineChars="1100"/>
        <w:rPr>
          <w:rFonts w:ascii="Times New Roman" w:hAnsi="Times New Roman" w:eastAsia="楷体_GB2312" w:cs="Times New Roman"/>
          <w:sz w:val="32"/>
          <w:szCs w:val="32"/>
          <w:highlight w:val="none"/>
        </w:rPr>
      </w:pPr>
      <w:r>
        <w:rPr>
          <w:rFonts w:hint="eastAsia" w:eastAsia="仿宋_GB2312" w:cs="Times New Roman"/>
          <w:sz w:val="32"/>
          <w:szCs w:val="32"/>
          <w:highlight w:val="none"/>
          <w:lang w:val="en-US" w:eastAsia="zh-CN"/>
        </w:rPr>
        <w:t>2023</w:t>
      </w:r>
      <w:r>
        <w:rPr>
          <w:rFonts w:ascii="Times New Roman" w:hAnsi="Times New Roman" w:eastAsia="楷体_GB2312" w:cs="Times New Roman"/>
          <w:sz w:val="32"/>
          <w:szCs w:val="32"/>
          <w:highlight w:val="none"/>
        </w:rPr>
        <w:t>年</w:t>
      </w:r>
      <w:r>
        <w:rPr>
          <w:rFonts w:hint="eastAsia" w:eastAsia="楷体_GB2312" w:cs="Times New Roman"/>
          <w:sz w:val="32"/>
          <w:szCs w:val="32"/>
          <w:highlight w:val="none"/>
          <w:lang w:val="en-US" w:eastAsia="zh-CN"/>
        </w:rPr>
        <w:t>6</w:t>
      </w:r>
      <w:r>
        <w:rPr>
          <w:rFonts w:ascii="Times New Roman" w:hAnsi="Times New Roman" w:eastAsia="楷体_GB2312" w:cs="Times New Roman"/>
          <w:sz w:val="32"/>
          <w:szCs w:val="32"/>
          <w:highlight w:val="none"/>
        </w:rPr>
        <w:t>月</w:t>
      </w:r>
      <w:r>
        <w:rPr>
          <w:rFonts w:hint="eastAsia" w:eastAsia="楷体_GB2312" w:cs="Times New Roman"/>
          <w:sz w:val="32"/>
          <w:szCs w:val="32"/>
          <w:highlight w:val="none"/>
          <w:lang w:val="en-US" w:eastAsia="zh-CN"/>
        </w:rPr>
        <w:t>25</w:t>
      </w:r>
      <w:r>
        <w:rPr>
          <w:rFonts w:ascii="Times New Roman" w:hAnsi="Times New Roman" w:eastAsia="楷体_GB2312" w:cs="Times New Roman"/>
          <w:sz w:val="32"/>
          <w:szCs w:val="32"/>
          <w:highlight w:val="none"/>
        </w:rPr>
        <w:t>日</w:t>
      </w:r>
    </w:p>
    <w:p w14:paraId="5F1A9887">
      <w:pPr>
        <w:spacing w:line="600" w:lineRule="exact"/>
        <w:ind w:firstLine="3520" w:firstLineChars="1100"/>
        <w:rPr>
          <w:rFonts w:ascii="Times New Roman" w:hAnsi="Times New Roman" w:eastAsia="楷体_GB2312" w:cs="Times New Roman"/>
          <w:sz w:val="32"/>
          <w:szCs w:val="32"/>
          <w:highlight w:val="none"/>
        </w:rPr>
      </w:pPr>
    </w:p>
    <w:p w14:paraId="008D0872">
      <w:pPr>
        <w:spacing w:line="600" w:lineRule="exact"/>
        <w:ind w:firstLine="3520" w:firstLineChars="1100"/>
        <w:rPr>
          <w:rFonts w:ascii="Times New Roman" w:hAnsi="Times New Roman" w:eastAsia="楷体_GB2312" w:cs="Times New Roman"/>
          <w:sz w:val="32"/>
          <w:szCs w:val="32"/>
          <w:highlight w:val="none"/>
        </w:rPr>
      </w:pPr>
    </w:p>
    <w:p w14:paraId="3C17E93F">
      <w:pPr>
        <w:spacing w:line="600" w:lineRule="exact"/>
        <w:ind w:firstLine="3520" w:firstLineChars="1100"/>
        <w:rPr>
          <w:rFonts w:ascii="Times New Roman" w:hAnsi="Times New Roman" w:eastAsia="楷体_GB2312" w:cs="Times New Roman"/>
          <w:sz w:val="32"/>
          <w:szCs w:val="32"/>
          <w:highlight w:val="none"/>
        </w:rPr>
      </w:pPr>
    </w:p>
    <w:p w14:paraId="16432387">
      <w:pPr>
        <w:bidi w:val="0"/>
        <w:jc w:val="center"/>
      </w:pPr>
    </w:p>
    <w:p w14:paraId="7148D52C">
      <w:pPr>
        <w:bidi w:val="0"/>
        <w:jc w:val="center"/>
      </w:pPr>
      <w:r>
        <w:rPr>
          <w:rFonts w:hint="eastAsia"/>
        </w:rPr>
        <w:t>（此页为封面）</w:t>
      </w:r>
    </w:p>
    <w:p w14:paraId="63B9D047">
      <w:pPr>
        <w:spacing w:line="600" w:lineRule="exact"/>
        <w:ind w:firstLine="3520" w:firstLineChars="1100"/>
        <w:rPr>
          <w:rFonts w:ascii="Times New Roman" w:hAnsi="Times New Roman" w:eastAsia="楷体_GB2312" w:cs="Times New Roman"/>
          <w:sz w:val="32"/>
          <w:szCs w:val="32"/>
          <w:highlight w:val="none"/>
        </w:rPr>
      </w:pPr>
    </w:p>
    <w:p w14:paraId="1C55C689">
      <w:pPr>
        <w:bidi w:val="0"/>
        <w:rPr>
          <w:rFonts w:hint="eastAsia"/>
          <w:lang w:val="en-US" w:eastAsia="zh-CN"/>
        </w:rPr>
      </w:pPr>
    </w:p>
    <w:p w14:paraId="70B85E4F">
      <w:pPr>
        <w:bidi w:val="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怀化市人民政府研究室</w:t>
      </w:r>
    </w:p>
    <w:p w14:paraId="5245F4EB">
      <w:pPr>
        <w:bidi w:val="0"/>
        <w:jc w:val="center"/>
        <w:rPr>
          <w:rFonts w:hint="eastAsia" w:ascii="黑体" w:hAnsi="黑体" w:eastAsia="黑体" w:cs="黑体"/>
          <w:sz w:val="44"/>
          <w:szCs w:val="44"/>
        </w:rPr>
      </w:pPr>
      <w:r>
        <w:rPr>
          <w:rFonts w:hint="eastAsia" w:ascii="黑体" w:hAnsi="黑体" w:eastAsia="黑体" w:cs="黑体"/>
          <w:sz w:val="44"/>
          <w:szCs w:val="44"/>
          <w:lang w:val="en-US" w:eastAsia="zh-CN"/>
        </w:rPr>
        <w:t>2022年度</w:t>
      </w:r>
      <w:r>
        <w:rPr>
          <w:rFonts w:hint="eastAsia" w:ascii="黑体" w:hAnsi="黑体" w:eastAsia="黑体" w:cs="黑体"/>
          <w:sz w:val="44"/>
          <w:szCs w:val="44"/>
        </w:rPr>
        <w:t>部门整体支出绩效评价报告</w:t>
      </w:r>
    </w:p>
    <w:p w14:paraId="71575059">
      <w:pPr>
        <w:bidi w:val="0"/>
        <w:rPr>
          <w:rFonts w:hint="eastAsia"/>
          <w:sz w:val="32"/>
          <w:szCs w:val="32"/>
        </w:rPr>
      </w:pPr>
    </w:p>
    <w:p w14:paraId="7CEE0DE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进一步规范财政资金管理，强化绩效和责任意识，提高财政资金使用效益，根据《怀化市财政局关于开展2022年度部门整体支出专项资金绩效自评工作的通知》（怀财绩【2023】51号）要求，我单位积极组织开展2022年度整体支出绩效自评工作，现将自评情况报告如下：</w:t>
      </w:r>
    </w:p>
    <w:p w14:paraId="37E6C2A1">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一、部门概况</w:t>
      </w:r>
    </w:p>
    <w:p w14:paraId="7E604101">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（一）部门基本情况</w:t>
      </w:r>
    </w:p>
    <w:p w14:paraId="564692C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1、在职人员情况</w:t>
      </w:r>
    </w:p>
    <w:p w14:paraId="21B8D0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我</w:t>
      </w:r>
      <w:r>
        <w:rPr>
          <w:rFonts w:hint="eastAsia" w:ascii="仿宋" w:hAnsi="仿宋" w:eastAsia="仿宋" w:cs="仿宋"/>
          <w:sz w:val="32"/>
          <w:szCs w:val="32"/>
          <w:lang w:val="en-US" w:eastAsia="zh-CN"/>
        </w:rPr>
        <w:t>单位</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年人员编制数</w:t>
      </w:r>
      <w:r>
        <w:rPr>
          <w:rFonts w:hint="eastAsia" w:ascii="仿宋" w:hAnsi="仿宋" w:eastAsia="仿宋" w:cs="仿宋"/>
          <w:sz w:val="32"/>
          <w:szCs w:val="32"/>
          <w:lang w:val="en-US" w:eastAsia="zh-CN"/>
        </w:rPr>
        <w:t>15</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年末在职在编人员12人</w:t>
      </w:r>
      <w:r>
        <w:rPr>
          <w:rFonts w:hint="eastAsia" w:ascii="仿宋" w:hAnsi="仿宋" w:eastAsia="仿宋" w:cs="仿宋"/>
          <w:sz w:val="32"/>
          <w:szCs w:val="32"/>
        </w:rPr>
        <w:t>。</w:t>
      </w:r>
    </w:p>
    <w:p w14:paraId="2326D99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2、机构设置</w:t>
      </w:r>
    </w:p>
    <w:p w14:paraId="0E380D3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怀化市人民政府研究室作为一级部门预算单位，内设科室为：办公室、综合调研一科、综合调研二科、综合调研三科</w:t>
      </w:r>
      <w:r>
        <w:rPr>
          <w:rFonts w:hint="eastAsia" w:ascii="仿宋" w:hAnsi="仿宋" w:eastAsia="仿宋" w:cs="仿宋"/>
          <w:sz w:val="32"/>
          <w:szCs w:val="32"/>
          <w:lang w:eastAsia="zh-CN"/>
        </w:rPr>
        <w:t>。</w:t>
      </w:r>
    </w:p>
    <w:p w14:paraId="30BFEBC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3、部门职能</w:t>
      </w:r>
    </w:p>
    <w:p w14:paraId="55D603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（1）负责《政府工作报告》和市政府主要领导同志重要讲话、报告、文章的起草及有关新闻稿的审定。</w:t>
      </w:r>
    </w:p>
    <w:p w14:paraId="50CEB1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（2）负责起草市政府向省委省政府的重要汇报材料；组织和协同有关方面起草、修改市政府的有关重要综合性文件；参与起草市委、市政府有关重要会议的文件。</w:t>
      </w:r>
    </w:p>
    <w:p w14:paraId="712CFD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（3）负责牵头组织涉及全市经济建设、社会发展和改革开放等战略性、全局性、综合性重大问题的调查研究，及时综合归纳，提出供市政府决策的参考方案和政策性建议。</w:t>
      </w:r>
    </w:p>
    <w:p w14:paraId="7A946FA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（4）负责对市内外经济形势和社会发展政策进行分析和研究，提出政策建议；收集、分析、整理和报送经济社会发展的重要信息、动态，为市政府决策提供参考建议。</w:t>
      </w:r>
    </w:p>
    <w:p w14:paraId="3BA7A61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（5）负责市政府主要领导联络服务工作。</w:t>
      </w:r>
    </w:p>
    <w:p w14:paraId="44CC9D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（6）负责组织全市政府系统经济研究工作人员的培训与业务交流。</w:t>
      </w:r>
    </w:p>
    <w:p w14:paraId="75C1A07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（7）负责组织专家对全市经济社会发展的重大问题、重大决策、重大项目进行研究论证、提供咨询服务。</w:t>
      </w:r>
    </w:p>
    <w:p w14:paraId="561CF6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（8）承办市委、市政府交办的其他事项。</w:t>
      </w:r>
    </w:p>
    <w:p w14:paraId="1D43C32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主要任务</w:t>
      </w:r>
    </w:p>
    <w:p w14:paraId="5F88CC8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（1）旗帜鲜明讲政治，坚定捍卫“两个确立”。坚持把讲政治融入我室工作的全过程、各环节，切实提高政治判断力、政治领悟力、政治执行力。</w:t>
      </w:r>
    </w:p>
    <w:p w14:paraId="2D3803D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（2）突出重点强主业，切实提升参政设谋水平。积极克服人少事多的困难，不分昼夜，加班加点，较好完成以文辅政的任务。</w:t>
      </w:r>
    </w:p>
    <w:p w14:paraId="4BF5EB7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（3）严格对标抓党建，不断加强机关自身建设。坚持党建工作和业务工作同谋划、同部署、同落实，努力打造一支政治坚定、作风过硬、纪律严明队伍。</w:t>
      </w:r>
    </w:p>
    <w:p w14:paraId="0CBE6C5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val="0"/>
          <w:bCs w:val="0"/>
          <w:sz w:val="32"/>
          <w:szCs w:val="32"/>
        </w:rPr>
      </w:pPr>
      <w:r>
        <w:rPr>
          <w:rFonts w:hint="eastAsia" w:ascii="仿宋" w:hAnsi="仿宋" w:eastAsia="仿宋" w:cs="仿宋"/>
          <w:b/>
          <w:bCs/>
          <w:sz w:val="32"/>
          <w:szCs w:val="32"/>
        </w:rPr>
        <w:t>（二）部门整体支出规模、使用方向和主要内容、涉及范围</w:t>
      </w:r>
      <w:r>
        <w:rPr>
          <w:rFonts w:hint="eastAsia" w:ascii="仿宋" w:hAnsi="仿宋" w:eastAsia="仿宋" w:cs="仿宋"/>
          <w:b w:val="0"/>
          <w:bCs w:val="0"/>
          <w:sz w:val="32"/>
          <w:szCs w:val="32"/>
        </w:rPr>
        <w:t>等。</w:t>
      </w:r>
    </w:p>
    <w:p w14:paraId="04DEC5F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z w:val="32"/>
          <w:szCs w:val="32"/>
        </w:rPr>
        <w:t>部门整体支出规模：</w:t>
      </w:r>
      <w:r>
        <w:rPr>
          <w:rFonts w:hint="eastAsia" w:ascii="仿宋" w:hAnsi="仿宋" w:eastAsia="仿宋" w:cs="仿宋"/>
          <w:sz w:val="32"/>
          <w:szCs w:val="32"/>
        </w:rPr>
        <w:t>2022年共收入2</w:t>
      </w:r>
      <w:r>
        <w:rPr>
          <w:rFonts w:hint="eastAsia" w:ascii="仿宋" w:hAnsi="仿宋" w:eastAsia="仿宋" w:cs="仿宋"/>
          <w:sz w:val="32"/>
          <w:szCs w:val="32"/>
          <w:lang w:val="en-US" w:eastAsia="zh-CN"/>
        </w:rPr>
        <w:t>35.92</w:t>
      </w:r>
      <w:r>
        <w:rPr>
          <w:rFonts w:hint="eastAsia" w:ascii="仿宋" w:hAnsi="仿宋" w:eastAsia="仿宋" w:cs="仿宋"/>
          <w:sz w:val="32"/>
          <w:szCs w:val="32"/>
        </w:rPr>
        <w:t>万元，其中：一般公共预算财政拨款</w:t>
      </w:r>
      <w:r>
        <w:rPr>
          <w:rFonts w:hint="eastAsia" w:ascii="仿宋" w:hAnsi="仿宋" w:eastAsia="仿宋" w:cs="仿宋"/>
          <w:sz w:val="32"/>
          <w:szCs w:val="32"/>
          <w:lang w:val="en-US" w:eastAsia="zh-CN"/>
        </w:rPr>
        <w:t>235.92</w:t>
      </w:r>
      <w:r>
        <w:rPr>
          <w:rFonts w:hint="eastAsia" w:ascii="仿宋" w:hAnsi="仿宋" w:eastAsia="仿宋" w:cs="仿宋"/>
          <w:sz w:val="32"/>
          <w:szCs w:val="32"/>
        </w:rPr>
        <w:t>万元。</w:t>
      </w:r>
    </w:p>
    <w:p w14:paraId="790DE52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使用方向：用于部门人员支出</w:t>
      </w:r>
      <w:r>
        <w:rPr>
          <w:rFonts w:hint="eastAsia" w:ascii="仿宋" w:hAnsi="仿宋" w:eastAsia="仿宋" w:cs="仿宋"/>
          <w:sz w:val="32"/>
          <w:szCs w:val="32"/>
          <w:lang w:val="en-US" w:eastAsia="zh-CN"/>
        </w:rPr>
        <w:t>211.64</w:t>
      </w:r>
      <w:r>
        <w:rPr>
          <w:rFonts w:hint="eastAsia" w:ascii="仿宋" w:hAnsi="仿宋" w:eastAsia="仿宋" w:cs="仿宋"/>
          <w:sz w:val="32"/>
          <w:szCs w:val="32"/>
        </w:rPr>
        <w:t>万元，公用支出</w:t>
      </w:r>
      <w:r>
        <w:rPr>
          <w:rFonts w:hint="eastAsia" w:ascii="仿宋" w:hAnsi="仿宋" w:eastAsia="仿宋" w:cs="仿宋"/>
          <w:sz w:val="32"/>
          <w:szCs w:val="32"/>
          <w:lang w:val="en-US" w:eastAsia="zh-CN"/>
        </w:rPr>
        <w:t>33.65</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62.91</w:t>
      </w:r>
      <w:r>
        <w:rPr>
          <w:rFonts w:hint="eastAsia" w:ascii="仿宋" w:hAnsi="仿宋" w:eastAsia="仿宋" w:cs="仿宋"/>
          <w:sz w:val="32"/>
          <w:szCs w:val="32"/>
        </w:rPr>
        <w:t>万元。</w:t>
      </w:r>
    </w:p>
    <w:p w14:paraId="158F951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主要内容：部门人员支出主要是工资福利</w:t>
      </w:r>
      <w:r>
        <w:rPr>
          <w:rFonts w:hint="eastAsia" w:ascii="仿宋" w:hAnsi="仿宋" w:eastAsia="仿宋" w:cs="仿宋"/>
          <w:sz w:val="32"/>
          <w:szCs w:val="32"/>
          <w:lang w:val="en-US" w:eastAsia="zh-CN"/>
        </w:rPr>
        <w:t>208.35</w:t>
      </w:r>
      <w:r>
        <w:rPr>
          <w:rFonts w:hint="eastAsia" w:ascii="仿宋" w:hAnsi="仿宋" w:eastAsia="仿宋" w:cs="仿宋"/>
          <w:sz w:val="32"/>
          <w:szCs w:val="32"/>
        </w:rPr>
        <w:t>万元（含基本工资、津贴补贴、社会保障缴费、等）及对个人和家庭的补助支出</w:t>
      </w:r>
      <w:r>
        <w:rPr>
          <w:rFonts w:hint="eastAsia" w:ascii="仿宋" w:hAnsi="仿宋" w:eastAsia="仿宋" w:cs="仿宋"/>
          <w:sz w:val="32"/>
          <w:szCs w:val="32"/>
          <w:lang w:val="en-US" w:eastAsia="zh-CN"/>
        </w:rPr>
        <w:t>3.29</w:t>
      </w:r>
      <w:r>
        <w:rPr>
          <w:rFonts w:hint="eastAsia" w:ascii="仿宋" w:hAnsi="仿宋" w:eastAsia="仿宋" w:cs="仿宋"/>
          <w:sz w:val="32"/>
          <w:szCs w:val="32"/>
        </w:rPr>
        <w:t>万元（含退休人员生活补助、独生子女费等）。</w:t>
      </w:r>
    </w:p>
    <w:p w14:paraId="0ED6DE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公用支出主要是为保障机构日常运转开支的商品和服务支出</w:t>
      </w:r>
      <w:r>
        <w:rPr>
          <w:rFonts w:hint="eastAsia" w:ascii="仿宋" w:hAnsi="仿宋" w:eastAsia="仿宋" w:cs="仿宋"/>
          <w:sz w:val="32"/>
          <w:szCs w:val="32"/>
          <w:lang w:val="en-US" w:eastAsia="zh-CN"/>
        </w:rPr>
        <w:t>33.65</w:t>
      </w:r>
      <w:r>
        <w:rPr>
          <w:rFonts w:hint="eastAsia" w:ascii="仿宋" w:hAnsi="仿宋" w:eastAsia="仿宋" w:cs="仿宋"/>
          <w:sz w:val="32"/>
          <w:szCs w:val="32"/>
        </w:rPr>
        <w:t>万元（含</w:t>
      </w:r>
      <w:r>
        <w:rPr>
          <w:rFonts w:hint="eastAsia" w:ascii="仿宋" w:hAnsi="仿宋" w:eastAsia="仿宋" w:cs="仿宋"/>
          <w:sz w:val="32"/>
          <w:szCs w:val="32"/>
          <w:lang w:eastAsia="zh-CN"/>
        </w:rPr>
        <w:t>工会经费、劳务费、其他交通费</w:t>
      </w:r>
      <w:r>
        <w:rPr>
          <w:rFonts w:hint="eastAsia" w:ascii="仿宋" w:hAnsi="仿宋" w:eastAsia="仿宋" w:cs="仿宋"/>
          <w:sz w:val="32"/>
          <w:szCs w:val="32"/>
        </w:rPr>
        <w:t>等）。</w:t>
      </w:r>
    </w:p>
    <w:p w14:paraId="2C373F5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项目支出</w:t>
      </w:r>
      <w:r>
        <w:rPr>
          <w:rFonts w:hint="eastAsia" w:ascii="仿宋" w:hAnsi="仿宋" w:eastAsia="仿宋" w:cs="仿宋"/>
          <w:sz w:val="32"/>
          <w:szCs w:val="32"/>
          <w:lang w:val="en-US" w:eastAsia="zh-CN"/>
        </w:rPr>
        <w:t>62.91</w:t>
      </w:r>
      <w:r>
        <w:rPr>
          <w:rFonts w:hint="eastAsia" w:ascii="仿宋" w:hAnsi="仿宋" w:eastAsia="仿宋" w:cs="仿宋"/>
          <w:sz w:val="32"/>
          <w:szCs w:val="32"/>
        </w:rPr>
        <w:t>万元,主要是主要用于开展政府工作报告起草、《政务要情》编辑、课题调研、业务培训等日常工作发生的各项</w:t>
      </w:r>
      <w:r>
        <w:rPr>
          <w:rFonts w:hint="eastAsia" w:ascii="仿宋" w:hAnsi="仿宋" w:eastAsia="仿宋" w:cs="仿宋"/>
          <w:sz w:val="32"/>
          <w:szCs w:val="32"/>
          <w:lang w:val="en-US" w:eastAsia="zh-CN"/>
        </w:rPr>
        <w:t>专项工作经费。</w:t>
      </w:r>
    </w:p>
    <w:p w14:paraId="72A4A7E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sz w:val="32"/>
          <w:szCs w:val="32"/>
          <w:lang w:val="en-US" w:eastAsia="zh-CN"/>
        </w:rPr>
      </w:pPr>
      <w:r>
        <w:rPr>
          <w:rFonts w:hint="eastAsia" w:ascii="仿宋" w:hAnsi="仿宋" w:eastAsia="仿宋" w:cs="仿宋"/>
          <w:sz w:val="32"/>
          <w:szCs w:val="32"/>
        </w:rPr>
        <w:t>涉及范围：本部门工作人员、本机构、服务对象</w:t>
      </w:r>
      <w:r>
        <w:rPr>
          <w:rFonts w:hint="eastAsia"/>
          <w:sz w:val="32"/>
          <w:szCs w:val="32"/>
        </w:rPr>
        <w:t>。</w:t>
      </w:r>
    </w:p>
    <w:p w14:paraId="23D432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二、部门整体支出管理及使用情况</w:t>
      </w:r>
    </w:p>
    <w:p w14:paraId="7C8E1D1D">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（一）基本支出</w:t>
      </w:r>
    </w:p>
    <w:p w14:paraId="1C1ABD6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我单位财务支出实行“统一管理、统一制度、统一核算”的原则。人员经费严格按照相关文件标准、范围控制，不超标准、超范围发放工资、奖金，按时、足额、准确发放每月工资。公用经费管理方面，严格执行中央“八项规定”、纠“四风”要求和省委“九项规定”及市委市政府的有关规定，全面贯彻落实《党政机关厉行节约反对浪费条例》，树立过“紧日子”思想，厉行节约，严格控制各项公用经费开支。每年年初按财政批复的预算确定各费用指标，费用支出控制在每一项指标内，严禁先斩后奏和超预算支出。</w:t>
      </w:r>
    </w:p>
    <w:p w14:paraId="7E60E0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2022年我单位发生基本支出</w:t>
      </w:r>
      <w:r>
        <w:rPr>
          <w:rFonts w:hint="eastAsia" w:ascii="仿宋" w:hAnsi="仿宋" w:eastAsia="仿宋" w:cs="仿宋"/>
          <w:sz w:val="32"/>
          <w:szCs w:val="32"/>
          <w:lang w:val="en-US" w:eastAsia="zh-CN"/>
        </w:rPr>
        <w:t>245.29</w:t>
      </w:r>
      <w:r>
        <w:rPr>
          <w:rFonts w:hint="eastAsia" w:ascii="仿宋" w:hAnsi="仿宋" w:eastAsia="仿宋" w:cs="仿宋"/>
          <w:sz w:val="32"/>
          <w:szCs w:val="32"/>
        </w:rPr>
        <w:t>万元,其中：人员经费支出</w:t>
      </w:r>
      <w:r>
        <w:rPr>
          <w:rFonts w:hint="eastAsia" w:ascii="仿宋" w:hAnsi="仿宋" w:eastAsia="仿宋" w:cs="仿宋"/>
          <w:sz w:val="32"/>
          <w:szCs w:val="32"/>
          <w:lang w:val="en-US" w:eastAsia="zh-CN"/>
        </w:rPr>
        <w:t>211.64</w:t>
      </w:r>
      <w:r>
        <w:rPr>
          <w:rFonts w:hint="eastAsia" w:ascii="仿宋" w:hAnsi="仿宋" w:eastAsia="仿宋" w:cs="仿宋"/>
          <w:sz w:val="32"/>
          <w:szCs w:val="32"/>
        </w:rPr>
        <w:t>万元，包含工资福利支出</w:t>
      </w:r>
      <w:r>
        <w:rPr>
          <w:rFonts w:hint="eastAsia" w:ascii="仿宋" w:hAnsi="仿宋" w:eastAsia="仿宋" w:cs="仿宋"/>
          <w:sz w:val="32"/>
          <w:szCs w:val="32"/>
          <w:lang w:val="en-US" w:eastAsia="zh-CN"/>
        </w:rPr>
        <w:t>208.35</w:t>
      </w:r>
      <w:r>
        <w:rPr>
          <w:rFonts w:hint="eastAsia" w:ascii="仿宋" w:hAnsi="仿宋" w:eastAsia="仿宋" w:cs="仿宋"/>
          <w:sz w:val="32"/>
          <w:szCs w:val="32"/>
        </w:rPr>
        <w:t>万元，对个人和家庭的补助</w:t>
      </w:r>
      <w:r>
        <w:rPr>
          <w:rFonts w:hint="eastAsia" w:ascii="仿宋" w:hAnsi="仿宋" w:eastAsia="仿宋" w:cs="仿宋"/>
          <w:sz w:val="32"/>
          <w:szCs w:val="32"/>
          <w:lang w:val="en-US" w:eastAsia="zh-CN"/>
        </w:rPr>
        <w:t>3.29</w:t>
      </w:r>
      <w:r>
        <w:rPr>
          <w:rFonts w:hint="eastAsia" w:ascii="仿宋" w:hAnsi="仿宋" w:eastAsia="仿宋" w:cs="仿宋"/>
          <w:sz w:val="32"/>
          <w:szCs w:val="32"/>
        </w:rPr>
        <w:t>万元，用于保障单位在职人员工资福利及退休人员生活补助等；公用经费支出</w:t>
      </w:r>
      <w:r>
        <w:rPr>
          <w:rFonts w:hint="eastAsia" w:ascii="仿宋" w:hAnsi="仿宋" w:eastAsia="仿宋" w:cs="仿宋"/>
          <w:sz w:val="32"/>
          <w:szCs w:val="32"/>
          <w:lang w:val="en-US" w:eastAsia="zh-CN"/>
        </w:rPr>
        <w:t>33.65</w:t>
      </w:r>
      <w:r>
        <w:rPr>
          <w:rFonts w:hint="eastAsia" w:ascii="仿宋" w:hAnsi="仿宋" w:eastAsia="仿宋" w:cs="仿宋"/>
          <w:sz w:val="32"/>
          <w:szCs w:val="32"/>
        </w:rPr>
        <w:t>万元，包含商品和服务支出</w:t>
      </w:r>
      <w:r>
        <w:rPr>
          <w:rFonts w:hint="eastAsia" w:ascii="仿宋" w:hAnsi="仿宋" w:eastAsia="仿宋" w:cs="仿宋"/>
          <w:sz w:val="32"/>
          <w:szCs w:val="32"/>
          <w:lang w:val="en-US" w:eastAsia="zh-CN"/>
        </w:rPr>
        <w:t>33.65</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用于保障单位日常运转。</w:t>
      </w:r>
    </w:p>
    <w:p w14:paraId="025D599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2022年我单位三公经费支出</w:t>
      </w:r>
      <w:r>
        <w:rPr>
          <w:rFonts w:hint="eastAsia" w:ascii="仿宋" w:hAnsi="仿宋" w:eastAsia="仿宋" w:cs="仿宋"/>
          <w:sz w:val="32"/>
          <w:szCs w:val="32"/>
          <w:lang w:val="en-US" w:eastAsia="zh-CN"/>
        </w:rPr>
        <w:t>0.09</w:t>
      </w:r>
      <w:r>
        <w:rPr>
          <w:rFonts w:hint="eastAsia" w:ascii="仿宋" w:hAnsi="仿宋" w:eastAsia="仿宋" w:cs="仿宋"/>
          <w:sz w:val="32"/>
          <w:szCs w:val="32"/>
        </w:rPr>
        <w:t>万元，与上年相比减少</w:t>
      </w:r>
      <w:r>
        <w:rPr>
          <w:rFonts w:hint="eastAsia" w:ascii="仿宋" w:hAnsi="仿宋" w:eastAsia="仿宋" w:cs="仿宋"/>
          <w:sz w:val="32"/>
          <w:szCs w:val="32"/>
          <w:lang w:val="en-US" w:eastAsia="zh-CN"/>
        </w:rPr>
        <w:t>1.36</w:t>
      </w:r>
      <w:r>
        <w:rPr>
          <w:rFonts w:hint="eastAsia" w:ascii="仿宋" w:hAnsi="仿宋" w:eastAsia="仿宋" w:cs="仿宋"/>
          <w:sz w:val="32"/>
          <w:szCs w:val="32"/>
        </w:rPr>
        <w:t>万元，</w:t>
      </w:r>
      <w:r>
        <w:rPr>
          <w:rFonts w:hint="eastAsia" w:ascii="仿宋" w:hAnsi="仿宋" w:eastAsia="仿宋" w:cs="仿宋"/>
          <w:sz w:val="32"/>
          <w:szCs w:val="32"/>
          <w:lang w:val="en-US" w:eastAsia="zh-CN"/>
        </w:rPr>
        <w:t>下降93.79</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其中：因公出国（境）费0万元，与上年一致；公务用车购置及运行费</w:t>
      </w:r>
      <w:r>
        <w:rPr>
          <w:rFonts w:hint="eastAsia" w:ascii="仿宋" w:hAnsi="仿宋" w:eastAsia="仿宋" w:cs="仿宋"/>
          <w:sz w:val="32"/>
          <w:szCs w:val="32"/>
          <w:lang w:val="en-US" w:eastAsia="zh-CN"/>
        </w:rPr>
        <w:t>0</w:t>
      </w:r>
      <w:r>
        <w:rPr>
          <w:rFonts w:hint="eastAsia" w:ascii="仿宋" w:hAnsi="仿宋" w:eastAsia="仿宋" w:cs="仿宋"/>
          <w:sz w:val="32"/>
          <w:szCs w:val="32"/>
        </w:rPr>
        <w:t>万元，比上年减少</w:t>
      </w:r>
      <w:r>
        <w:rPr>
          <w:rFonts w:hint="eastAsia" w:ascii="仿宋" w:hAnsi="仿宋" w:eastAsia="仿宋" w:cs="仿宋"/>
          <w:sz w:val="32"/>
          <w:szCs w:val="32"/>
          <w:lang w:val="en-US" w:eastAsia="zh-CN"/>
        </w:rPr>
        <w:t>1.43</w:t>
      </w:r>
      <w:r>
        <w:rPr>
          <w:rFonts w:hint="eastAsia" w:ascii="仿宋" w:hAnsi="仿宋" w:eastAsia="仿宋" w:cs="仿宋"/>
          <w:sz w:val="32"/>
          <w:szCs w:val="32"/>
        </w:rPr>
        <w:t>万元，减幅</w:t>
      </w:r>
      <w:r>
        <w:rPr>
          <w:rFonts w:hint="eastAsia" w:ascii="仿宋" w:hAnsi="仿宋" w:eastAsia="仿宋" w:cs="仿宋"/>
          <w:sz w:val="32"/>
          <w:szCs w:val="32"/>
          <w:lang w:val="en-US" w:eastAsia="zh-CN"/>
        </w:rPr>
        <w:t>100</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0.09</w:t>
      </w:r>
      <w:r>
        <w:rPr>
          <w:rFonts w:hint="eastAsia" w:ascii="仿宋" w:hAnsi="仿宋" w:eastAsia="仿宋" w:cs="仿宋"/>
          <w:sz w:val="32"/>
          <w:szCs w:val="32"/>
        </w:rPr>
        <w:t>万元，比上年减少</w:t>
      </w:r>
      <w:r>
        <w:rPr>
          <w:rFonts w:hint="eastAsia" w:ascii="仿宋" w:hAnsi="仿宋" w:eastAsia="仿宋" w:cs="仿宋"/>
          <w:sz w:val="32"/>
          <w:szCs w:val="32"/>
          <w:lang w:val="en-US" w:eastAsia="zh-CN"/>
        </w:rPr>
        <w:t>0.28</w:t>
      </w:r>
      <w:r>
        <w:rPr>
          <w:rFonts w:hint="eastAsia" w:ascii="仿宋" w:hAnsi="仿宋" w:eastAsia="仿宋" w:cs="仿宋"/>
          <w:sz w:val="32"/>
          <w:szCs w:val="32"/>
        </w:rPr>
        <w:t>万元，减幅为</w:t>
      </w:r>
      <w:r>
        <w:rPr>
          <w:rFonts w:hint="eastAsia" w:ascii="仿宋" w:hAnsi="仿宋" w:eastAsia="仿宋" w:cs="仿宋"/>
          <w:sz w:val="32"/>
          <w:szCs w:val="32"/>
          <w:lang w:val="en-US" w:eastAsia="zh-CN"/>
        </w:rPr>
        <w:t>75.68</w:t>
      </w:r>
      <w:r>
        <w:rPr>
          <w:rFonts w:hint="eastAsia" w:ascii="仿宋" w:hAnsi="仿宋" w:eastAsia="仿宋" w:cs="仿宋"/>
          <w:sz w:val="32"/>
          <w:szCs w:val="32"/>
        </w:rPr>
        <w:t>%。减少原因主要在于：</w:t>
      </w:r>
      <w:r>
        <w:rPr>
          <w:rFonts w:hint="eastAsia" w:ascii="仿宋" w:hAnsi="仿宋" w:eastAsia="仿宋" w:cs="仿宋"/>
          <w:sz w:val="32"/>
          <w:szCs w:val="32"/>
          <w:lang w:val="en-US" w:eastAsia="zh-CN"/>
        </w:rPr>
        <w:t>减少的主要原因为2022年外市州政府研究室与本市各县政府经调室来我室交流减少。</w:t>
      </w:r>
      <w:r>
        <w:rPr>
          <w:rFonts w:hint="eastAsia" w:ascii="仿宋" w:hAnsi="仿宋" w:eastAsia="仿宋" w:cs="仿宋"/>
          <w:sz w:val="32"/>
          <w:szCs w:val="32"/>
        </w:rPr>
        <w:t>。</w:t>
      </w:r>
    </w:p>
    <w:p w14:paraId="2F85DFD3">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（二）专项支出</w:t>
      </w:r>
    </w:p>
    <w:p w14:paraId="6479BC5C">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1、专项资金（包括财政资金、自筹资金等）安排落实、总投入等情况分析。</w:t>
      </w:r>
    </w:p>
    <w:p w14:paraId="28093B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我</w:t>
      </w:r>
      <w:r>
        <w:rPr>
          <w:rFonts w:hint="eastAsia" w:ascii="仿宋" w:hAnsi="仿宋" w:eastAsia="仿宋" w:cs="仿宋"/>
          <w:sz w:val="32"/>
          <w:szCs w:val="32"/>
          <w:lang w:eastAsia="zh-CN"/>
        </w:rPr>
        <w:t>单位</w:t>
      </w:r>
      <w:r>
        <w:rPr>
          <w:rFonts w:hint="eastAsia" w:ascii="仿宋" w:hAnsi="仿宋" w:eastAsia="仿宋" w:cs="仿宋"/>
          <w:sz w:val="32"/>
          <w:szCs w:val="32"/>
        </w:rPr>
        <w:t>是纳入部门预算的</w:t>
      </w:r>
      <w:r>
        <w:rPr>
          <w:rFonts w:hint="eastAsia" w:ascii="仿宋" w:hAnsi="仿宋" w:eastAsia="仿宋" w:cs="仿宋"/>
          <w:sz w:val="32"/>
          <w:szCs w:val="32"/>
          <w:lang w:eastAsia="zh-CN"/>
        </w:rPr>
        <w:t>行政机关全额拨款</w:t>
      </w:r>
      <w:r>
        <w:rPr>
          <w:rFonts w:hint="eastAsia" w:ascii="仿宋" w:hAnsi="仿宋" w:eastAsia="仿宋" w:cs="仿宋"/>
          <w:sz w:val="32"/>
          <w:szCs w:val="32"/>
        </w:rPr>
        <w:t>单位，专项资金性质是财政资金。2022年年初预算安排专项资金</w:t>
      </w:r>
      <w:r>
        <w:rPr>
          <w:rFonts w:hint="eastAsia" w:ascii="仿宋" w:hAnsi="仿宋" w:eastAsia="仿宋" w:cs="仿宋"/>
          <w:sz w:val="32"/>
          <w:szCs w:val="32"/>
          <w:lang w:val="en-US" w:eastAsia="zh-CN"/>
        </w:rPr>
        <w:t>60</w:t>
      </w:r>
      <w:r>
        <w:rPr>
          <w:rFonts w:hint="eastAsia" w:ascii="仿宋" w:hAnsi="仿宋" w:eastAsia="仿宋" w:cs="仿宋"/>
          <w:sz w:val="32"/>
          <w:szCs w:val="32"/>
        </w:rPr>
        <w:t>万元，2022年调整预算后安排下达专项资金1</w:t>
      </w:r>
      <w:r>
        <w:rPr>
          <w:rFonts w:hint="eastAsia" w:ascii="仿宋" w:hAnsi="仿宋" w:eastAsia="仿宋" w:cs="仿宋"/>
          <w:sz w:val="32"/>
          <w:szCs w:val="32"/>
          <w:lang w:val="en-US" w:eastAsia="zh-CN"/>
        </w:rPr>
        <w:t>62.91</w:t>
      </w:r>
      <w:r>
        <w:rPr>
          <w:rFonts w:hint="eastAsia" w:ascii="仿宋" w:hAnsi="仿宋" w:eastAsia="仿宋" w:cs="仿宋"/>
          <w:sz w:val="32"/>
          <w:szCs w:val="32"/>
        </w:rPr>
        <w:t>万元。</w:t>
      </w:r>
    </w:p>
    <w:p w14:paraId="450B5CD1">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2、专项资金（主要指财政资金）实际使用情况分析。</w:t>
      </w:r>
      <w:r>
        <w:rPr>
          <w:rFonts w:hint="eastAsia" w:ascii="仿宋" w:hAnsi="仿宋" w:eastAsia="仿宋" w:cs="仿宋"/>
          <w:sz w:val="32"/>
          <w:szCs w:val="32"/>
          <w:lang w:eastAsia="zh-CN"/>
        </w:rPr>
        <w:t>2022</w:t>
      </w:r>
      <w:r>
        <w:rPr>
          <w:rFonts w:hint="eastAsia" w:ascii="仿宋" w:hAnsi="仿宋" w:eastAsia="仿宋" w:cs="仿宋"/>
          <w:sz w:val="32"/>
          <w:szCs w:val="32"/>
        </w:rPr>
        <w:t>年年初预算项目支出</w:t>
      </w:r>
      <w:r>
        <w:rPr>
          <w:rFonts w:hint="eastAsia" w:ascii="仿宋" w:hAnsi="仿宋" w:eastAsia="仿宋" w:cs="仿宋"/>
          <w:sz w:val="32"/>
          <w:szCs w:val="32"/>
          <w:lang w:eastAsia="zh-CN"/>
        </w:rPr>
        <w:t>批复</w:t>
      </w:r>
      <w:r>
        <w:rPr>
          <w:rFonts w:hint="eastAsia" w:ascii="仿宋" w:hAnsi="仿宋" w:eastAsia="仿宋" w:cs="仿宋"/>
          <w:sz w:val="32"/>
          <w:szCs w:val="32"/>
        </w:rPr>
        <w:t>金额为</w:t>
      </w:r>
      <w:bookmarkStart w:id="0" w:name="_Hlk42203504"/>
      <w:r>
        <w:rPr>
          <w:rFonts w:hint="eastAsia" w:ascii="仿宋" w:hAnsi="仿宋" w:eastAsia="仿宋" w:cs="仿宋"/>
          <w:sz w:val="32"/>
          <w:szCs w:val="32"/>
          <w:lang w:val="en-US" w:eastAsia="zh-CN"/>
        </w:rPr>
        <w:t>60.00</w:t>
      </w:r>
      <w:r>
        <w:rPr>
          <w:rFonts w:hint="eastAsia" w:ascii="仿宋" w:hAnsi="仿宋" w:eastAsia="仿宋" w:cs="仿宋"/>
          <w:sz w:val="32"/>
          <w:szCs w:val="32"/>
        </w:rPr>
        <w:t>万元</w:t>
      </w:r>
      <w:bookmarkEnd w:id="0"/>
      <w:r>
        <w:rPr>
          <w:rFonts w:hint="eastAsia" w:ascii="仿宋" w:hAnsi="仿宋" w:eastAsia="仿宋" w:cs="仿宋"/>
          <w:sz w:val="32"/>
          <w:szCs w:val="32"/>
        </w:rPr>
        <w:t>，</w:t>
      </w:r>
      <w:bookmarkStart w:id="1" w:name="_Hlk43148525"/>
      <w:r>
        <w:rPr>
          <w:rFonts w:hint="eastAsia" w:ascii="仿宋" w:hAnsi="仿宋" w:eastAsia="仿宋" w:cs="仿宋"/>
          <w:sz w:val="32"/>
          <w:szCs w:val="32"/>
          <w:lang w:eastAsia="zh-CN"/>
        </w:rPr>
        <w:t>其中：</w:t>
      </w:r>
      <w:bookmarkEnd w:id="1"/>
      <w:r>
        <w:rPr>
          <w:rFonts w:hint="eastAsia" w:ascii="仿宋" w:hAnsi="仿宋" w:eastAsia="仿宋" w:cs="仿宋"/>
          <w:sz w:val="32"/>
          <w:szCs w:val="32"/>
        </w:rPr>
        <w:t>办公</w:t>
      </w:r>
      <w:r>
        <w:rPr>
          <w:rFonts w:hint="eastAsia" w:ascii="仿宋" w:hAnsi="仿宋" w:eastAsia="仿宋" w:cs="仿宋"/>
          <w:sz w:val="32"/>
          <w:szCs w:val="32"/>
          <w:lang w:eastAsia="zh-CN"/>
        </w:rPr>
        <w:t>经</w:t>
      </w:r>
      <w:r>
        <w:rPr>
          <w:rFonts w:hint="eastAsia" w:ascii="仿宋" w:hAnsi="仿宋" w:eastAsia="仿宋" w:cs="仿宋"/>
          <w:sz w:val="32"/>
          <w:szCs w:val="32"/>
        </w:rPr>
        <w:t>费</w:t>
      </w:r>
      <w:r>
        <w:rPr>
          <w:rFonts w:hint="eastAsia" w:ascii="仿宋" w:hAnsi="仿宋" w:eastAsia="仿宋" w:cs="仿宋"/>
          <w:sz w:val="32"/>
          <w:szCs w:val="32"/>
          <w:lang w:val="en-US" w:eastAsia="zh-CN"/>
        </w:rPr>
        <w:t>43.00</w:t>
      </w:r>
      <w:r>
        <w:rPr>
          <w:rFonts w:hint="eastAsia" w:ascii="仿宋" w:hAnsi="仿宋" w:eastAsia="仿宋" w:cs="仿宋"/>
          <w:sz w:val="32"/>
          <w:szCs w:val="32"/>
        </w:rPr>
        <w:t>万元、</w:t>
      </w:r>
      <w:r>
        <w:rPr>
          <w:rFonts w:hint="eastAsia" w:ascii="仿宋" w:hAnsi="仿宋" w:eastAsia="仿宋" w:cs="仿宋"/>
          <w:sz w:val="32"/>
          <w:szCs w:val="32"/>
          <w:lang w:eastAsia="zh-CN"/>
        </w:rPr>
        <w:t>培训费</w:t>
      </w:r>
      <w:r>
        <w:rPr>
          <w:rFonts w:hint="eastAsia" w:ascii="仿宋" w:hAnsi="仿宋" w:eastAsia="仿宋" w:cs="仿宋"/>
          <w:sz w:val="32"/>
          <w:szCs w:val="32"/>
          <w:lang w:val="en-US" w:eastAsia="zh-CN"/>
        </w:rPr>
        <w:t>2万元、公务接待费1万元、其他商品和服务支出8万元、办公设备购置费5.5万元、委托业务费0.5万元</w:t>
      </w:r>
      <w:r>
        <w:rPr>
          <w:rFonts w:hint="eastAsia" w:ascii="仿宋" w:hAnsi="仿宋" w:eastAsia="仿宋" w:cs="仿宋"/>
          <w:sz w:val="32"/>
          <w:szCs w:val="32"/>
        </w:rPr>
        <w:t>。</w:t>
      </w:r>
    </w:p>
    <w:p w14:paraId="02C0830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2022</w:t>
      </w:r>
      <w:r>
        <w:rPr>
          <w:rFonts w:hint="eastAsia" w:ascii="仿宋" w:hAnsi="仿宋" w:eastAsia="仿宋" w:cs="仿宋"/>
          <w:sz w:val="32"/>
          <w:szCs w:val="32"/>
        </w:rPr>
        <w:t>年决算项目支出金额为</w:t>
      </w:r>
      <w:r>
        <w:rPr>
          <w:rFonts w:hint="eastAsia" w:ascii="仿宋" w:hAnsi="仿宋" w:eastAsia="仿宋" w:cs="仿宋"/>
          <w:sz w:val="32"/>
          <w:szCs w:val="32"/>
          <w:lang w:val="en-US" w:eastAsia="zh-CN"/>
        </w:rPr>
        <w:t>62.91</w:t>
      </w:r>
      <w:r>
        <w:rPr>
          <w:rFonts w:hint="eastAsia" w:ascii="仿宋" w:hAnsi="仿宋" w:eastAsia="仿宋" w:cs="仿宋"/>
          <w:sz w:val="32"/>
          <w:szCs w:val="32"/>
        </w:rPr>
        <w:t>万元，</w:t>
      </w:r>
      <w:r>
        <w:rPr>
          <w:rFonts w:hint="eastAsia" w:ascii="仿宋" w:hAnsi="仿宋" w:eastAsia="仿宋" w:cs="仿宋"/>
          <w:sz w:val="32"/>
          <w:szCs w:val="32"/>
          <w:lang w:eastAsia="zh-CN"/>
        </w:rPr>
        <w:t>分别为专项业务工作经费</w:t>
      </w:r>
      <w:r>
        <w:rPr>
          <w:rFonts w:hint="eastAsia" w:ascii="仿宋" w:hAnsi="仿宋" w:eastAsia="仿宋" w:cs="仿宋"/>
          <w:sz w:val="32"/>
          <w:szCs w:val="32"/>
          <w:lang w:val="en-US" w:eastAsia="zh-CN"/>
        </w:rPr>
        <w:t>59.41，怀化东盟物流产业园建设与发展的路径研究经费2万元，抗疫补助资金1.5万元。</w:t>
      </w:r>
      <w:r>
        <w:rPr>
          <w:rFonts w:hint="eastAsia" w:ascii="仿宋" w:hAnsi="仿宋" w:eastAsia="仿宋" w:cs="仿宋"/>
          <w:sz w:val="32"/>
          <w:szCs w:val="32"/>
        </w:rPr>
        <w:t>其中：</w:t>
      </w:r>
      <w:r>
        <w:rPr>
          <w:rFonts w:hint="eastAsia" w:ascii="仿宋" w:hAnsi="仿宋" w:eastAsia="仿宋" w:cs="仿宋"/>
          <w:sz w:val="32"/>
          <w:szCs w:val="32"/>
          <w:lang w:eastAsia="zh-CN"/>
        </w:rPr>
        <w:t>工资福利支出</w:t>
      </w:r>
      <w:r>
        <w:rPr>
          <w:rFonts w:hint="eastAsia" w:ascii="仿宋" w:hAnsi="仿宋" w:eastAsia="仿宋" w:cs="仿宋"/>
          <w:sz w:val="32"/>
          <w:szCs w:val="32"/>
          <w:lang w:val="en-US" w:eastAsia="zh-CN"/>
        </w:rPr>
        <w:t>0.73、</w:t>
      </w:r>
      <w:r>
        <w:rPr>
          <w:rFonts w:hint="eastAsia" w:ascii="仿宋" w:hAnsi="仿宋" w:eastAsia="仿宋" w:cs="仿宋"/>
          <w:sz w:val="32"/>
          <w:szCs w:val="32"/>
        </w:rPr>
        <w:t>办公费</w:t>
      </w:r>
      <w:r>
        <w:rPr>
          <w:rFonts w:hint="eastAsia" w:ascii="仿宋" w:hAnsi="仿宋" w:eastAsia="仿宋" w:cs="仿宋"/>
          <w:sz w:val="32"/>
          <w:szCs w:val="32"/>
          <w:lang w:val="en-US" w:eastAsia="zh-CN"/>
        </w:rPr>
        <w:t>19.64</w:t>
      </w:r>
      <w:r>
        <w:rPr>
          <w:rFonts w:hint="eastAsia" w:ascii="仿宋" w:hAnsi="仿宋" w:eastAsia="仿宋" w:cs="仿宋"/>
          <w:sz w:val="32"/>
          <w:szCs w:val="32"/>
        </w:rPr>
        <w:t>万元、印刷费</w:t>
      </w:r>
      <w:r>
        <w:rPr>
          <w:rFonts w:hint="eastAsia" w:ascii="仿宋" w:hAnsi="仿宋" w:eastAsia="仿宋" w:cs="仿宋"/>
          <w:sz w:val="32"/>
          <w:szCs w:val="32"/>
          <w:lang w:val="en-US" w:eastAsia="zh-CN"/>
        </w:rPr>
        <w:t>4.87</w:t>
      </w:r>
      <w:r>
        <w:rPr>
          <w:rFonts w:hint="eastAsia" w:ascii="仿宋" w:hAnsi="仿宋" w:eastAsia="仿宋" w:cs="仿宋"/>
          <w:sz w:val="32"/>
          <w:szCs w:val="32"/>
        </w:rPr>
        <w:t>万元、邮电费</w:t>
      </w:r>
      <w:r>
        <w:rPr>
          <w:rFonts w:hint="eastAsia" w:ascii="仿宋" w:hAnsi="仿宋" w:eastAsia="仿宋" w:cs="仿宋"/>
          <w:sz w:val="32"/>
          <w:szCs w:val="32"/>
          <w:lang w:val="en-US" w:eastAsia="zh-CN"/>
        </w:rPr>
        <w:t>0.3</w:t>
      </w:r>
      <w:r>
        <w:rPr>
          <w:rFonts w:hint="eastAsia" w:ascii="仿宋" w:hAnsi="仿宋" w:eastAsia="仿宋" w:cs="仿宋"/>
          <w:sz w:val="32"/>
          <w:szCs w:val="32"/>
        </w:rPr>
        <w:t>万元、差旅费</w:t>
      </w:r>
      <w:r>
        <w:rPr>
          <w:rFonts w:hint="eastAsia" w:ascii="仿宋" w:hAnsi="仿宋" w:eastAsia="仿宋" w:cs="仿宋"/>
          <w:sz w:val="32"/>
          <w:szCs w:val="32"/>
          <w:lang w:val="en-US" w:eastAsia="zh-CN"/>
        </w:rPr>
        <w:t>4.12</w:t>
      </w:r>
      <w:r>
        <w:rPr>
          <w:rFonts w:hint="eastAsia" w:ascii="仿宋" w:hAnsi="仿宋" w:eastAsia="仿宋" w:cs="仿宋"/>
          <w:sz w:val="32"/>
          <w:szCs w:val="32"/>
        </w:rPr>
        <w:t>万元、</w:t>
      </w:r>
      <w:r>
        <w:rPr>
          <w:rFonts w:hint="eastAsia" w:ascii="仿宋" w:hAnsi="仿宋" w:eastAsia="仿宋" w:cs="仿宋"/>
          <w:sz w:val="32"/>
          <w:szCs w:val="32"/>
          <w:lang w:eastAsia="zh-CN"/>
        </w:rPr>
        <w:t>租赁费</w:t>
      </w:r>
      <w:r>
        <w:rPr>
          <w:rFonts w:hint="eastAsia" w:ascii="仿宋" w:hAnsi="仿宋" w:eastAsia="仿宋" w:cs="仿宋"/>
          <w:sz w:val="32"/>
          <w:szCs w:val="32"/>
          <w:lang w:val="en-US" w:eastAsia="zh-CN"/>
        </w:rPr>
        <w:t>2万元、培训费3.71万元、</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0.089</w:t>
      </w:r>
      <w:r>
        <w:rPr>
          <w:rFonts w:hint="eastAsia" w:ascii="仿宋" w:hAnsi="仿宋" w:eastAsia="仿宋" w:cs="仿宋"/>
          <w:sz w:val="32"/>
          <w:szCs w:val="32"/>
        </w:rPr>
        <w:t>万元、劳务费</w:t>
      </w:r>
      <w:r>
        <w:rPr>
          <w:rFonts w:hint="eastAsia" w:ascii="仿宋" w:hAnsi="仿宋" w:eastAsia="仿宋" w:cs="仿宋"/>
          <w:sz w:val="32"/>
          <w:szCs w:val="32"/>
          <w:lang w:val="en-US" w:eastAsia="zh-CN"/>
        </w:rPr>
        <w:t>1.62</w:t>
      </w:r>
      <w:r>
        <w:rPr>
          <w:rFonts w:hint="eastAsia" w:ascii="仿宋" w:hAnsi="仿宋" w:eastAsia="仿宋" w:cs="仿宋"/>
          <w:sz w:val="32"/>
          <w:szCs w:val="32"/>
        </w:rPr>
        <w:t>万元、</w:t>
      </w:r>
      <w:r>
        <w:rPr>
          <w:rFonts w:hint="eastAsia" w:ascii="仿宋" w:hAnsi="仿宋" w:eastAsia="仿宋" w:cs="仿宋"/>
          <w:sz w:val="32"/>
          <w:szCs w:val="32"/>
          <w:lang w:val="en-US" w:eastAsia="zh-CN"/>
        </w:rPr>
        <w:t>委托业务费0.63万元、福利费0.78</w:t>
      </w:r>
      <w:r>
        <w:rPr>
          <w:rFonts w:hint="eastAsia" w:ascii="仿宋" w:hAnsi="仿宋" w:eastAsia="仿宋" w:cs="仿宋"/>
          <w:sz w:val="32"/>
          <w:szCs w:val="32"/>
        </w:rPr>
        <w:t>万元、其他商品和服务支出</w:t>
      </w:r>
      <w:r>
        <w:rPr>
          <w:rFonts w:hint="eastAsia" w:ascii="仿宋" w:hAnsi="仿宋" w:eastAsia="仿宋" w:cs="仿宋"/>
          <w:sz w:val="32"/>
          <w:szCs w:val="32"/>
          <w:lang w:val="en-US" w:eastAsia="zh-CN"/>
        </w:rPr>
        <w:t>19.42</w:t>
      </w:r>
      <w:r>
        <w:rPr>
          <w:rFonts w:hint="eastAsia" w:ascii="仿宋" w:hAnsi="仿宋" w:eastAsia="仿宋" w:cs="仿宋"/>
          <w:sz w:val="32"/>
          <w:szCs w:val="32"/>
        </w:rPr>
        <w:t>万元、办公设备购置</w:t>
      </w:r>
      <w:r>
        <w:rPr>
          <w:rFonts w:hint="eastAsia" w:ascii="仿宋" w:hAnsi="仿宋" w:eastAsia="仿宋" w:cs="仿宋"/>
          <w:sz w:val="32"/>
          <w:szCs w:val="32"/>
          <w:lang w:val="en-US" w:eastAsia="zh-CN"/>
        </w:rPr>
        <w:t>5</w:t>
      </w:r>
      <w:r>
        <w:rPr>
          <w:rFonts w:hint="eastAsia" w:ascii="仿宋" w:hAnsi="仿宋" w:eastAsia="仿宋" w:cs="仿宋"/>
          <w:sz w:val="32"/>
          <w:szCs w:val="32"/>
        </w:rPr>
        <w:t>万元。</w:t>
      </w:r>
    </w:p>
    <w:p w14:paraId="4841866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3、专项资金管理情况分析，主要包括管理制度、办法的制订及执行情况。</w:t>
      </w:r>
    </w:p>
    <w:p w14:paraId="337D5BB2">
      <w:pPr>
        <w:keepNext w:val="0"/>
        <w:keepLines w:val="0"/>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hint="eastAsia" w:ascii="仿宋" w:hAnsi="仿宋" w:eastAsia="仿宋" w:cs="仿宋"/>
          <w:sz w:val="32"/>
          <w:szCs w:val="32"/>
        </w:rPr>
        <w:t>我</w:t>
      </w:r>
      <w:r>
        <w:rPr>
          <w:rFonts w:hint="eastAsia" w:ascii="仿宋" w:hAnsi="仿宋" w:eastAsia="仿宋" w:cs="仿宋"/>
          <w:sz w:val="32"/>
          <w:szCs w:val="32"/>
          <w:lang w:val="en-US" w:eastAsia="zh-CN"/>
        </w:rPr>
        <w:t>室</w:t>
      </w:r>
      <w:r>
        <w:rPr>
          <w:rFonts w:hint="eastAsia" w:ascii="仿宋" w:hAnsi="仿宋" w:eastAsia="仿宋" w:cs="仿宋"/>
          <w:sz w:val="32"/>
          <w:szCs w:val="32"/>
        </w:rPr>
        <w:t>为加强财务管理工作，合理合规使用财政项目资金，严格按照财务管理要求，对批准的预算开支内容，做好账务设置和账务管理，</w:t>
      </w:r>
      <w:r>
        <w:rPr>
          <w:rFonts w:hint="eastAsia" w:ascii="仿宋" w:hAnsi="仿宋" w:eastAsia="仿宋" w:cs="仿宋"/>
          <w:sz w:val="32"/>
          <w:szCs w:val="32"/>
          <w:lang w:eastAsia="zh-CN"/>
        </w:rPr>
        <w:t>实行专项核算</w:t>
      </w:r>
      <w:r>
        <w:rPr>
          <w:rFonts w:hint="eastAsia" w:ascii="仿宋" w:hAnsi="仿宋" w:eastAsia="仿宋" w:cs="仿宋"/>
          <w:sz w:val="32"/>
          <w:szCs w:val="32"/>
        </w:rPr>
        <w:t>，在资金使用过程中，严把监督审核关，建立健全了内部审批制度。针对项目支出，制定了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内部控制基本制度》</w:t>
      </w:r>
      <w:r>
        <w:rPr>
          <w:rFonts w:hint="eastAsia" w:ascii="仿宋" w:hAnsi="仿宋" w:eastAsia="仿宋" w:cs="仿宋"/>
          <w:sz w:val="32"/>
          <w:szCs w:val="32"/>
          <w:lang w:eastAsia="zh-CN"/>
        </w:rPr>
        <w:t>、</w:t>
      </w:r>
      <w:r>
        <w:rPr>
          <w:rFonts w:hint="eastAsia" w:ascii="仿宋" w:hAnsi="仿宋" w:eastAsia="仿宋" w:cs="仿宋"/>
          <w:sz w:val="32"/>
          <w:szCs w:val="32"/>
        </w:rPr>
        <w:t>《财务</w:t>
      </w:r>
      <w:r>
        <w:rPr>
          <w:rFonts w:hint="eastAsia" w:ascii="仿宋" w:hAnsi="仿宋" w:eastAsia="仿宋" w:cs="仿宋"/>
          <w:sz w:val="32"/>
          <w:szCs w:val="32"/>
          <w:lang w:eastAsia="zh-CN"/>
        </w:rPr>
        <w:t>管理</w:t>
      </w:r>
      <w:r>
        <w:rPr>
          <w:rFonts w:hint="eastAsia" w:ascii="仿宋" w:hAnsi="仿宋" w:eastAsia="仿宋" w:cs="仿宋"/>
          <w:sz w:val="32"/>
          <w:szCs w:val="32"/>
        </w:rPr>
        <w:t>制度》</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sz w:val="32"/>
          <w:szCs w:val="32"/>
          <w:lang w:val="en-US" w:eastAsia="zh-CN"/>
        </w:rPr>
        <w:t>课题项目资金使用管理制度</w:t>
      </w:r>
      <w:r>
        <w:rPr>
          <w:rFonts w:hint="eastAsia" w:ascii="仿宋" w:hAnsi="仿宋" w:eastAsia="仿宋" w:cs="仿宋"/>
          <w:sz w:val="32"/>
          <w:szCs w:val="32"/>
        </w:rPr>
        <w:t>》等相关制度，对资金使用审批流程、资金监督、签字权限等方面做出了详细规</w:t>
      </w:r>
      <w:r>
        <w:rPr>
          <w:sz w:val="32"/>
          <w:szCs w:val="32"/>
        </w:rPr>
        <w:t>定。</w:t>
      </w:r>
    </w:p>
    <w:p w14:paraId="7FDA8EC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三、部门专项组织实施情况</w:t>
      </w:r>
    </w:p>
    <w:p w14:paraId="700870FE">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（一）专项组织情况分析，主要包括项目招投标、调整、竣工验收等情况。</w:t>
      </w:r>
    </w:p>
    <w:p w14:paraId="059DB1E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w:t>
      </w:r>
      <w:r>
        <w:rPr>
          <w:rFonts w:hint="eastAsia" w:ascii="仿宋" w:hAnsi="仿宋" w:eastAsia="仿宋" w:cs="仿宋"/>
          <w:sz w:val="32"/>
          <w:szCs w:val="32"/>
        </w:rPr>
        <w:t>我</w:t>
      </w:r>
      <w:r>
        <w:rPr>
          <w:rFonts w:hint="eastAsia" w:ascii="仿宋" w:hAnsi="仿宋" w:eastAsia="仿宋" w:cs="仿宋"/>
          <w:sz w:val="32"/>
          <w:szCs w:val="32"/>
          <w:lang w:val="en-US" w:eastAsia="zh-CN"/>
        </w:rPr>
        <w:t>室</w:t>
      </w:r>
      <w:r>
        <w:rPr>
          <w:rFonts w:hint="eastAsia" w:ascii="仿宋" w:hAnsi="仿宋" w:eastAsia="仿宋" w:cs="仿宋"/>
          <w:sz w:val="32"/>
          <w:szCs w:val="32"/>
        </w:rPr>
        <w:t>认真落实上级主管部门的决策部署，全面推进各项重点工作，较好的完成了各项目的目标任务。各项目由专人负责实施，实行事项前置审批及事后支付审批制度；采购事项均按照政府采购相关规定执行，属政府采购范围的一律通过政府采购平台，按照规定流程进行采购；费用支出严格按照《财务</w:t>
      </w:r>
      <w:r>
        <w:rPr>
          <w:rFonts w:hint="eastAsia" w:ascii="仿宋" w:hAnsi="仿宋" w:eastAsia="仿宋" w:cs="仿宋"/>
          <w:sz w:val="32"/>
          <w:szCs w:val="32"/>
          <w:lang w:eastAsia="zh-CN"/>
        </w:rPr>
        <w:t>管理</w:t>
      </w:r>
      <w:r>
        <w:rPr>
          <w:rFonts w:hint="eastAsia" w:ascii="仿宋" w:hAnsi="仿宋" w:eastAsia="仿宋" w:cs="仿宋"/>
          <w:sz w:val="32"/>
          <w:szCs w:val="32"/>
        </w:rPr>
        <w:t>制度》等制度规定的开支范围、标准、审批权限、审批流程、报销要求等进行审核。</w:t>
      </w:r>
    </w:p>
    <w:p w14:paraId="1F20AE63">
      <w:pPr>
        <w:keepNext w:val="0"/>
        <w:keepLines w:val="0"/>
        <w:pageBreakBefore w:val="0"/>
        <w:numPr>
          <w:ilvl w:val="0"/>
          <w:numId w:val="1"/>
        </w:numPr>
        <w:kinsoku/>
        <w:wordWrap/>
        <w:topLinePunct w:val="0"/>
        <w:autoSpaceDE/>
        <w:autoSpaceDN/>
        <w:bidi w:val="0"/>
        <w:spacing w:line="600" w:lineRule="exact"/>
        <w:ind w:firstLine="640"/>
        <w:rPr>
          <w:rFonts w:hint="eastAsia" w:ascii="仿宋" w:hAnsi="仿宋" w:eastAsia="仿宋" w:cs="仿宋"/>
          <w:b/>
          <w:bCs/>
          <w:spacing w:val="-2"/>
          <w:sz w:val="32"/>
          <w:szCs w:val="32"/>
          <w:highlight w:val="none"/>
        </w:rPr>
      </w:pPr>
      <w:r>
        <w:rPr>
          <w:rFonts w:hint="eastAsia" w:ascii="仿宋" w:hAnsi="仿宋" w:eastAsia="仿宋" w:cs="仿宋"/>
          <w:b/>
          <w:bCs/>
          <w:spacing w:val="-2"/>
          <w:sz w:val="32"/>
          <w:szCs w:val="32"/>
          <w:highlight w:val="none"/>
        </w:rPr>
        <w:t>专项管理情况分析，主要包括项目管理制度建设、日常检查监督管理等情况。</w:t>
      </w:r>
    </w:p>
    <w:p w14:paraId="199FE5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为加强项目资金管理，规范项目资金管理行为，提高项目管理水平及项目资金使用效益，</w:t>
      </w:r>
      <w:r>
        <w:rPr>
          <w:rFonts w:hint="eastAsia" w:ascii="仿宋" w:hAnsi="仿宋" w:eastAsia="仿宋" w:cs="仿宋"/>
          <w:sz w:val="32"/>
          <w:szCs w:val="32"/>
          <w:lang w:val="en-US" w:eastAsia="zh-CN"/>
        </w:rPr>
        <w:t>我单位</w:t>
      </w:r>
      <w:r>
        <w:rPr>
          <w:rFonts w:hint="eastAsia" w:ascii="仿宋" w:hAnsi="仿宋" w:eastAsia="仿宋" w:cs="仿宋"/>
          <w:sz w:val="32"/>
          <w:szCs w:val="32"/>
        </w:rPr>
        <w:t>制定了财务管理制度、项目资金管理制度等</w:t>
      </w:r>
      <w:r>
        <w:rPr>
          <w:rFonts w:hint="eastAsia" w:ascii="仿宋" w:hAnsi="仿宋" w:eastAsia="仿宋" w:cs="仿宋"/>
          <w:sz w:val="32"/>
          <w:szCs w:val="32"/>
          <w:lang w:eastAsia="zh-CN"/>
        </w:rPr>
        <w:t>业务管理制度</w:t>
      </w:r>
      <w:r>
        <w:rPr>
          <w:rFonts w:hint="eastAsia" w:ascii="仿宋" w:hAnsi="仿宋" w:eastAsia="仿宋" w:cs="仿宋"/>
          <w:sz w:val="32"/>
          <w:szCs w:val="32"/>
        </w:rPr>
        <w:t>，对项目管理职责、申报与组织实施、项目资金的管理、监督检查与验收等进行了规定，明确工作职责、项目实施细则、考核办法等。项目资金严格按指定用途专款专用，并接受财政部门或上级部门的检查、验收。</w:t>
      </w:r>
      <w:r>
        <w:rPr>
          <w:rFonts w:hint="eastAsia" w:ascii="仿宋" w:hAnsi="仿宋" w:eastAsia="仿宋" w:cs="仿宋"/>
          <w:sz w:val="32"/>
          <w:szCs w:val="32"/>
          <w:lang w:eastAsia="zh-CN"/>
        </w:rPr>
        <w:t>2022</w:t>
      </w:r>
      <w:r>
        <w:rPr>
          <w:rFonts w:hint="eastAsia" w:ascii="仿宋" w:hAnsi="仿宋" w:eastAsia="仿宋" w:cs="仿宋"/>
          <w:sz w:val="32"/>
          <w:szCs w:val="32"/>
        </w:rPr>
        <w:t>年本</w:t>
      </w:r>
      <w:r>
        <w:rPr>
          <w:rFonts w:hint="eastAsia" w:ascii="仿宋" w:hAnsi="仿宋" w:eastAsia="仿宋" w:cs="仿宋"/>
          <w:sz w:val="32"/>
          <w:szCs w:val="32"/>
          <w:lang w:val="en-US" w:eastAsia="zh-CN"/>
        </w:rPr>
        <w:t>单位</w:t>
      </w:r>
      <w:r>
        <w:rPr>
          <w:rFonts w:hint="eastAsia" w:ascii="仿宋" w:hAnsi="仿宋" w:eastAsia="仿宋" w:cs="仿宋"/>
          <w:sz w:val="32"/>
          <w:szCs w:val="32"/>
        </w:rPr>
        <w:t>项目支出，基本能够严格按照相关制度规定等进行。</w:t>
      </w:r>
    </w:p>
    <w:p w14:paraId="6D6AAE5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四、资产管理情况</w:t>
      </w:r>
    </w:p>
    <w:p w14:paraId="001DBFD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我室根据《行政事业单位内部控制规范（试行）》、《事 业单位国有资产管理暂行办法》及省、市有关规定，制定了《固定资产管理》等制度，及时入账，定期盘点清查，按要求编报资产月报与年报。 </w:t>
      </w:r>
    </w:p>
    <w:p w14:paraId="4E137B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截至2022年12月31日，我单位固定资产原值52.46万元，累计折旧34.55万元，账面净值17.91万元。主要为通用设备。</w:t>
      </w:r>
    </w:p>
    <w:p w14:paraId="0D0A94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部门整体支出绩效情况</w:t>
      </w:r>
    </w:p>
    <w:p w14:paraId="27DE88E9">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（一）经济性分析</w:t>
      </w:r>
    </w:p>
    <w:p w14:paraId="2F64BA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1、预算配置控制较好。财政供养人员控制在预算编制以内，编制内在职人员控制率80%，未超过控制标准。</w:t>
      </w:r>
    </w:p>
    <w:p w14:paraId="3F53FE1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预算执行与管理。2022年财政决算收入308.2万元，其中一般公共预算财政拨款收入308.2万元；决算支出为308.2万元，其中基本支出245.29万元、项目支出62.91万元，公用经费、三公经费等相关支出均未超过控制标准。</w:t>
      </w:r>
    </w:p>
    <w:p w14:paraId="515FFC75">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（二）有效性分析</w:t>
      </w:r>
    </w:p>
    <w:p w14:paraId="1A14B684">
      <w:pPr>
        <w:pStyle w:val="7"/>
        <w:keepNext w:val="0"/>
        <w:keepLines w:val="0"/>
        <w:pageBreakBefore w:val="0"/>
        <w:kinsoku/>
        <w:wordWrap/>
        <w:topLinePunct w:val="0"/>
        <w:autoSpaceDE/>
        <w:autoSpaceDN/>
        <w:bidi w:val="0"/>
        <w:spacing w:line="600" w:lineRule="exact"/>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通过对2022全年工作进行梳理和总结，我室2022年主要产出和效益如下：</w:t>
      </w:r>
    </w:p>
    <w:p w14:paraId="0F723D68">
      <w:pPr>
        <w:spacing w:line="640" w:lineRule="exact"/>
        <w:ind w:firstLine="643" w:firstLineChars="200"/>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eastAsia="zh-CN"/>
        </w:rPr>
        <w:t>一</w:t>
      </w:r>
      <w:r>
        <w:rPr>
          <w:rFonts w:hint="eastAsia" w:ascii="仿宋" w:hAnsi="仿宋" w:eastAsia="仿宋" w:cs="仿宋"/>
          <w:b/>
          <w:bCs/>
          <w:sz w:val="32"/>
          <w:szCs w:val="32"/>
          <w:highlight w:val="none"/>
        </w:rPr>
        <w:t>、聚焦主责主业，切实提升参政设谋水平</w:t>
      </w:r>
    </w:p>
    <w:p w14:paraId="3AFB88DE">
      <w:pPr>
        <w:spacing w:line="6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积极克服人少事多的困难，不分昼夜，加班加点，较好完成以文辅政的任务。</w:t>
      </w:r>
    </w:p>
    <w:p w14:paraId="092A9E4B">
      <w:pPr>
        <w:widowControl/>
        <w:ind w:firstLine="643" w:firstLineChars="200"/>
        <w:jc w:val="left"/>
        <w:rPr>
          <w:rFonts w:hint="eastAsia" w:ascii="仿宋" w:hAnsi="仿宋" w:eastAsia="仿宋" w:cs="仿宋"/>
          <w:sz w:val="32"/>
          <w:szCs w:val="32"/>
          <w:highlight w:val="none"/>
        </w:rPr>
      </w:pPr>
      <w:r>
        <w:rPr>
          <w:rFonts w:hint="eastAsia" w:ascii="仿宋" w:hAnsi="仿宋" w:eastAsia="仿宋" w:cs="仿宋"/>
          <w:b/>
          <w:sz w:val="32"/>
          <w:szCs w:val="32"/>
          <w:highlight w:val="none"/>
        </w:rPr>
        <w:t>一是高质量完成文稿起草。</w:t>
      </w:r>
      <w:r>
        <w:rPr>
          <w:rFonts w:hint="eastAsia" w:ascii="仿宋" w:hAnsi="仿宋" w:eastAsia="仿宋" w:cs="仿宋"/>
          <w:sz w:val="32"/>
          <w:szCs w:val="32"/>
          <w:highlight w:val="none"/>
        </w:rPr>
        <w:t>始终将文稿起草作为市政府研究室工作的重中之重，高质量完成政府工作报告、经济工作会议、大型会议材料，以及市政府主要领导相关材料的起草工作。一年来，为市政府及市长、常务副市长起草会议讲话、工作汇报等各类文稿</w:t>
      </w:r>
      <w:r>
        <w:rPr>
          <w:rFonts w:hint="eastAsia" w:ascii="仿宋" w:hAnsi="仿宋" w:eastAsia="仿宋" w:cs="仿宋"/>
          <w:sz w:val="32"/>
          <w:szCs w:val="32"/>
          <w:highlight w:val="none"/>
          <w:lang w:val="en-US" w:eastAsia="zh-CN"/>
        </w:rPr>
        <w:t>600</w:t>
      </w:r>
      <w:r>
        <w:rPr>
          <w:rFonts w:hint="eastAsia" w:ascii="仿宋" w:hAnsi="仿宋" w:eastAsia="仿宋" w:cs="仿宋"/>
          <w:sz w:val="32"/>
          <w:szCs w:val="32"/>
          <w:highlight w:val="none"/>
        </w:rPr>
        <w:t>余篇、共计</w:t>
      </w:r>
      <w:r>
        <w:rPr>
          <w:rFonts w:hint="eastAsia" w:ascii="仿宋" w:hAnsi="仿宋" w:eastAsia="仿宋" w:cs="仿宋"/>
          <w:sz w:val="32"/>
          <w:szCs w:val="32"/>
          <w:highlight w:val="none"/>
          <w:lang w:val="en-US" w:eastAsia="zh-CN"/>
        </w:rPr>
        <w:t>200</w:t>
      </w:r>
      <w:r>
        <w:rPr>
          <w:rFonts w:hint="eastAsia" w:ascii="仿宋" w:hAnsi="仿宋" w:eastAsia="仿宋" w:cs="仿宋"/>
          <w:sz w:val="32"/>
          <w:szCs w:val="32"/>
          <w:highlight w:val="none"/>
        </w:rPr>
        <w:t>多万字，把关政府主要领导新闻稿</w:t>
      </w:r>
      <w:r>
        <w:rPr>
          <w:rFonts w:hint="eastAsia" w:ascii="仿宋" w:hAnsi="仿宋" w:eastAsia="仿宋" w:cs="仿宋"/>
          <w:sz w:val="32"/>
          <w:szCs w:val="32"/>
          <w:highlight w:val="none"/>
          <w:lang w:val="en-US" w:eastAsia="zh-CN"/>
        </w:rPr>
        <w:t>200</w:t>
      </w:r>
      <w:r>
        <w:rPr>
          <w:rFonts w:hint="eastAsia" w:ascii="仿宋" w:hAnsi="仿宋" w:eastAsia="仿宋" w:cs="仿宋"/>
          <w:sz w:val="32"/>
          <w:szCs w:val="32"/>
          <w:highlight w:val="none"/>
        </w:rPr>
        <w:t>余篇、</w:t>
      </w:r>
      <w:r>
        <w:rPr>
          <w:rFonts w:hint="eastAsia" w:ascii="仿宋" w:hAnsi="仿宋" w:eastAsia="仿宋" w:cs="仿宋"/>
          <w:sz w:val="32"/>
          <w:szCs w:val="32"/>
          <w:highlight w:val="none"/>
          <w:lang w:val="en-US" w:eastAsia="zh-CN"/>
        </w:rPr>
        <w:t>20</w:t>
      </w:r>
      <w:r>
        <w:rPr>
          <w:rFonts w:hint="eastAsia" w:ascii="仿宋" w:hAnsi="仿宋" w:eastAsia="仿宋" w:cs="仿宋"/>
          <w:sz w:val="32"/>
          <w:szCs w:val="32"/>
          <w:highlight w:val="none"/>
        </w:rPr>
        <w:t>余万字。目前正在全力起草2023年《政府工作报告》。</w:t>
      </w:r>
    </w:p>
    <w:p w14:paraId="641952A2">
      <w:pPr>
        <w:widowControl/>
        <w:ind w:firstLine="643" w:firstLineChars="200"/>
        <w:jc w:val="left"/>
        <w:rPr>
          <w:rFonts w:hint="eastAsia" w:ascii="仿宋" w:hAnsi="仿宋" w:eastAsia="仿宋" w:cs="仿宋"/>
          <w:sz w:val="32"/>
          <w:szCs w:val="32"/>
          <w:highlight w:val="none"/>
        </w:rPr>
      </w:pPr>
      <w:r>
        <w:rPr>
          <w:rFonts w:hint="eastAsia" w:ascii="仿宋" w:hAnsi="仿宋" w:eastAsia="仿宋" w:cs="仿宋"/>
          <w:b/>
          <w:sz w:val="32"/>
          <w:szCs w:val="32"/>
          <w:highlight w:val="none"/>
        </w:rPr>
        <w:t>二是高质量开展课题研究。</w:t>
      </w:r>
      <w:r>
        <w:rPr>
          <w:rFonts w:hint="eastAsia" w:ascii="仿宋" w:hAnsi="仿宋" w:eastAsia="仿宋" w:cs="仿宋"/>
          <w:sz w:val="32"/>
          <w:szCs w:val="32"/>
          <w:highlight w:val="none"/>
        </w:rPr>
        <w:t>围绕市委、市政府年度重点工作部署和人民群众关注的重点热点难点问题，精选了“</w:t>
      </w:r>
      <w:r>
        <w:rPr>
          <w:rFonts w:hint="eastAsia" w:ascii="仿宋" w:hAnsi="仿宋" w:eastAsia="仿宋" w:cs="仿宋"/>
          <w:sz w:val="32"/>
          <w:szCs w:val="32"/>
          <w:highlight w:val="none"/>
          <w:lang w:eastAsia="zh-CN"/>
        </w:rPr>
        <w:t>怀化市创新驱动发展、</w:t>
      </w:r>
      <w:r>
        <w:rPr>
          <w:rFonts w:hint="eastAsia" w:ascii="仿宋" w:hAnsi="仿宋" w:eastAsia="仿宋" w:cs="仿宋"/>
          <w:sz w:val="32"/>
          <w:szCs w:val="32"/>
          <w:highlight w:val="none"/>
        </w:rPr>
        <w:t>建设对接RCEP节点城市”等6个重点课题开展专题调研，写出了高质量的调研报告。同时，紧盯上级重大政策进行研究并提出贯彻落实意见建议，供市委、市政府决策参考。</w:t>
      </w:r>
    </w:p>
    <w:p w14:paraId="1D38905A">
      <w:pPr>
        <w:keepNext w:val="0"/>
        <w:keepLines w:val="0"/>
        <w:pageBreakBefore w:val="0"/>
        <w:widowControl w:val="0"/>
        <w:kinsoku/>
        <w:wordWrap/>
        <w:overflowPunct w:val="0"/>
        <w:topLinePunct/>
        <w:autoSpaceDE/>
        <w:autoSpaceDN/>
        <w:bidi w:val="0"/>
        <w:adjustRightInd w:val="0"/>
        <w:snapToGrid w:val="0"/>
        <w:spacing w:line="58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sz w:val="32"/>
          <w:szCs w:val="32"/>
          <w:highlight w:val="none"/>
        </w:rPr>
        <w:t>三是高质量做好信息服务。</w:t>
      </w:r>
      <w:r>
        <w:rPr>
          <w:rFonts w:hint="eastAsia" w:ascii="仿宋" w:hAnsi="仿宋" w:eastAsia="仿宋" w:cs="仿宋"/>
          <w:sz w:val="32"/>
          <w:szCs w:val="32"/>
          <w:highlight w:val="none"/>
        </w:rPr>
        <w:t>及时掌握上级重大政策动态，广泛收集、整理外地先进做法和经验，主动总结市委市政府各项决策部署落实情况和基层工作成效，为市政府领导提供决策参考。积极做好市政府主要领导接受媒体采访和访谈的文稿服务工作，宣传推介我市国际陆港、生态价值实现、文化旅游发展等方面的好经验、好做法，提升了怀化的影响力。</w:t>
      </w:r>
      <w:r>
        <w:rPr>
          <w:rFonts w:hint="eastAsia" w:ascii="仿宋" w:hAnsi="仿宋" w:eastAsia="仿宋" w:cs="仿宋"/>
          <w:sz w:val="32"/>
          <w:szCs w:val="32"/>
          <w:highlight w:val="none"/>
          <w:lang w:eastAsia="zh-CN"/>
        </w:rPr>
        <w:t>今年，在省委机关刊物《湖南工作》发表文章1篇，森林防灭火经验得到了省长毛伟明的亲自批示，怀化的工作多次在省长讲话中被点名表扬。</w:t>
      </w:r>
      <w:r>
        <w:rPr>
          <w:rFonts w:hint="eastAsia" w:ascii="仿宋" w:hAnsi="仿宋" w:eastAsia="仿宋" w:cs="仿宋"/>
          <w:sz w:val="32"/>
          <w:szCs w:val="32"/>
          <w:highlight w:val="none"/>
        </w:rPr>
        <w:t xml:space="preserve">同时，积极配合市委政研室做好《新怀化》编辑工作，进一步推动市委市政府各项决策落实落地。 </w:t>
      </w:r>
    </w:p>
    <w:p w14:paraId="5F4B4B80">
      <w:pPr>
        <w:widowControl/>
        <w:ind w:firstLine="643" w:firstLineChars="200"/>
        <w:jc w:val="left"/>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eastAsia="zh-CN"/>
        </w:rPr>
        <w:t>二</w:t>
      </w:r>
      <w:r>
        <w:rPr>
          <w:rFonts w:hint="eastAsia" w:ascii="仿宋" w:hAnsi="仿宋" w:eastAsia="仿宋" w:cs="仿宋"/>
          <w:b/>
          <w:bCs/>
          <w:sz w:val="32"/>
          <w:szCs w:val="32"/>
          <w:highlight w:val="none"/>
        </w:rPr>
        <w:t>、突出党建引领，不断加强机关自身建设</w:t>
      </w:r>
    </w:p>
    <w:p w14:paraId="01A67BA5">
      <w:pPr>
        <w:widowControl/>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rPr>
        <w:t>坚持党建工作和业务工作同谋划、同部署、同落实，努力打造一支政治坚定、作风过硬、纪律严明队伍。</w:t>
      </w:r>
    </w:p>
    <w:p w14:paraId="3CCE3742">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firstLine="640"/>
        <w:textAlignment w:val="auto"/>
        <w:rPr>
          <w:rFonts w:hint="eastAsia" w:ascii="仿宋" w:hAnsi="仿宋" w:eastAsia="仿宋" w:cs="仿宋"/>
          <w:sz w:val="32"/>
          <w:szCs w:val="32"/>
          <w:highlight w:val="none"/>
          <w:lang w:val="en-US" w:eastAsia="zh-CN"/>
        </w:rPr>
      </w:pPr>
      <w:r>
        <w:rPr>
          <w:rFonts w:hint="eastAsia" w:ascii="仿宋" w:hAnsi="仿宋" w:eastAsia="仿宋" w:cs="仿宋"/>
          <w:b/>
          <w:sz w:val="32"/>
          <w:szCs w:val="32"/>
          <w:highlight w:val="none"/>
        </w:rPr>
        <w:t>一是全面加强机关党建工作。</w:t>
      </w:r>
      <w:r>
        <w:rPr>
          <w:rFonts w:hint="eastAsia" w:ascii="仿宋" w:hAnsi="仿宋" w:eastAsia="仿宋" w:cs="仿宋"/>
          <w:sz w:val="32"/>
          <w:szCs w:val="32"/>
          <w:highlight w:val="none"/>
        </w:rPr>
        <w:t>始终把党建责任记在心、扛在肩、抓在手。坚持党建工作与其他各项工作同谋划、同部署、同落实。自觉强化市政府研究室党组书记的角色定位，认真落实党建第一责任人责任。严肃党内政治生活，认真落实“三会一课”、民主生活会、组织生活会和谈心谈话等制度，着力把党的组织资源转化为发展资源，把党的组织优势转化为发展优势。</w:t>
      </w:r>
      <w:r>
        <w:rPr>
          <w:rFonts w:hint="eastAsia" w:ascii="仿宋" w:hAnsi="仿宋" w:eastAsia="仿宋" w:cs="仿宋"/>
          <w:sz w:val="32"/>
          <w:szCs w:val="32"/>
          <w:highlight w:val="none"/>
          <w:lang w:eastAsia="zh-CN"/>
        </w:rPr>
        <w:t>加强干部队伍建设，今年提拔重用了</w:t>
      </w:r>
      <w:r>
        <w:rPr>
          <w:rFonts w:hint="eastAsia" w:ascii="仿宋" w:hAnsi="仿宋" w:eastAsia="仿宋" w:cs="仿宋"/>
          <w:sz w:val="32"/>
          <w:szCs w:val="32"/>
          <w:highlight w:val="none"/>
          <w:lang w:val="en-US" w:eastAsia="zh-CN"/>
        </w:rPr>
        <w:t>3名干部，推荐了2名干部交流任职，公开遴选了2名干部，</w:t>
      </w:r>
      <w:r>
        <w:rPr>
          <w:rFonts w:hint="eastAsia" w:ascii="仿宋" w:hAnsi="仿宋" w:eastAsia="仿宋" w:cs="仿宋"/>
          <w:sz w:val="32"/>
          <w:szCs w:val="32"/>
          <w:highlight w:val="none"/>
          <w:lang w:eastAsia="zh-CN"/>
        </w:rPr>
        <w:t>干部队伍的凝聚力、战斗力、执行力、创新力明显增强。</w:t>
      </w:r>
    </w:p>
    <w:p w14:paraId="007A6AA0">
      <w:pPr>
        <w:spacing w:line="640" w:lineRule="exact"/>
        <w:ind w:firstLine="643" w:firstLineChars="200"/>
        <w:rPr>
          <w:rFonts w:hint="eastAsia" w:ascii="仿宋" w:hAnsi="仿宋" w:eastAsia="仿宋" w:cs="仿宋"/>
          <w:b w:val="0"/>
          <w:bCs/>
          <w:sz w:val="32"/>
          <w:szCs w:val="32"/>
          <w:highlight w:val="none"/>
        </w:rPr>
      </w:pPr>
      <w:r>
        <w:rPr>
          <w:rFonts w:hint="eastAsia" w:ascii="仿宋" w:hAnsi="仿宋" w:eastAsia="仿宋" w:cs="仿宋"/>
          <w:b/>
          <w:sz w:val="32"/>
          <w:szCs w:val="32"/>
          <w:highlight w:val="none"/>
        </w:rPr>
        <w:t>二是严格落实意识形态责任制。</w:t>
      </w:r>
      <w:r>
        <w:rPr>
          <w:rFonts w:hint="eastAsia" w:ascii="仿宋" w:hAnsi="仿宋" w:eastAsia="仿宋" w:cs="仿宋"/>
          <w:sz w:val="32"/>
          <w:szCs w:val="32"/>
          <w:highlight w:val="none"/>
        </w:rPr>
        <w:t>坚持把意识形态工作作为一项重大政治任务来抓，成立由党组书记任组长的意识形态工作领导小组，明确党组书记第一责任、分管领导直接责任和党组其他成员“一岗双责”，形成了党组书记负总责、分管领导具体抓、党组成员协同抓、各科室抓落实的工作责任体系。开展意识形态工作专题研究和研判</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次，及时解决意识形态工作推进存在的问题和困难，定期对办公电脑及内外网进行安全检查，全面登记清理干部职工微信群、QQ群，引导党员干部通过新媒体传播身边榜样典型，弘扬社会新风尚，营造绿色网络环境。</w:t>
      </w:r>
    </w:p>
    <w:p w14:paraId="746B19F6">
      <w:pPr>
        <w:bidi w:val="0"/>
        <w:ind w:firstLine="643" w:firstLineChars="200"/>
        <w:rPr>
          <w:rFonts w:hint="eastAsia" w:ascii="仿宋" w:hAnsi="仿宋" w:eastAsia="仿宋" w:cs="仿宋"/>
          <w:sz w:val="32"/>
          <w:szCs w:val="32"/>
        </w:rPr>
      </w:pPr>
      <w:r>
        <w:rPr>
          <w:rFonts w:hint="eastAsia" w:ascii="仿宋" w:hAnsi="仿宋" w:eastAsia="仿宋" w:cs="仿宋"/>
          <w:b/>
          <w:bCs/>
          <w:sz w:val="32"/>
          <w:szCs w:val="32"/>
        </w:rPr>
        <w:t>三是扎实开展机关作风和效能建设</w:t>
      </w:r>
      <w:r>
        <w:rPr>
          <w:rFonts w:hint="eastAsia" w:ascii="仿宋" w:hAnsi="仿宋" w:eastAsia="仿宋" w:cs="仿宋"/>
          <w:sz w:val="32"/>
          <w:szCs w:val="32"/>
        </w:rPr>
        <w:t>。按照市委统一部署，以清醒坚定的政治自觉推进作风建设，切实提升能力、锻造作风、实干立身、争先出彩，</w:t>
      </w:r>
      <w:r>
        <w:rPr>
          <w:rFonts w:hint="eastAsia" w:ascii="仿宋" w:hAnsi="仿宋" w:eastAsia="仿宋" w:cs="仿宋"/>
          <w:sz w:val="32"/>
          <w:szCs w:val="32"/>
          <w:lang w:eastAsia="zh-CN"/>
        </w:rPr>
        <w:t>抓实清廉机关创建工作，</w:t>
      </w:r>
      <w:r>
        <w:rPr>
          <w:rFonts w:hint="eastAsia" w:ascii="仿宋" w:hAnsi="仿宋" w:eastAsia="仿宋" w:cs="仿宋"/>
          <w:sz w:val="32"/>
          <w:szCs w:val="32"/>
        </w:rPr>
        <w:t>推动“三整顿两提升”干部作风建设专项活动走深走实，以更加强烈的责任担当推进工作落实，为全市高水平开放高质量发展作出应有贡献。坚持管业务与管思想、管廉政相结合，室党组先后专题研究党风廉政建设</w:t>
      </w:r>
      <w:r>
        <w:rPr>
          <w:rFonts w:hint="eastAsia" w:ascii="仿宋" w:hAnsi="仿宋" w:eastAsia="仿宋" w:cs="仿宋"/>
          <w:sz w:val="32"/>
          <w:szCs w:val="32"/>
          <w:lang w:val="en-US" w:eastAsia="zh-CN"/>
        </w:rPr>
        <w:t>4</w:t>
      </w:r>
      <w:r>
        <w:rPr>
          <w:rFonts w:hint="eastAsia" w:ascii="仿宋" w:hAnsi="仿宋" w:eastAsia="仿宋" w:cs="仿宋"/>
          <w:sz w:val="32"/>
          <w:szCs w:val="32"/>
        </w:rPr>
        <w:t>次。大力开展警示教育，及时传达学习纪委文件（通报） ，让廉政纪律不绝于耳、警钟长鸣。深化运用监督执纪“四种形态”，开展例行廉政谈话</w:t>
      </w:r>
      <w:r>
        <w:rPr>
          <w:rFonts w:hint="eastAsia" w:ascii="仿宋" w:hAnsi="仿宋" w:eastAsia="仿宋" w:cs="仿宋"/>
          <w:sz w:val="32"/>
          <w:szCs w:val="32"/>
          <w:lang w:val="en-US" w:eastAsia="zh-CN"/>
        </w:rPr>
        <w:t>46</w:t>
      </w:r>
      <w:r>
        <w:rPr>
          <w:rFonts w:hint="eastAsia" w:ascii="仿宋" w:hAnsi="仿宋" w:eastAsia="仿宋" w:cs="仿宋"/>
          <w:sz w:val="32"/>
          <w:szCs w:val="32"/>
        </w:rPr>
        <w:t>人次、任前谈话</w:t>
      </w:r>
      <w:r>
        <w:rPr>
          <w:rFonts w:hint="eastAsia" w:ascii="仿宋" w:hAnsi="仿宋" w:eastAsia="仿宋" w:cs="仿宋"/>
          <w:sz w:val="32"/>
          <w:szCs w:val="32"/>
          <w:lang w:val="en-US" w:eastAsia="zh-CN"/>
        </w:rPr>
        <w:t>5</w:t>
      </w:r>
      <w:r>
        <w:rPr>
          <w:rFonts w:hint="eastAsia" w:ascii="仿宋" w:hAnsi="仿宋" w:eastAsia="仿宋" w:cs="仿宋"/>
          <w:sz w:val="32"/>
          <w:szCs w:val="32"/>
        </w:rPr>
        <w:t>人次，切实做到抓早抓小、抓严抓实，把问题解决在萌芽状态。进一步转文风，提高文稿服务的实效性和规范性，确保综合性报告不超过5000字、专项工作报告不超过2000字，汇报材料尽量图表化。</w:t>
      </w:r>
    </w:p>
    <w:p w14:paraId="36627A01">
      <w:pPr>
        <w:bidi w:val="0"/>
        <w:ind w:firstLine="321" w:firstLineChars="1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（三）可持续性分析</w:t>
      </w:r>
    </w:p>
    <w:p w14:paraId="272D01E7">
      <w:pPr>
        <w:spacing w:line="640" w:lineRule="exact"/>
        <w:ind w:firstLine="643" w:firstLineChars="200"/>
        <w:rPr>
          <w:rFonts w:hint="eastAsia" w:ascii="仿宋" w:hAnsi="仿宋" w:eastAsia="仿宋" w:cs="仿宋"/>
          <w:kern w:val="0"/>
          <w:sz w:val="32"/>
          <w:szCs w:val="32"/>
          <w:highlight w:val="none"/>
        </w:rPr>
      </w:pPr>
      <w:r>
        <w:rPr>
          <w:rFonts w:hint="eastAsia" w:ascii="仿宋" w:hAnsi="仿宋" w:eastAsia="仿宋" w:cs="仿宋"/>
          <w:b/>
          <w:bCs w:val="0"/>
          <w:sz w:val="32"/>
          <w:szCs w:val="32"/>
          <w:highlight w:val="none"/>
          <w:lang w:eastAsia="zh-CN"/>
        </w:rPr>
        <w:t>一</w:t>
      </w:r>
      <w:r>
        <w:rPr>
          <w:rFonts w:hint="eastAsia" w:ascii="仿宋" w:hAnsi="仿宋" w:eastAsia="仿宋" w:cs="仿宋"/>
          <w:b/>
          <w:bCs w:val="0"/>
          <w:sz w:val="32"/>
          <w:szCs w:val="32"/>
          <w:highlight w:val="none"/>
        </w:rPr>
        <w:t>是进一步增强和提高参政辅政水平。</w:t>
      </w:r>
      <w:r>
        <w:rPr>
          <w:rFonts w:hint="eastAsia" w:ascii="仿宋" w:hAnsi="仿宋" w:eastAsia="仿宋" w:cs="仿宋"/>
          <w:kern w:val="0"/>
          <w:sz w:val="32"/>
          <w:szCs w:val="32"/>
          <w:highlight w:val="none"/>
        </w:rPr>
        <w:t>紧扣落实“三高四新”战略定位和使命任务，抢抓历史机遇、奋起二次创业，深入实施“五新四城”战略，围绕建设国际陆港、发展特色优势产业、生态优先绿色发展、加快鹤中一体化进程、全面推进乡村振兴等课题，深入开展调查研究，撰写一批高质量的调研报告。同时，积极配合编辑《新怀化》，精准快速报送政务信息，为市委、市政府决策当好参谋、出好主意。</w:t>
      </w:r>
    </w:p>
    <w:p w14:paraId="0C71924B">
      <w:pPr>
        <w:spacing w:line="640" w:lineRule="exact"/>
        <w:ind w:firstLine="643" w:firstLineChars="200"/>
        <w:rPr>
          <w:rFonts w:hint="eastAsia" w:ascii="仿宋" w:hAnsi="仿宋" w:eastAsia="仿宋" w:cs="仿宋"/>
          <w:kern w:val="0"/>
          <w:sz w:val="32"/>
          <w:szCs w:val="32"/>
          <w:highlight w:val="none"/>
        </w:rPr>
      </w:pPr>
      <w:r>
        <w:rPr>
          <w:rFonts w:hint="eastAsia" w:ascii="仿宋" w:hAnsi="仿宋" w:eastAsia="仿宋" w:cs="仿宋"/>
          <w:b/>
          <w:bCs w:val="0"/>
          <w:sz w:val="32"/>
          <w:szCs w:val="32"/>
          <w:highlight w:val="none"/>
          <w:lang w:eastAsia="zh-CN"/>
        </w:rPr>
        <w:t>二</w:t>
      </w:r>
      <w:r>
        <w:rPr>
          <w:rFonts w:hint="eastAsia" w:ascii="仿宋" w:hAnsi="仿宋" w:eastAsia="仿宋" w:cs="仿宋"/>
          <w:b/>
          <w:bCs w:val="0"/>
          <w:sz w:val="32"/>
          <w:szCs w:val="32"/>
          <w:highlight w:val="none"/>
        </w:rPr>
        <w:t>是进一步巩固和拓展文稿服务能力。</w:t>
      </w:r>
      <w:r>
        <w:rPr>
          <w:rFonts w:hint="eastAsia" w:ascii="仿宋" w:hAnsi="仿宋" w:eastAsia="仿宋" w:cs="仿宋"/>
          <w:kern w:val="0"/>
          <w:sz w:val="32"/>
          <w:szCs w:val="32"/>
          <w:highlight w:val="none"/>
        </w:rPr>
        <w:t>立足我市实际，准确把握新发展阶段新发展理念新发展格局的实践要求，悉心领会把握市委、市政府领导的工作思路和决策取向，着重于出思路、出观点、出真招，认真做好文稿起草工作，力求与领导思路产生共鸣、合拍共振，争取多出精品力作，使文稿成为服务领导决策的“直通车”。</w:t>
      </w:r>
    </w:p>
    <w:p w14:paraId="6EC5DE92">
      <w:pPr>
        <w:spacing w:line="640" w:lineRule="exact"/>
        <w:ind w:firstLine="643" w:firstLineChars="200"/>
        <w:rPr>
          <w:rFonts w:hint="eastAsia" w:ascii="仿宋" w:hAnsi="仿宋" w:eastAsia="仿宋" w:cs="仿宋"/>
          <w:sz w:val="32"/>
          <w:szCs w:val="32"/>
          <w:highlight w:val="none"/>
        </w:rPr>
      </w:pPr>
      <w:r>
        <w:rPr>
          <w:rFonts w:hint="eastAsia" w:ascii="仿宋" w:hAnsi="仿宋" w:eastAsia="仿宋" w:cs="仿宋"/>
          <w:b/>
          <w:bCs w:val="0"/>
          <w:sz w:val="32"/>
          <w:szCs w:val="32"/>
          <w:highlight w:val="none"/>
          <w:lang w:eastAsia="zh-CN"/>
        </w:rPr>
        <w:t>三</w:t>
      </w:r>
      <w:r>
        <w:rPr>
          <w:rFonts w:hint="eastAsia" w:ascii="仿宋" w:hAnsi="仿宋" w:eastAsia="仿宋" w:cs="仿宋"/>
          <w:b/>
          <w:bCs w:val="0"/>
          <w:sz w:val="32"/>
          <w:szCs w:val="32"/>
          <w:highlight w:val="none"/>
        </w:rPr>
        <w:t>是进一步落实和深化管党治党责任。</w:t>
      </w:r>
      <w:r>
        <w:rPr>
          <w:rFonts w:hint="eastAsia" w:ascii="仿宋" w:hAnsi="仿宋" w:eastAsia="仿宋" w:cs="仿宋"/>
          <w:kern w:val="0"/>
          <w:sz w:val="32"/>
          <w:szCs w:val="32"/>
          <w:highlight w:val="none"/>
        </w:rPr>
        <w:t>严格落实《党委（党组）落实全面从严治党主体责任规定》，认真抓好意识形态工作、</w:t>
      </w:r>
      <w:r>
        <w:rPr>
          <w:rFonts w:hint="eastAsia" w:ascii="仿宋" w:hAnsi="仿宋" w:eastAsia="仿宋" w:cs="仿宋"/>
          <w:sz w:val="32"/>
          <w:szCs w:val="32"/>
          <w:highlight w:val="none"/>
        </w:rPr>
        <w:t>党风廉政建设、基层党组织建设和人才队伍建设，不断提高干部履职尽责能力，建设一支政治坚定、业务精通、作风优良、清正廉洁的干部队伍。</w:t>
      </w:r>
    </w:p>
    <w:p w14:paraId="02CF050F">
      <w:pPr>
        <w:pStyle w:val="4"/>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32" w:firstLineChars="200"/>
        <w:jc w:val="both"/>
        <w:rPr>
          <w:highlight w:val="none"/>
        </w:rPr>
      </w:pPr>
      <w:r>
        <w:rPr>
          <w:rFonts w:hint="eastAsia" w:ascii="黑体" w:hAnsi="黑体" w:eastAsia="黑体" w:cs="黑体"/>
          <w:b w:val="0"/>
          <w:bCs/>
          <w:spacing w:val="-2"/>
          <w:sz w:val="32"/>
          <w:szCs w:val="32"/>
          <w:highlight w:val="none"/>
          <w:lang w:eastAsia="zh-CN"/>
        </w:rPr>
        <w:t>六、</w:t>
      </w:r>
      <w:r>
        <w:rPr>
          <w:rFonts w:hint="eastAsia" w:ascii="黑体" w:hAnsi="黑体" w:eastAsia="黑体" w:cs="黑体"/>
          <w:b w:val="0"/>
          <w:bCs/>
          <w:spacing w:val="-2"/>
          <w:sz w:val="32"/>
          <w:szCs w:val="32"/>
          <w:highlight w:val="none"/>
        </w:rPr>
        <w:t>存在的主要问题</w:t>
      </w:r>
    </w:p>
    <w:p w14:paraId="3D55C6DD">
      <w:pPr>
        <w:pStyle w:val="3"/>
        <w:keepNext w:val="0"/>
        <w:keepLines w:val="0"/>
        <w:pageBreakBefore w:val="0"/>
        <w:kinsoku/>
        <w:wordWrap/>
        <w:topLinePunct w:val="0"/>
        <w:autoSpaceDE/>
        <w:autoSpaceDN/>
        <w:bidi w:val="0"/>
        <w:spacing w:line="600" w:lineRule="exact"/>
        <w:ind w:firstLine="643" w:firstLineChars="200"/>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（一）绩效管理意识待加强</w:t>
      </w:r>
    </w:p>
    <w:p w14:paraId="02C5D2D7">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textAlignment w:val="auto"/>
        <w:rPr>
          <w:rFonts w:hint="eastAsia" w:ascii="仿宋" w:hAnsi="仿宋" w:eastAsia="仿宋" w:cs="仿宋"/>
          <w:b/>
          <w:bCs/>
          <w:snapToGrid w:val="0"/>
          <w:color w:val="000000"/>
          <w:kern w:val="0"/>
          <w:sz w:val="32"/>
          <w:szCs w:val="32"/>
          <w:highlight w:val="none"/>
          <w:lang w:val="en-US" w:eastAsia="zh-CN"/>
        </w:rPr>
      </w:pPr>
      <w:r>
        <w:rPr>
          <w:rFonts w:hint="eastAsia" w:ascii="仿宋" w:hAnsi="仿宋" w:eastAsia="仿宋" w:cs="仿宋"/>
          <w:sz w:val="32"/>
          <w:szCs w:val="32"/>
          <w:highlight w:val="none"/>
          <w:lang w:val="en-US" w:eastAsia="zh-CN"/>
        </w:rPr>
        <w:t>通过组织对财政局绩效评价政策文件的不断学习，我单位已逐渐树立了绩效目标管理观念，但绩效管理意识还有待加强，各项目需要进一步将绩效目标和预算相结合，在年初报预算时，设置更加详细、合理、可衡量的绩效目标。</w:t>
      </w:r>
    </w:p>
    <w:p w14:paraId="0EDFCEB5">
      <w:pPr>
        <w:pStyle w:val="3"/>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 w:hAnsi="仿宋" w:eastAsia="仿宋" w:cs="仿宋"/>
          <w:b/>
          <w:bCs/>
          <w:sz w:val="32"/>
          <w:szCs w:val="32"/>
          <w:highlight w:val="none"/>
          <w:lang w:val="en-US" w:eastAsia="zh-CN"/>
        </w:rPr>
      </w:pPr>
      <w:bookmarkStart w:id="2" w:name="_GoBack"/>
      <w:r>
        <w:rPr>
          <w:rFonts w:hint="eastAsia" w:ascii="仿宋" w:hAnsi="仿宋" w:eastAsia="仿宋" w:cs="仿宋"/>
          <w:b/>
          <w:bCs/>
          <w:sz w:val="32"/>
          <w:szCs w:val="32"/>
          <w:highlight w:val="none"/>
          <w:lang w:val="en-US" w:eastAsia="zh-CN"/>
        </w:rPr>
        <w:t>（二）预算调整率偏高</w:t>
      </w:r>
    </w:p>
    <w:bookmarkEnd w:id="2"/>
    <w:p w14:paraId="1F71F768">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年初预算有待科学合理，执行预算欠严格落实。经统计，2022年度本部门基本支出预算调整数为69.37万元，预算数为175.92万元，预算调整率=（预算调整数/预算数）×100%=39.43%，预算调整率偏高。</w:t>
      </w:r>
    </w:p>
    <w:p w14:paraId="47D40CAB">
      <w:pPr>
        <w:bidi w:val="0"/>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改进措施和有关建议</w:t>
      </w:r>
    </w:p>
    <w:p w14:paraId="67BF6800">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以部门职能职责和绩效目标为基础，合理细化设置绩效目标，全面反映部门整体支出效益。对年初绩效目标各项内容填写规范、完整，有利于财政合理配置资源，节约财政资金，缓解供求矛盾，促进资源的有效配置。</w:t>
      </w:r>
    </w:p>
    <w:p w14:paraId="47AD4444">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科学合理编制预算，严格执行预算。按照《预算法》及其实施条例的相关规定，参考上一年的预算执行情况和年度的收支预测科学编制预算，避免年中大幅调整预算。在预算执行中，严格按照预算科目支出，避免预算科目间的预算资金调剂，确需调剂的，按规定程序报经批准。遵循预算管理办法，对于年度无法预计的临时追加的相关工作所需费用严格按规定执行预算调整程序。</w:t>
      </w:r>
    </w:p>
    <w:p w14:paraId="2A4EACF4">
      <w:pPr>
        <w:pStyle w:val="3"/>
        <w:keepNext w:val="0"/>
        <w:keepLines w:val="0"/>
        <w:pageBreakBefore w:val="0"/>
        <w:kinsoku/>
        <w:wordWrap/>
        <w:topLinePunct w:val="0"/>
        <w:autoSpaceDE/>
        <w:autoSpaceDN/>
        <w:bidi w:val="0"/>
        <w:spacing w:line="600" w:lineRule="exact"/>
        <w:rPr>
          <w:rFonts w:hint="eastAsia"/>
          <w:highlight w:val="none"/>
          <w:lang w:val="en-US" w:eastAsia="zh-CN"/>
        </w:rPr>
      </w:pPr>
    </w:p>
    <w:p w14:paraId="4A5B68A7">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highlight w:val="none"/>
          <w:lang w:val="en-US" w:eastAsia="zh-CN"/>
        </w:rPr>
      </w:pPr>
    </w:p>
    <w:p w14:paraId="207B2191">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highlight w:val="none"/>
          <w:lang w:val="en-US" w:eastAsia="zh-CN"/>
        </w:rPr>
      </w:pPr>
    </w:p>
    <w:p w14:paraId="6D94BF39">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highlight w:val="none"/>
          <w:lang w:val="en-US" w:eastAsia="zh-CN"/>
        </w:rPr>
      </w:pPr>
    </w:p>
    <w:p w14:paraId="70ACCDCC">
      <w:pPr>
        <w:pStyle w:val="3"/>
        <w:keepNext w:val="0"/>
        <w:keepLines w:val="0"/>
        <w:pageBreakBefore w:val="0"/>
        <w:kinsoku/>
        <w:wordWrap/>
        <w:topLinePunct w:val="0"/>
        <w:autoSpaceDE/>
        <w:autoSpaceDN/>
        <w:bidi w:val="0"/>
        <w:spacing w:line="600" w:lineRule="exact"/>
        <w:rPr>
          <w:rFonts w:hint="eastAsia" w:ascii="Times New Roman" w:hAnsi="Times New Roman" w:eastAsia="仿宋_GB2312" w:cs="Times New Roman"/>
          <w:sz w:val="32"/>
          <w:szCs w:val="32"/>
          <w:highlight w:val="none"/>
          <w:lang w:val="en-US" w:eastAsia="zh-CN"/>
        </w:rPr>
      </w:pPr>
    </w:p>
    <w:p w14:paraId="134EDDA4">
      <w:pPr>
        <w:pStyle w:val="2"/>
        <w:keepNext w:val="0"/>
        <w:keepLines w:val="0"/>
        <w:pageBreakBefore w:val="0"/>
        <w:kinsoku/>
        <w:wordWrap/>
        <w:topLinePunct w:val="0"/>
        <w:autoSpaceDE/>
        <w:autoSpaceDN/>
        <w:bidi w:val="0"/>
        <w:spacing w:line="600" w:lineRule="exact"/>
        <w:rPr>
          <w:rFonts w:hint="eastAsia"/>
          <w:highlight w:val="none"/>
          <w:lang w:val="en-US" w:eastAsia="zh-CN"/>
        </w:rPr>
      </w:pPr>
    </w:p>
    <w:p w14:paraId="2A562AFE">
      <w:pPr>
        <w:keepNext w:val="0"/>
        <w:keepLines w:val="0"/>
        <w:pageBreakBefore w:val="0"/>
        <w:kinsoku/>
        <w:wordWrap/>
        <w:topLinePunct w:val="0"/>
        <w:autoSpaceDE/>
        <w:autoSpaceDN/>
        <w:bidi w:val="0"/>
        <w:spacing w:line="600" w:lineRule="exact"/>
        <w:rPr>
          <w:rFonts w:hint="eastAsia"/>
          <w:highlight w:val="none"/>
          <w:lang w:val="en-US" w:eastAsia="zh-CN"/>
        </w:rPr>
      </w:pPr>
    </w:p>
    <w:p w14:paraId="010F6DFC">
      <w:pPr>
        <w:keepNext w:val="0"/>
        <w:keepLines w:val="0"/>
        <w:pageBreakBefore w:val="0"/>
        <w:kinsoku/>
        <w:wordWrap/>
        <w:topLinePunct w:val="0"/>
        <w:autoSpaceDE/>
        <w:autoSpaceDN/>
        <w:bidi w:val="0"/>
        <w:spacing w:line="600" w:lineRule="exact"/>
        <w:rPr>
          <w:highlight w:val="none"/>
        </w:rPr>
      </w:pPr>
    </w:p>
    <w:p w14:paraId="181C833F">
      <w:pPr>
        <w:rPr>
          <w:highlight w:val="none"/>
        </w:rPr>
      </w:pPr>
    </w:p>
    <w:p w14:paraId="1592A0B5">
      <w:pPr>
        <w:spacing w:line="600" w:lineRule="exact"/>
        <w:rPr>
          <w:rFonts w:ascii="Times New Roman" w:hAnsi="Times New Roman" w:eastAsia="楷体_GB2312" w:cs="Times New Roman"/>
          <w:sz w:val="32"/>
          <w:szCs w:val="32"/>
          <w:highlight w:val="none"/>
        </w:rPr>
      </w:pPr>
    </w:p>
    <w:p w14:paraId="0C7F03C4">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C1B1B7"/>
    <w:multiLevelType w:val="singleLevel"/>
    <w:tmpl w:val="5AC1B1B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hYmY1OTY5ZTRjM2UzNTU5ZDk3MGYzOTAzMGEzZDkifQ=="/>
  </w:docVars>
  <w:rsids>
    <w:rsidRoot w:val="2F3A1446"/>
    <w:rsid w:val="132C60E4"/>
    <w:rsid w:val="259F3A56"/>
    <w:rsid w:val="2F3A1446"/>
    <w:rsid w:val="6D8C7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5"/>
    <w:basedOn w:val="1"/>
    <w:next w:val="1"/>
    <w:semiHidden/>
    <w:qFormat/>
    <w:uiPriority w:val="99"/>
    <w:pPr>
      <w:ind w:left="1680"/>
    </w:pPr>
  </w:style>
  <w:style w:type="paragraph" w:styleId="3">
    <w:name w:val="footer"/>
    <w:basedOn w:val="1"/>
    <w:next w:val="2"/>
    <w:qFormat/>
    <w:uiPriority w:val="0"/>
    <w:pPr>
      <w:tabs>
        <w:tab w:val="center" w:pos="4153"/>
        <w:tab w:val="right" w:pos="8306"/>
      </w:tabs>
      <w:snapToGrid w:val="0"/>
      <w:jc w:val="left"/>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7">
    <w:name w:val="NormalIndent"/>
    <w:basedOn w:val="1"/>
    <w:qFormat/>
    <w:uiPriority w:val="0"/>
    <w:pPr>
      <w:widowControl w:val="0"/>
      <w:ind w:firstLine="200" w:firstLineChars="200"/>
      <w:jc w:val="both"/>
      <w:textAlignment w:val="baseline"/>
    </w:pPr>
    <w:rPr>
      <w:rFonts w:ascii="Calibri" w:hAnsi="Calibri" w:eastAsia="宋体" w:cs="Times New Roman"/>
      <w:kern w:val="2"/>
      <w:sz w:val="21"/>
      <w:szCs w:val="24"/>
      <w:lang w:val="en-US" w:eastAsia="zh-CN" w:bidi="ar-SA"/>
    </w:rPr>
  </w:style>
  <w:style w:type="paragraph" w:customStyle="1" w:styleId="8">
    <w:name w:val="列出段落"/>
    <w:basedOn w:val="1"/>
    <w:qFormat/>
    <w:uiPriority w:val="0"/>
    <w:pPr>
      <w:ind w:firstLine="20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5227</Words>
  <Characters>5591</Characters>
  <Lines>0</Lines>
  <Paragraphs>0</Paragraphs>
  <TotalTime>7</TotalTime>
  <ScaleCrop>false</ScaleCrop>
  <LinksUpToDate>false</LinksUpToDate>
  <CharactersWithSpaces>5595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2023-06-26T07:42:00Z</dcterms:created>
  <dc:creator>Administrator</dc:creator>
  <cp:lastModifiedBy>牧思远</cp:lastModifiedBy>
  <dcterms:modified xsi:type="dcterms:W3CDTF">2024-10-10T04:18:05Z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595053FEC75A459F8F0C34599176C743_13</vt:lpwstr>
  </property>
</Properties>
</file>