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中国人民政治协商会议湖南省怀化市委员会</w:t>
      </w: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spacing w:line="500" w:lineRule="exact"/>
        <w:jc w:val="center"/>
        <w:rPr>
          <w:rFonts w:hint="eastAsia"/>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中国人民政治协商会议湖南省怀化市委员会</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pPr>
        <w:pStyle w:val="10"/>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中国人民政治协商会议湖南省怀化市委员会</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pStyle w:val="16"/>
        <w:rPr>
          <w:sz w:val="72"/>
          <w:szCs w:val="72"/>
        </w:rPr>
      </w:pPr>
    </w:p>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负责市政协全体会议、常务委员会议、主席会议、主席办公会议、常务委员专题座谈会议和专门委员会议的会务工作，负责上述会议形成的决议、决定的组织实施。</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协调市政协各专门委员会的工作，充分发挥市政协委员的作用，履行好政治协商、民主监督、参政议政的基本职责。</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负责市政协委员视察、调查、座谈、学习、研究等日常活动的服务和具体组织工作，受湖南省政协办公厅的委托，组织在怀的省政协委员进行视察活动。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研究统一战线和人民政协的理论、政策，调查研究地方政协的共同性问题及解决办法，供领导参考。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宣传人民政协的方针政策，工作业绩和经验以及政协委员的先进事迹，收集和反映市政协委员和各界人士的意见与建议，综合、反映社情民意。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联系和指导县市区政协的工作，联系各民主党派、工商联、各人民团体和无党派人士，联系市直有关部门，互通信息、协调工作、加强合作。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负责市政协开展各项活动的有关后勤服务管理工作和市政协机关行政事务管理工作。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负责权限范围内的人事任免。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负责接待来怀访问的海内外有关友好人士和对外联谊工作。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i w:val="0"/>
          <w:iCs w:val="0"/>
          <w:color w:val="000000"/>
          <w:sz w:val="32"/>
          <w:szCs w:val="32"/>
          <w:u w:val="none"/>
        </w:rPr>
      </w:pPr>
      <w:r>
        <w:rPr>
          <w:rFonts w:hint="eastAsia" w:ascii="仿宋" w:hAnsi="仿宋" w:eastAsia="仿宋" w:cs="仿宋"/>
          <w:i w:val="0"/>
          <w:iCs w:val="0"/>
          <w:caps w:val="0"/>
          <w:color w:val="000000"/>
          <w:spacing w:val="0"/>
          <w:sz w:val="32"/>
          <w:szCs w:val="32"/>
          <w:u w:val="none"/>
          <w:shd w:val="clear" w:color="auto" w:fill="FFFFFF"/>
        </w:rPr>
        <w:t>承办市政协主席、副主席交办的其他事项。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仿宋_GB2312"/>
          <w:bCs/>
          <w:kern w:val="0"/>
          <w:sz w:val="32"/>
          <w:szCs w:val="32"/>
        </w:rPr>
        <w:t>（一）内设机构设置。</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怀化市政协机关机构设2个办事机构：办公室、研究室；设7个专门委员会：委员学习联络委员会、提案委员会、经济科技和外事委员会、农业和农村委员会、人口资源环境委员会、文教卫体和文史委员会、社会法制和民族宗教委员会。其中，办公室内设5个科：秘书科、人事科、行政科、财务科、离退休人员管理服务科，下辖1个正科级公益一类事业单位：市政协办公室信息中心；研究室下设综合科；提案委员会、经济科技和外事委员会各下设办公室，委员学习联络委员会、农业和农村委员会、人口资源环境委员会、文教卫体和文史委员会、社会法制和民族宗教委员会各下设综合科。</w:t>
      </w:r>
    </w:p>
    <w:p>
      <w:pPr>
        <w:keepNext w:val="0"/>
        <w:keepLines w:val="0"/>
        <w:pageBreakBefore w:val="0"/>
        <w:widowControl/>
        <w:kinsoku/>
        <w:wordWrap/>
        <w:overflowPunct/>
        <w:topLinePunct w:val="0"/>
        <w:autoSpaceDE/>
        <w:autoSpaceDN/>
        <w:bidi w:val="0"/>
        <w:adjustRightInd/>
        <w:snapToGrid/>
        <w:spacing w:line="560" w:lineRule="exact"/>
        <w:ind w:firstLine="627" w:firstLineChars="196"/>
        <w:jc w:val="left"/>
        <w:textAlignment w:val="auto"/>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人员情况：2022年编制数70人，年末在职人员62人。</w:t>
      </w:r>
    </w:p>
    <w:p>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中国人民政治协商会议湖南省怀化市委员会</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年部门决算汇总公开单位构成包括：中国人民政治协商会议湖南省怀化市委员会本级</w:t>
      </w:r>
      <w:r>
        <w:rPr>
          <w:rFonts w:hint="eastAsia" w:ascii="Times New Roman" w:hAnsi="Times New Roman" w:eastAsia="仿宋_GB2312" w:cs="仿宋_GB2312"/>
          <w:bCs/>
          <w:kern w:val="0"/>
          <w:sz w:val="32"/>
          <w:szCs w:val="32"/>
          <w:lang w:eastAsia="zh-CN"/>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pStyle w:val="16"/>
        <w:rPr>
          <w:sz w:val="72"/>
          <w:szCs w:val="72"/>
        </w:rPr>
      </w:pPr>
    </w:p>
    <w:p>
      <w:pPr>
        <w:rPr>
          <w:sz w:val="72"/>
          <w:szCs w:val="72"/>
        </w:rPr>
      </w:pPr>
    </w:p>
    <w:p>
      <w:pPr>
        <w:pStyle w:val="16"/>
        <w:rPr>
          <w:sz w:val="72"/>
          <w:szCs w:val="72"/>
        </w:rPr>
      </w:pPr>
    </w:p>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p>
    <w:p>
      <w:pPr>
        <w:jc w:val="center"/>
        <w:rPr>
          <w:sz w:val="72"/>
          <w:szCs w:val="72"/>
        </w:rPr>
      </w:pPr>
    </w:p>
    <w:p>
      <w:pPr>
        <w:jc w:val="center"/>
        <w:rPr>
          <w:sz w:val="72"/>
          <w:szCs w:val="7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7" w:lineRule="atLeast"/>
        <w:ind w:left="0" w:right="0" w:firstLine="627"/>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共9张决算表，包括：收支总表3张，即：《收入支出决算总表》《收入决算表》《支出决算表》；财政拨款收支表6张，即《财政拨款收入支出决算总表》《一般公共预算财政拨款支出决算表》《一般公共预算财政拨款基本支出决算表》《政府性基金预算财政拨款收入支出决算表》《国有资本经营预算财政拨款支出决算表》《财政拨款“三公”经费支出决算表》。（公开表格附后）</w:t>
      </w:r>
    </w:p>
    <w:p>
      <w:pPr>
        <w:jc w:val="left"/>
        <w:rPr>
          <w:sz w:val="32"/>
          <w:szCs w:val="3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w:t>
      </w:r>
    </w:p>
    <w:p>
      <w:pPr>
        <w:pStyle w:val="10"/>
        <w:ind w:firstLine="4200" w:firstLineChars="600"/>
        <w:jc w:val="both"/>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2127.42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267.08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14.36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政策原因工资福利支出增加。</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2127.42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2085.5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98.03</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万元；其他收入</w:t>
      </w:r>
      <w:r>
        <w:rPr>
          <w:rFonts w:hint="eastAsia" w:ascii="Times New Roman" w:hAnsi="Times New Roman" w:eastAsia="仿宋_GB2312"/>
          <w:sz w:val="32"/>
          <w:szCs w:val="32"/>
          <w:lang w:val="en-US" w:eastAsia="zh-CN"/>
        </w:rPr>
        <w:t>41.92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1.93</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2127.42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1511.77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71.06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615.65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28.94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2085.5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225.16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9.26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政策原因工资福利支出增加。</w:t>
      </w:r>
    </w:p>
    <w:p>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2085.5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98.03</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225.16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9.26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政策原因工资福利支出增加。</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2085.5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1883.47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90.31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社会保障和就业支出（类）</w:t>
      </w:r>
      <w:r>
        <w:rPr>
          <w:rFonts w:hint="eastAsia" w:ascii="Times New Roman" w:hAnsi="Times New Roman" w:eastAsia="仿宋_GB2312"/>
          <w:sz w:val="32"/>
          <w:szCs w:val="32"/>
          <w:lang w:val="en-US" w:eastAsia="zh-CN"/>
        </w:rPr>
        <w:t>152.27万元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卫生健康支（类）</w:t>
      </w:r>
      <w:r>
        <w:rPr>
          <w:rFonts w:hint="eastAsia" w:ascii="Times New Roman" w:hAnsi="Times New Roman" w:eastAsia="仿宋_GB2312"/>
          <w:sz w:val="32"/>
          <w:szCs w:val="32"/>
          <w:lang w:val="en-US" w:eastAsia="zh-CN"/>
        </w:rPr>
        <w:t>49.76万元，占2.39%。</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1545.28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2085.5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134.96</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政协事务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1545.28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1086.71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70.32</w:t>
      </w:r>
      <w:r>
        <w:rPr>
          <w:rFonts w:hint="eastAsia" w:ascii="Times New Roman" w:hAnsi="Times New Roman" w:eastAsia="仿宋_GB2312"/>
          <w:sz w:val="32"/>
          <w:szCs w:val="32"/>
        </w:rPr>
        <w:t>%，决算数大于（小于）年初预算数的主要原因是</w:t>
      </w:r>
      <w:r>
        <w:rPr>
          <w:rFonts w:hint="eastAsia" w:ascii="Times New Roman" w:hAnsi="Times New Roman" w:eastAsia="仿宋_GB2312"/>
          <w:sz w:val="32"/>
          <w:szCs w:val="32"/>
          <w:lang w:eastAsia="zh-CN"/>
        </w:rPr>
        <w:t>年初预算纳入行政运行科目，实际下达至其他科目。</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政协事务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委员视察</w:t>
      </w:r>
      <w:r>
        <w:rPr>
          <w:rFonts w:hint="eastAsia" w:ascii="Times New Roman" w:hAnsi="Times New Roman" w:eastAsia="仿宋_GB2312"/>
          <w:sz w:val="32"/>
          <w:szCs w:val="32"/>
        </w:rPr>
        <w:t>（项）。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6.75</w:t>
      </w:r>
      <w:r>
        <w:rPr>
          <w:rFonts w:hint="eastAsia" w:ascii="Times New Roman" w:hAnsi="Times New Roman" w:eastAsia="仿宋_GB2312"/>
          <w:sz w:val="32"/>
          <w:szCs w:val="32"/>
        </w:rPr>
        <w:t>万元，决算数大于年初预算数的主要原因是</w:t>
      </w:r>
      <w:r>
        <w:rPr>
          <w:rFonts w:hint="eastAsia" w:ascii="仿宋" w:hAnsi="仿宋" w:eastAsia="仿宋" w:cs="仿宋"/>
          <w:b w:val="0"/>
          <w:bCs/>
          <w:sz w:val="32"/>
          <w:szCs w:val="32"/>
          <w:highlight w:val="none"/>
          <w:lang w:val="en-US" w:eastAsia="zh-CN"/>
        </w:rPr>
        <w:t>省拨</w:t>
      </w:r>
      <w:r>
        <w:rPr>
          <w:rFonts w:hint="eastAsia" w:ascii="仿宋" w:hAnsi="仿宋" w:eastAsia="仿宋" w:cs="仿宋"/>
          <w:b w:val="0"/>
          <w:bCs/>
          <w:sz w:val="32"/>
          <w:szCs w:val="32"/>
          <w:highlight w:val="none"/>
        </w:rPr>
        <w:t>2021年省政协委员视察经费</w:t>
      </w:r>
      <w:r>
        <w:rPr>
          <w:rFonts w:hint="eastAsia" w:ascii="仿宋" w:hAnsi="仿宋" w:eastAsia="仿宋" w:cs="仿宋"/>
          <w:b w:val="0"/>
          <w:bCs/>
          <w:sz w:val="32"/>
          <w:szCs w:val="32"/>
          <w:highlight w:val="none"/>
          <w:lang w:val="en-US" w:eastAsia="zh-CN"/>
        </w:rPr>
        <w:t>未纳入年初预算。</w:t>
      </w:r>
    </w:p>
    <w:p>
      <w:pPr>
        <w:pStyle w:val="10"/>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政协事务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其他政协事务支出</w:t>
      </w:r>
      <w:r>
        <w:rPr>
          <w:rFonts w:hint="eastAsia" w:ascii="Times New Roman" w:hAnsi="Times New Roman" w:eastAsia="仿宋_GB2312"/>
          <w:sz w:val="32"/>
          <w:szCs w:val="32"/>
        </w:rPr>
        <w:t>（项）。</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lang w:eastAsia="zh-CN"/>
        </w:rPr>
        <w:t>年初预算为</w:t>
      </w:r>
      <w:r>
        <w:rPr>
          <w:rFonts w:hint="eastAsia" w:ascii="仿宋" w:hAnsi="仿宋" w:eastAsia="仿宋" w:cs="仿宋"/>
          <w:b w:val="0"/>
          <w:bCs/>
          <w:sz w:val="32"/>
          <w:szCs w:val="32"/>
          <w:highlight w:val="none"/>
          <w:lang w:val="en-US" w:eastAsia="zh-CN"/>
        </w:rPr>
        <w:t>0万元，支出决算数为785.22万元。</w:t>
      </w:r>
      <w:r>
        <w:rPr>
          <w:rFonts w:hint="eastAsia" w:ascii="仿宋" w:hAnsi="仿宋" w:eastAsia="仿宋" w:cs="仿宋"/>
          <w:b w:val="0"/>
          <w:bCs/>
          <w:sz w:val="32"/>
          <w:szCs w:val="32"/>
          <w:highlight w:val="none"/>
        </w:rPr>
        <w:t>决算数大于年初预算数的主要原因是：委员活动经费</w:t>
      </w:r>
      <w:r>
        <w:rPr>
          <w:rFonts w:hint="eastAsia" w:ascii="仿宋" w:hAnsi="仿宋" w:eastAsia="仿宋" w:cs="仿宋"/>
          <w:b w:val="0"/>
          <w:bCs/>
          <w:sz w:val="32"/>
          <w:szCs w:val="32"/>
          <w:highlight w:val="none"/>
          <w:lang w:eastAsia="zh-CN"/>
        </w:rPr>
        <w:t>、调研工作经费、信息化平台运行费</w:t>
      </w:r>
      <w:r>
        <w:rPr>
          <w:rFonts w:hint="eastAsia" w:ascii="仿宋" w:hAnsi="仿宋" w:eastAsia="仿宋" w:cs="仿宋"/>
          <w:b w:val="0"/>
          <w:bCs/>
          <w:sz w:val="32"/>
          <w:szCs w:val="32"/>
          <w:highlight w:val="none"/>
          <w:lang w:val="en-US" w:eastAsia="zh-CN"/>
        </w:rPr>
        <w:t>等年初预算纳入其他科目。</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4、</w:t>
      </w:r>
      <w:r>
        <w:rPr>
          <w:rFonts w:hint="eastAsia" w:ascii="仿宋" w:hAnsi="仿宋" w:eastAsia="仿宋" w:cs="仿宋"/>
          <w:b w:val="0"/>
          <w:bCs/>
          <w:sz w:val="32"/>
          <w:szCs w:val="32"/>
        </w:rPr>
        <w:t>一般公共服务支出（类）其他一般公共服务支出（款）其他一般公共服务支出（项）。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4.8</w:t>
      </w:r>
      <w:r>
        <w:rPr>
          <w:rFonts w:hint="eastAsia" w:ascii="仿宋" w:hAnsi="仿宋" w:eastAsia="仿宋" w:cs="仿宋"/>
          <w:b w:val="0"/>
          <w:bCs/>
          <w:sz w:val="32"/>
          <w:szCs w:val="32"/>
          <w:highlight w:val="none"/>
        </w:rPr>
        <w:t>万元，决算数大于年初预算数的主要原因是</w:t>
      </w:r>
      <w:r>
        <w:rPr>
          <w:rFonts w:hint="eastAsia" w:ascii="Times New Roman" w:hAnsi="Times New Roman" w:eastAsia="仿宋_GB2312"/>
          <w:sz w:val="32"/>
          <w:szCs w:val="32"/>
          <w:lang w:eastAsia="zh-CN"/>
        </w:rPr>
        <w:t>年初预算纳入行政运行科目，实际下达至其他科目</w:t>
      </w:r>
      <w:r>
        <w:rPr>
          <w:rFonts w:hint="eastAsia" w:ascii="仿宋" w:hAnsi="仿宋" w:eastAsia="仿宋" w:cs="仿宋"/>
          <w:b w:val="0"/>
          <w:bCs/>
          <w:sz w:val="32"/>
          <w:szCs w:val="32"/>
          <w:highlight w:val="none"/>
          <w:lang w:val="en-US" w:eastAsia="zh-CN"/>
        </w:rPr>
        <w:t>。</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5、</w:t>
      </w:r>
      <w:r>
        <w:rPr>
          <w:rFonts w:hint="eastAsia" w:ascii="仿宋" w:hAnsi="仿宋" w:eastAsia="仿宋" w:cs="仿宋"/>
          <w:b w:val="0"/>
          <w:bCs/>
          <w:sz w:val="32"/>
          <w:szCs w:val="32"/>
        </w:rPr>
        <w:t>社会保障和就业支出（类）行政事业单位养老支出（款）机关事业单位基本养老保险缴费支出（项）。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96.29</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单位部分养老保险，由财政统筹预算。</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6、</w:t>
      </w:r>
      <w:r>
        <w:rPr>
          <w:rFonts w:hint="eastAsia" w:ascii="仿宋" w:hAnsi="仿宋" w:eastAsia="仿宋" w:cs="仿宋"/>
          <w:b w:val="0"/>
          <w:bCs/>
          <w:sz w:val="32"/>
          <w:szCs w:val="32"/>
        </w:rPr>
        <w:t>社会保障和就业支出（类）行政事业单位养老支出（款）</w:t>
      </w:r>
      <w:r>
        <w:rPr>
          <w:rFonts w:hint="eastAsia" w:ascii="仿宋" w:hAnsi="仿宋" w:eastAsia="仿宋" w:cs="仿宋"/>
          <w:b w:val="0"/>
          <w:bCs/>
          <w:sz w:val="32"/>
          <w:szCs w:val="32"/>
          <w:lang w:eastAsia="zh-CN"/>
        </w:rPr>
        <w:t>其他行政事业单位养老支出</w:t>
      </w:r>
      <w:r>
        <w:rPr>
          <w:rFonts w:hint="eastAsia" w:ascii="仿宋" w:hAnsi="仿宋" w:eastAsia="仿宋" w:cs="仿宋"/>
          <w:b w:val="0"/>
          <w:bCs/>
          <w:sz w:val="32"/>
          <w:szCs w:val="32"/>
        </w:rPr>
        <w:t>（项）。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rPr>
        <w:t>年初预算为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55.98</w:t>
      </w:r>
      <w:r>
        <w:rPr>
          <w:rFonts w:hint="eastAsia" w:ascii="仿宋" w:hAnsi="仿宋" w:eastAsia="仿宋" w:cs="仿宋"/>
          <w:b w:val="0"/>
          <w:bCs/>
          <w:sz w:val="32"/>
          <w:szCs w:val="32"/>
        </w:rPr>
        <w:t>万元</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highlight w:val="none"/>
        </w:rPr>
        <w:t>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单位部分养老保险，由财政统筹预算。</w:t>
      </w:r>
    </w:p>
    <w:p>
      <w:pPr>
        <w:pStyle w:val="10"/>
        <w:keepNext w:val="0"/>
        <w:keepLines w:val="0"/>
        <w:pageBreakBefore w:val="0"/>
        <w:numPr>
          <w:ilvl w:val="0"/>
          <w:numId w:val="3"/>
        </w:numPr>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卫生健康支出（类）</w:t>
      </w:r>
      <w:r>
        <w:rPr>
          <w:rFonts w:hint="eastAsia" w:ascii="仿宋" w:hAnsi="仿宋" w:eastAsia="仿宋" w:cs="仿宋"/>
          <w:b w:val="0"/>
          <w:bCs/>
          <w:sz w:val="32"/>
          <w:szCs w:val="32"/>
          <w:highlight w:val="none"/>
          <w:lang w:eastAsia="zh-CN"/>
        </w:rPr>
        <w:t>公共卫生</w:t>
      </w:r>
      <w:r>
        <w:rPr>
          <w:rFonts w:hint="eastAsia" w:ascii="仿宋" w:hAnsi="仿宋" w:eastAsia="仿宋" w:cs="仿宋"/>
          <w:b w:val="0"/>
          <w:bCs/>
          <w:sz w:val="32"/>
          <w:szCs w:val="32"/>
          <w:highlight w:val="none"/>
        </w:rPr>
        <w:t>（款）</w:t>
      </w:r>
      <w:r>
        <w:rPr>
          <w:rFonts w:hint="eastAsia" w:ascii="仿宋" w:hAnsi="仿宋" w:eastAsia="仿宋" w:cs="仿宋"/>
          <w:b w:val="0"/>
          <w:bCs/>
          <w:sz w:val="32"/>
          <w:szCs w:val="32"/>
          <w:highlight w:val="none"/>
          <w:lang w:eastAsia="zh-CN"/>
        </w:rPr>
        <w:t>突发公共卫生事件应急处理</w:t>
      </w:r>
      <w:r>
        <w:rPr>
          <w:rFonts w:hint="eastAsia" w:ascii="仿宋" w:hAnsi="仿宋" w:eastAsia="仿宋" w:cs="仿宋"/>
          <w:b w:val="0"/>
          <w:bCs/>
          <w:sz w:val="32"/>
          <w:szCs w:val="32"/>
          <w:highlight w:val="none"/>
        </w:rPr>
        <w:t>（项）。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default" w:ascii="仿宋" w:hAnsi="仿宋" w:eastAsia="仿宋" w:cs="仿宋"/>
          <w:b w:val="0"/>
          <w:bCs/>
          <w:sz w:val="32"/>
          <w:szCs w:val="32"/>
          <w:highlight w:val="none"/>
          <w:lang w:val="en-US" w:eastAsia="zh-CN"/>
        </w:rPr>
      </w:pPr>
      <w:r>
        <w:rPr>
          <w:rFonts w:hint="eastAsia" w:ascii="仿宋" w:hAnsi="仿宋" w:eastAsia="仿宋" w:cs="仿宋"/>
          <w:b w:val="0"/>
          <w:bCs/>
          <w:sz w:val="32"/>
          <w:szCs w:val="32"/>
        </w:rPr>
        <w:t>年初预算为</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万元，支出决算为</w:t>
      </w:r>
      <w:r>
        <w:rPr>
          <w:rFonts w:hint="eastAsia" w:ascii="仿宋" w:hAnsi="仿宋" w:eastAsia="仿宋" w:cs="仿宋"/>
          <w:b w:val="0"/>
          <w:bCs/>
          <w:sz w:val="32"/>
          <w:szCs w:val="32"/>
          <w:lang w:val="en-US" w:eastAsia="zh-CN"/>
        </w:rPr>
        <w:t>2.4</w:t>
      </w:r>
      <w:r>
        <w:rPr>
          <w:rFonts w:hint="eastAsia" w:ascii="仿宋" w:hAnsi="仿宋" w:eastAsia="仿宋" w:cs="仿宋"/>
          <w:b w:val="0"/>
          <w:bCs/>
          <w:sz w:val="32"/>
          <w:szCs w:val="32"/>
        </w:rPr>
        <w:t>万元</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highlight w:val="none"/>
        </w:rPr>
        <w:t>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因疫情原因财政追加抗疫经费。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8、</w:t>
      </w:r>
      <w:r>
        <w:rPr>
          <w:rFonts w:hint="eastAsia" w:ascii="仿宋" w:hAnsi="仿宋" w:eastAsia="仿宋" w:cs="仿宋"/>
          <w:b w:val="0"/>
          <w:bCs/>
          <w:sz w:val="32"/>
          <w:szCs w:val="32"/>
        </w:rPr>
        <w:t>卫生健康支出（类）行政事业单位医疗（款）行政单位医疗（项）。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45.36</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单位部分医疗保险，由财政统筹预算。</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lang w:val="en-US" w:eastAsia="zh-CN"/>
        </w:rPr>
        <w:t>9、</w:t>
      </w:r>
      <w:r>
        <w:rPr>
          <w:rFonts w:hint="eastAsia" w:ascii="仿宋" w:hAnsi="仿宋" w:eastAsia="仿宋" w:cs="仿宋"/>
          <w:b w:val="0"/>
          <w:bCs/>
          <w:sz w:val="32"/>
          <w:szCs w:val="32"/>
          <w:highlight w:val="none"/>
        </w:rPr>
        <w:t>卫生健康支出（类）医疗救助（款）城乡医疗救助（项）。</w:t>
      </w:r>
    </w:p>
    <w:p>
      <w:pPr>
        <w:pStyle w:val="10"/>
        <w:keepNext w:val="0"/>
        <w:keepLines w:val="0"/>
        <w:pageBreakBefore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b w:val="0"/>
          <w:bCs/>
          <w:sz w:val="32"/>
          <w:szCs w:val="32"/>
          <w:highlight w:val="none"/>
          <w:lang w:eastAsia="zh-CN"/>
        </w:rPr>
      </w:pPr>
      <w:r>
        <w:rPr>
          <w:rFonts w:hint="eastAsia" w:ascii="仿宋" w:hAnsi="仿宋" w:eastAsia="仿宋" w:cs="仿宋"/>
          <w:b w:val="0"/>
          <w:bCs/>
          <w:sz w:val="32"/>
          <w:szCs w:val="32"/>
          <w:highlight w:val="none"/>
        </w:rPr>
        <w:t>年初预算为</w:t>
      </w:r>
      <w:r>
        <w:rPr>
          <w:rFonts w:hint="eastAsia" w:ascii="仿宋" w:hAnsi="仿宋" w:eastAsia="仿宋" w:cs="仿宋"/>
          <w:b w:val="0"/>
          <w:bCs/>
          <w:sz w:val="32"/>
          <w:szCs w:val="32"/>
          <w:highlight w:val="none"/>
          <w:lang w:val="en-US" w:eastAsia="zh-CN"/>
        </w:rPr>
        <w:t>0</w:t>
      </w:r>
      <w:r>
        <w:rPr>
          <w:rFonts w:hint="eastAsia" w:ascii="仿宋" w:hAnsi="仿宋" w:eastAsia="仿宋" w:cs="仿宋"/>
          <w:b w:val="0"/>
          <w:bCs/>
          <w:sz w:val="32"/>
          <w:szCs w:val="32"/>
          <w:highlight w:val="none"/>
        </w:rPr>
        <w:t>万元，支出决算为</w:t>
      </w:r>
      <w:r>
        <w:rPr>
          <w:rFonts w:hint="eastAsia" w:ascii="仿宋" w:hAnsi="仿宋" w:eastAsia="仿宋" w:cs="仿宋"/>
          <w:b w:val="0"/>
          <w:bCs/>
          <w:sz w:val="32"/>
          <w:szCs w:val="32"/>
          <w:highlight w:val="none"/>
          <w:lang w:val="en-US" w:eastAsia="zh-CN"/>
        </w:rPr>
        <w:t>2.00</w:t>
      </w:r>
      <w:r>
        <w:rPr>
          <w:rFonts w:hint="eastAsia" w:ascii="仿宋" w:hAnsi="仿宋" w:eastAsia="仿宋" w:cs="仿宋"/>
          <w:b w:val="0"/>
          <w:bCs/>
          <w:sz w:val="32"/>
          <w:szCs w:val="32"/>
          <w:highlight w:val="none"/>
        </w:rPr>
        <w:t>万元，决算数</w:t>
      </w:r>
      <w:r>
        <w:rPr>
          <w:rFonts w:hint="eastAsia" w:ascii="仿宋" w:hAnsi="仿宋" w:eastAsia="仿宋" w:cs="仿宋"/>
          <w:b w:val="0"/>
          <w:bCs/>
          <w:sz w:val="32"/>
          <w:szCs w:val="32"/>
          <w:highlight w:val="none"/>
          <w:lang w:val="en-US" w:eastAsia="zh-CN"/>
        </w:rPr>
        <w:t>大</w:t>
      </w:r>
      <w:r>
        <w:rPr>
          <w:rFonts w:hint="eastAsia" w:ascii="仿宋" w:hAnsi="仿宋" w:eastAsia="仿宋" w:cs="仿宋"/>
          <w:b w:val="0"/>
          <w:bCs/>
          <w:sz w:val="32"/>
          <w:szCs w:val="32"/>
          <w:highlight w:val="none"/>
        </w:rPr>
        <w:t>于年初预算数的主要原因是：</w:t>
      </w:r>
      <w:r>
        <w:rPr>
          <w:rFonts w:hint="eastAsia" w:ascii="仿宋" w:hAnsi="仿宋" w:eastAsia="仿宋" w:cs="仿宋"/>
          <w:b w:val="0"/>
          <w:bCs/>
          <w:sz w:val="32"/>
          <w:szCs w:val="32"/>
          <w:highlight w:val="none"/>
          <w:lang w:val="en-US" w:eastAsia="zh-CN"/>
        </w:rPr>
        <w:t>财政追加</w:t>
      </w:r>
      <w:r>
        <w:rPr>
          <w:rFonts w:hint="eastAsia" w:ascii="仿宋" w:hAnsi="仿宋" w:eastAsia="仿宋" w:cs="仿宋"/>
          <w:b w:val="0"/>
          <w:bCs/>
          <w:sz w:val="32"/>
          <w:szCs w:val="32"/>
          <w:highlight w:val="none"/>
        </w:rPr>
        <w:t>医疗救助补助</w:t>
      </w:r>
      <w:r>
        <w:rPr>
          <w:rFonts w:hint="eastAsia" w:ascii="仿宋" w:hAnsi="仿宋" w:eastAsia="仿宋" w:cs="仿宋"/>
          <w:b w:val="0"/>
          <w:bCs/>
          <w:sz w:val="32"/>
          <w:szCs w:val="32"/>
          <w:highlight w:val="none"/>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1469.84</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1252.64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85.22</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、机关事业单位基本养老保险缴费、职工基本医疗保险缴费、其他社会保障缴费、其他工资福利支出、抚恤金、生活补助、其他对个人和家庭的补助。</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217.21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14.78</w:t>
      </w:r>
      <w:r>
        <w:rPr>
          <w:rFonts w:hint="eastAsia" w:ascii="Times New Roman" w:hAnsi="Times New Roman" w:eastAsia="仿宋_GB2312"/>
          <w:sz w:val="32"/>
          <w:szCs w:val="32"/>
        </w:rPr>
        <w:t>%，主要包括办公费、咨询费、</w:t>
      </w:r>
      <w:r>
        <w:rPr>
          <w:rFonts w:hint="eastAsia" w:ascii="Times New Roman" w:hAnsi="Times New Roman" w:eastAsia="仿宋_GB2312"/>
          <w:sz w:val="32"/>
          <w:szCs w:val="32"/>
          <w:lang w:eastAsia="zh-CN"/>
        </w:rPr>
        <w:t>水费、电费、邮电费、差旅费、维修（护）费、会议费、培训费、公务接待费、劳务费、工会经费、福利费、其他交通费用、其他商品和服务支出、办公设备购置</w:t>
      </w:r>
      <w:r>
        <w:rPr>
          <w:rFonts w:hint="eastAsia" w:ascii="Times New Roman" w:hAnsi="Times New Roman" w:eastAsia="仿宋_GB2312"/>
          <w:sz w:val="32"/>
          <w:szCs w:val="32"/>
        </w:rPr>
        <w:t>。</w:t>
      </w:r>
    </w:p>
    <w:p>
      <w:pPr>
        <w:pStyle w:val="10"/>
        <w:keepNext w:val="0"/>
        <w:keepLines w:val="0"/>
        <w:pageBreakBefore w:val="0"/>
        <w:widowControl w:val="0"/>
        <w:numPr>
          <w:ilvl w:val="0"/>
          <w:numId w:val="4"/>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87.57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68.02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77.68</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万元，与上年</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10.32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10.66</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疫情原因，接待任务减少。</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2.97</w:t>
      </w:r>
      <w:r>
        <w:rPr>
          <w:rFonts w:hint="eastAsia" w:ascii="Times New Roman" w:hAnsi="Times New Roman" w:eastAsia="仿宋_GB2312"/>
          <w:sz w:val="32"/>
          <w:szCs w:val="32"/>
        </w:rPr>
        <w:t>，减少（增长）</w:t>
      </w:r>
      <w:r>
        <w:rPr>
          <w:rFonts w:hint="eastAsia" w:ascii="Times New Roman" w:hAnsi="Times New Roman" w:eastAsia="仿宋_GB2312"/>
          <w:sz w:val="32"/>
          <w:szCs w:val="32"/>
          <w:lang w:val="en-US" w:eastAsia="zh-CN"/>
        </w:rPr>
        <w:t>27.03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疫情原因，接待减少</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98.27</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公务用车购置经费形成经费结余</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29.84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上年未采购公务用车</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47.25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37.44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79.24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厉行节约、从严控制</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3.78</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9.17%</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eastAsia="zh-CN"/>
        </w:rPr>
        <w:t>厉行节约、从严控制</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1.62</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万元,公务用车购置费及运行维护费支出决算</w:t>
      </w:r>
      <w:r>
        <w:rPr>
          <w:rFonts w:hint="eastAsia" w:ascii="Times New Roman" w:hAnsi="Times New Roman" w:eastAsia="仿宋_GB2312"/>
          <w:sz w:val="32"/>
          <w:szCs w:val="32"/>
          <w:lang w:val="en-US" w:eastAsia="zh-CN"/>
        </w:rPr>
        <w:t>66.92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98.38</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各兄弟市州赴怀考察调研、县市区政协赴市政协对接汇报工作</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66.92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29.48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市政协</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37.44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车辆的燃料费、维修费、保险费、过路过桥费等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本单位无政府性基金预算财政拨款收入支出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217.21</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172.39</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44.25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加强管理，实施厉行节约条例，机关运行经费小幅度减少</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6.85</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农业委、人环委委员会议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42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交流工作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问旅专家座谈会，人数</w:t>
      </w:r>
      <w:r>
        <w:rPr>
          <w:rFonts w:hint="eastAsia" w:ascii="Times New Roman" w:hAnsi="Times New Roman" w:eastAsia="仿宋_GB2312"/>
          <w:sz w:val="32"/>
          <w:szCs w:val="32"/>
          <w:lang w:val="en-US" w:eastAsia="zh-CN"/>
        </w:rPr>
        <w:t>16人，内容为研究文旅工作；社民委委员会议，人数86人，内容为交流工作；宣传阵地建设座谈会，人数58人，内容为部署相关工作；政协议政性常委会，人数116人，内容为商讨专题议案。</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0.611</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全市提案承办单位联络员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127人，</w:t>
      </w:r>
      <w:r>
        <w:rPr>
          <w:rFonts w:hint="eastAsia" w:ascii="Times New Roman" w:hAnsi="Times New Roman" w:eastAsia="仿宋_GB2312"/>
          <w:sz w:val="32"/>
          <w:szCs w:val="32"/>
        </w:rPr>
        <w:t>内容为</w:t>
      </w:r>
      <w:r>
        <w:rPr>
          <w:rFonts w:hint="eastAsia" w:ascii="Times New Roman" w:hAnsi="Times New Roman" w:eastAsia="仿宋_GB2312"/>
          <w:sz w:val="32"/>
          <w:szCs w:val="32"/>
          <w:lang w:eastAsia="zh-CN"/>
        </w:rPr>
        <w:t>学习提案相关工作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用于履职党支部学习培训，人数</w:t>
      </w:r>
      <w:r>
        <w:rPr>
          <w:rFonts w:hint="eastAsia" w:ascii="Times New Roman" w:hAnsi="Times New Roman" w:eastAsia="仿宋_GB2312"/>
          <w:sz w:val="32"/>
          <w:szCs w:val="32"/>
          <w:lang w:val="en-US" w:eastAsia="zh-CN"/>
        </w:rPr>
        <w:t>50人，用于委联委履职党支部学习</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200.23</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83.28</w:t>
      </w:r>
      <w:r>
        <w:rPr>
          <w:rFonts w:hint="eastAsia" w:ascii="Times New Roman" w:hAnsi="Times New Roman" w:eastAsia="仿宋_GB2312"/>
          <w:sz w:val="32"/>
          <w:szCs w:val="32"/>
        </w:rPr>
        <w:t xml:space="preserve"> 万元、政府采购服务支出</w:t>
      </w:r>
      <w:r>
        <w:rPr>
          <w:rFonts w:hint="eastAsia" w:ascii="Times New Roman" w:hAnsi="Times New Roman" w:eastAsia="仿宋_GB2312"/>
          <w:sz w:val="32"/>
          <w:szCs w:val="32"/>
          <w:lang w:val="en-US" w:eastAsia="zh-CN"/>
        </w:rPr>
        <w:t>116.95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200.23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200.23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辆，</w:t>
      </w:r>
      <w:r>
        <w:rPr>
          <w:rFonts w:hint="eastAsia" w:ascii="仿宋" w:hAnsi="仿宋" w:eastAsia="仿宋" w:cs="仿宋"/>
          <w:b w:val="0"/>
          <w:bCs/>
          <w:sz w:val="32"/>
          <w:szCs w:val="32"/>
        </w:rPr>
        <w:t>其中，主要领导干部用车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辆，机要通信用车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辆、应急保障用车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辆、执法执勤用车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辆、特种专业技术用车</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辆、其他用车</w:t>
      </w:r>
      <w:r>
        <w:rPr>
          <w:rFonts w:hint="eastAsia" w:ascii="仿宋" w:hAnsi="仿宋" w:eastAsia="仿宋" w:cs="仿宋"/>
          <w:b w:val="0"/>
          <w:bCs/>
          <w:sz w:val="32"/>
          <w:szCs w:val="32"/>
          <w:lang w:val="en-US" w:eastAsia="zh-CN"/>
        </w:rPr>
        <w:t>11</w:t>
      </w:r>
      <w:r>
        <w:rPr>
          <w:rFonts w:hint="eastAsia" w:ascii="仿宋" w:hAnsi="仿宋" w:eastAsia="仿宋" w:cs="仿宋"/>
          <w:b w:val="0"/>
          <w:bCs/>
          <w:sz w:val="32"/>
          <w:szCs w:val="32"/>
        </w:rPr>
        <w:t>辆，其他用车主要是</w:t>
      </w:r>
      <w:r>
        <w:rPr>
          <w:rFonts w:hint="eastAsia" w:ascii="仿宋" w:hAnsi="仿宋" w:eastAsia="仿宋" w:cs="仿宋"/>
          <w:b w:val="0"/>
          <w:bCs/>
          <w:sz w:val="32"/>
          <w:szCs w:val="32"/>
          <w:lang w:val="en-US" w:eastAsia="zh-CN"/>
        </w:rPr>
        <w:t>一般公务用车</w:t>
      </w:r>
      <w:r>
        <w:rPr>
          <w:rFonts w:hint="eastAsia" w:ascii="仿宋" w:hAnsi="仿宋" w:eastAsia="仿宋" w:cs="仿宋"/>
          <w:b w:val="0"/>
          <w:bCs/>
          <w:sz w:val="32"/>
          <w:szCs w:val="32"/>
        </w:rPr>
        <w:t>；单位价值50万元以上通用设备</w:t>
      </w:r>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台（套）；单位价值100万元以上专用设备</w:t>
      </w:r>
      <w:r>
        <w:rPr>
          <w:rFonts w:hint="eastAsia" w:ascii="仿宋" w:hAnsi="仿宋" w:eastAsia="仿宋" w:cs="仿宋"/>
          <w:b w:val="0"/>
          <w:bCs/>
          <w:sz w:val="32"/>
          <w:szCs w:val="32"/>
          <w:lang w:val="en-US" w:eastAsia="zh-CN"/>
        </w:rPr>
        <w:t>0</w:t>
      </w:r>
      <w:r>
        <w:rPr>
          <w:rFonts w:hint="eastAsia" w:ascii="仿宋" w:hAnsi="仿宋" w:eastAsia="仿宋" w:cs="仿宋"/>
          <w:b w:val="0"/>
          <w:bCs/>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widowControl/>
        <w:shd w:val="clear" w:color="auto" w:fill="FFFFFF"/>
        <w:spacing w:line="600" w:lineRule="atLeast"/>
        <w:ind w:firstLine="640"/>
        <w:rPr>
          <w:rFonts w:hint="eastAsia" w:ascii="仿宋" w:hAnsi="仿宋" w:eastAsia="仿宋"/>
          <w:spacing w:val="-2"/>
          <w:sz w:val="32"/>
          <w:szCs w:val="32"/>
          <w:lang w:eastAsia="zh-CN"/>
        </w:rPr>
      </w:pPr>
      <w:r>
        <w:rPr>
          <w:rFonts w:ascii="仿宋" w:hAnsi="仿宋" w:eastAsia="仿宋"/>
          <w:spacing w:val="-2"/>
          <w:sz w:val="32"/>
          <w:szCs w:val="32"/>
        </w:rPr>
        <w:t>经济性</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2022年度本年收入2085.5万元，其中年初预算1545.28万元，年中追加预算540.22万元，2022年决算支出2085.5万元。追加预算主要是部分人员经费（如2021年度绩效奖）、抗疫补助资金、老干活动经费、办公楼及会议室维修资金、政协新大门建设上年结转资金等纳入财政预算，但未纳入本单位年初预算；省拨省政协委员视察经费用于政协委员视察工作等未纳入年初预算。</w:t>
      </w:r>
    </w:p>
    <w:p>
      <w:pPr>
        <w:keepNext w:val="0"/>
        <w:keepLines w:val="0"/>
        <w:pageBreakBefore w:val="0"/>
        <w:kinsoku/>
        <w:wordWrap/>
        <w:overflowPunct/>
        <w:topLinePunct w:val="0"/>
        <w:autoSpaceDN/>
        <w:bidi w:val="0"/>
        <w:adjustRightInd/>
        <w:spacing w:line="600" w:lineRule="exact"/>
        <w:ind w:left="0" w:leftChars="0" w:firstLine="632" w:firstLineChars="200"/>
        <w:textAlignment w:val="auto"/>
        <w:rPr>
          <w:rFonts w:hint="default" w:ascii="Times New Roman" w:hAnsi="Times New Roman" w:eastAsia="仿宋_GB2312" w:cs="Times New Roman"/>
          <w:b w:val="0"/>
          <w:bCs w:val="0"/>
          <w:color w:val="FF0000"/>
          <w:spacing w:val="0"/>
          <w:sz w:val="32"/>
          <w:szCs w:val="32"/>
          <w:highlight w:val="none"/>
          <w:shd w:val="clear" w:color="auto" w:fill="FFFFFF"/>
          <w:lang w:val="en-US" w:eastAsia="zh-CN"/>
        </w:rPr>
      </w:pPr>
      <w:r>
        <w:rPr>
          <w:rFonts w:ascii="仿宋" w:hAnsi="仿宋" w:eastAsia="仿宋"/>
          <w:spacing w:val="-2"/>
          <w:sz w:val="32"/>
          <w:szCs w:val="32"/>
        </w:rPr>
        <w:t>效率性</w:t>
      </w:r>
      <w:r>
        <w:rPr>
          <w:rFonts w:hint="eastAsia" w:ascii="仿宋" w:hAnsi="仿宋" w:eastAsia="仿宋"/>
          <w:spacing w:val="-2"/>
          <w:sz w:val="32"/>
          <w:szCs w:val="32"/>
          <w:lang w:eastAsia="zh-CN"/>
        </w:rPr>
        <w:t>：</w:t>
      </w:r>
      <w:r>
        <w:rPr>
          <w:rFonts w:hint="default" w:ascii="Times New Roman" w:hAnsi="Times New Roman" w:eastAsia="仿宋_GB2312" w:cs="Times New Roman"/>
          <w:b w:val="0"/>
          <w:bCs w:val="0"/>
          <w:vanish w:val="0"/>
          <w:color w:val="auto"/>
          <w:spacing w:val="0"/>
          <w:kern w:val="0"/>
          <w:sz w:val="32"/>
          <w:szCs w:val="32"/>
          <w:highlight w:val="none"/>
          <w:lang w:eastAsia="zh-CN"/>
        </w:rPr>
        <w:t>围绕市委市政府</w:t>
      </w:r>
      <w:r>
        <w:rPr>
          <w:rFonts w:hint="default" w:ascii="Times New Roman" w:hAnsi="Times New Roman" w:eastAsia="仿宋_GB2312" w:cs="Times New Roman"/>
          <w:b w:val="0"/>
          <w:bCs w:val="0"/>
          <w:vanish w:val="0"/>
          <w:color w:val="auto"/>
          <w:spacing w:val="0"/>
          <w:kern w:val="0"/>
          <w:sz w:val="32"/>
          <w:szCs w:val="32"/>
          <w:highlight w:val="none"/>
        </w:rPr>
        <w:t>加快建设怀化国际陆港</w:t>
      </w:r>
      <w:r>
        <w:rPr>
          <w:rFonts w:hint="default" w:ascii="Times New Roman" w:hAnsi="Times New Roman" w:eastAsia="仿宋_GB2312" w:cs="Times New Roman"/>
          <w:b w:val="0"/>
          <w:bCs w:val="0"/>
          <w:vanish w:val="0"/>
          <w:color w:val="auto"/>
          <w:spacing w:val="0"/>
          <w:kern w:val="0"/>
          <w:sz w:val="32"/>
          <w:szCs w:val="32"/>
          <w:highlight w:val="none"/>
          <w:lang w:eastAsia="zh-CN"/>
        </w:rPr>
        <w:t>的重大决策，开展</w:t>
      </w:r>
      <w:r>
        <w:rPr>
          <w:rFonts w:hint="default" w:ascii="Times New Roman" w:hAnsi="Times New Roman" w:eastAsia="仿宋_GB2312" w:cs="Times New Roman"/>
          <w:b w:val="0"/>
          <w:bCs w:val="0"/>
          <w:vanish w:val="0"/>
          <w:color w:val="auto"/>
          <w:spacing w:val="0"/>
          <w:kern w:val="0"/>
          <w:sz w:val="32"/>
          <w:szCs w:val="32"/>
          <w:highlight w:val="none"/>
        </w:rPr>
        <w:t>“</w:t>
      </w:r>
      <w:r>
        <w:rPr>
          <w:rFonts w:hint="eastAsia" w:ascii="Times New Roman" w:hAnsi="Times New Roman" w:eastAsia="仿宋_GB2312" w:cs="Times New Roman"/>
          <w:b w:val="0"/>
          <w:bCs w:val="0"/>
          <w:vanish w:val="0"/>
          <w:color w:val="auto"/>
          <w:spacing w:val="0"/>
          <w:kern w:val="0"/>
          <w:sz w:val="32"/>
          <w:szCs w:val="32"/>
          <w:highlight w:val="none"/>
          <w:lang w:eastAsia="zh-CN"/>
        </w:rPr>
        <w:t>建设</w:t>
      </w:r>
      <w:r>
        <w:rPr>
          <w:rFonts w:hint="default" w:ascii="Times New Roman" w:hAnsi="Times New Roman" w:eastAsia="仿宋_GB2312" w:cs="Times New Roman"/>
          <w:b w:val="0"/>
          <w:bCs w:val="0"/>
          <w:vanish w:val="0"/>
          <w:color w:val="auto"/>
          <w:spacing w:val="0"/>
          <w:kern w:val="0"/>
          <w:sz w:val="32"/>
          <w:szCs w:val="32"/>
          <w:highlight w:val="none"/>
        </w:rPr>
        <w:t>怀化国际陆港背景下物流</w:t>
      </w:r>
      <w:r>
        <w:rPr>
          <w:rFonts w:hint="eastAsia" w:ascii="Times New Roman" w:hAnsi="Times New Roman" w:eastAsia="仿宋_GB2312" w:cs="Times New Roman"/>
          <w:b w:val="0"/>
          <w:bCs w:val="0"/>
          <w:vanish w:val="0"/>
          <w:color w:val="auto"/>
          <w:spacing w:val="0"/>
          <w:kern w:val="0"/>
          <w:sz w:val="32"/>
          <w:szCs w:val="32"/>
          <w:highlight w:val="none"/>
          <w:lang w:eastAsia="zh-CN"/>
        </w:rPr>
        <w:t>产</w:t>
      </w:r>
      <w:r>
        <w:rPr>
          <w:rFonts w:hint="default" w:ascii="Times New Roman" w:hAnsi="Times New Roman" w:eastAsia="仿宋_GB2312" w:cs="Times New Roman"/>
          <w:b w:val="0"/>
          <w:bCs w:val="0"/>
          <w:vanish w:val="0"/>
          <w:color w:val="auto"/>
          <w:spacing w:val="0"/>
          <w:kern w:val="0"/>
          <w:sz w:val="32"/>
          <w:szCs w:val="32"/>
          <w:highlight w:val="none"/>
        </w:rPr>
        <w:t>业转型发展”课题调研</w:t>
      </w:r>
      <w:r>
        <w:rPr>
          <w:rFonts w:hint="default" w:ascii="Times New Roman" w:hAnsi="Times New Roman" w:eastAsia="仿宋_GB2312" w:cs="Times New Roman"/>
          <w:b w:val="0"/>
          <w:bCs w:val="0"/>
          <w:vanish w:val="0"/>
          <w:color w:val="auto"/>
          <w:spacing w:val="0"/>
          <w:kern w:val="0"/>
          <w:sz w:val="32"/>
          <w:szCs w:val="32"/>
          <w:highlight w:val="none"/>
          <w:lang w:eastAsia="zh-CN"/>
        </w:rPr>
        <w:t>，召开专题</w:t>
      </w:r>
      <w:r>
        <w:rPr>
          <w:rFonts w:hint="default" w:ascii="Times New Roman" w:hAnsi="Times New Roman" w:eastAsia="仿宋_GB2312" w:cs="Times New Roman"/>
          <w:b w:val="0"/>
          <w:bCs w:val="0"/>
          <w:vanish w:val="0"/>
          <w:color w:val="auto"/>
          <w:spacing w:val="0"/>
          <w:kern w:val="0"/>
          <w:sz w:val="32"/>
          <w:szCs w:val="32"/>
          <w:highlight w:val="none"/>
        </w:rPr>
        <w:t>议政性常委会议</w:t>
      </w:r>
      <w:r>
        <w:rPr>
          <w:rFonts w:hint="default" w:ascii="Times New Roman" w:hAnsi="Times New Roman" w:eastAsia="仿宋_GB2312" w:cs="Times New Roman"/>
          <w:b w:val="0"/>
          <w:bCs w:val="0"/>
          <w:vanish w:val="0"/>
          <w:color w:val="auto"/>
          <w:spacing w:val="0"/>
          <w:kern w:val="0"/>
          <w:sz w:val="32"/>
          <w:szCs w:val="32"/>
          <w:highlight w:val="none"/>
          <w:lang w:eastAsia="zh-CN"/>
        </w:rPr>
        <w:t>。</w:t>
      </w:r>
      <w:r>
        <w:rPr>
          <w:rFonts w:hint="default" w:ascii="Times New Roman" w:hAnsi="Times New Roman" w:eastAsia="仿宋_GB2312" w:cs="Times New Roman"/>
          <w:b w:val="0"/>
          <w:bCs w:val="0"/>
          <w:vanish w:val="0"/>
          <w:color w:val="auto"/>
          <w:spacing w:val="0"/>
          <w:kern w:val="0"/>
          <w:sz w:val="32"/>
          <w:szCs w:val="32"/>
          <w:highlight w:val="none"/>
        </w:rPr>
        <w:t>市委书记许忠建</w:t>
      </w:r>
      <w:r>
        <w:rPr>
          <w:rFonts w:hint="eastAsia" w:ascii="Times New Roman" w:hAnsi="Times New Roman" w:eastAsia="仿宋_GB2312" w:cs="Times New Roman"/>
          <w:b w:val="0"/>
          <w:bCs w:val="0"/>
          <w:vanish w:val="0"/>
          <w:color w:val="auto"/>
          <w:spacing w:val="0"/>
          <w:kern w:val="0"/>
          <w:sz w:val="32"/>
          <w:szCs w:val="32"/>
          <w:highlight w:val="none"/>
          <w:lang w:val="en-US" w:eastAsia="zh-CN"/>
        </w:rPr>
        <w:t>亲自率领</w:t>
      </w:r>
      <w:r>
        <w:rPr>
          <w:rFonts w:hint="default" w:ascii="Times New Roman" w:hAnsi="Times New Roman" w:eastAsia="仿宋_GB2312" w:cs="Times New Roman"/>
          <w:b w:val="0"/>
          <w:bCs w:val="0"/>
          <w:vanish w:val="0"/>
          <w:color w:val="auto"/>
          <w:spacing w:val="0"/>
          <w:kern w:val="0"/>
          <w:sz w:val="32"/>
          <w:szCs w:val="32"/>
          <w:highlight w:val="none"/>
        </w:rPr>
        <w:t>有关</w:t>
      </w:r>
      <w:r>
        <w:rPr>
          <w:rFonts w:hint="default" w:ascii="Times New Roman" w:hAnsi="Times New Roman" w:eastAsia="仿宋_GB2312" w:cs="Times New Roman"/>
          <w:b w:val="0"/>
          <w:bCs w:val="0"/>
          <w:vanish w:val="0"/>
          <w:color w:val="auto"/>
          <w:spacing w:val="0"/>
          <w:kern w:val="0"/>
          <w:sz w:val="32"/>
          <w:szCs w:val="32"/>
          <w:highlight w:val="none"/>
          <w:lang w:eastAsia="zh-CN"/>
        </w:rPr>
        <w:t>市领导和</w:t>
      </w:r>
      <w:r>
        <w:rPr>
          <w:rFonts w:hint="default" w:ascii="Times New Roman" w:hAnsi="Times New Roman" w:eastAsia="仿宋_GB2312" w:cs="Times New Roman"/>
          <w:b w:val="0"/>
          <w:bCs w:val="0"/>
          <w:vanish w:val="0"/>
          <w:color w:val="auto"/>
          <w:spacing w:val="0"/>
          <w:kern w:val="0"/>
          <w:sz w:val="32"/>
          <w:szCs w:val="32"/>
          <w:highlight w:val="none"/>
        </w:rPr>
        <w:t>部门负责人出席</w:t>
      </w:r>
      <w:r>
        <w:rPr>
          <w:rFonts w:hint="default" w:ascii="Times New Roman" w:hAnsi="Times New Roman" w:eastAsia="仿宋_GB2312" w:cs="Times New Roman"/>
          <w:b w:val="0"/>
          <w:bCs w:val="0"/>
          <w:vanish w:val="0"/>
          <w:color w:val="auto"/>
          <w:spacing w:val="0"/>
          <w:kern w:val="0"/>
          <w:sz w:val="32"/>
          <w:szCs w:val="32"/>
          <w:highlight w:val="none"/>
          <w:lang w:eastAsia="zh-CN"/>
        </w:rPr>
        <w:t>会议</w:t>
      </w:r>
      <w:r>
        <w:rPr>
          <w:rFonts w:hint="default" w:ascii="Times New Roman" w:hAnsi="Times New Roman" w:eastAsia="仿宋_GB2312" w:cs="Times New Roman"/>
          <w:b w:val="0"/>
          <w:bCs w:val="0"/>
          <w:vanish w:val="0"/>
          <w:color w:val="auto"/>
          <w:spacing w:val="0"/>
          <w:kern w:val="0"/>
          <w:sz w:val="32"/>
          <w:szCs w:val="32"/>
          <w:highlight w:val="none"/>
        </w:rPr>
        <w:t>，与委员</w:t>
      </w:r>
      <w:r>
        <w:rPr>
          <w:rFonts w:hint="default" w:ascii="Times New Roman" w:hAnsi="Times New Roman" w:eastAsia="仿宋_GB2312" w:cs="Times New Roman"/>
          <w:b w:val="0"/>
          <w:bCs w:val="0"/>
          <w:vanish w:val="0"/>
          <w:color w:val="auto"/>
          <w:spacing w:val="0"/>
          <w:kern w:val="0"/>
          <w:sz w:val="32"/>
          <w:szCs w:val="32"/>
          <w:highlight w:val="none"/>
          <w:lang w:eastAsia="zh-CN"/>
        </w:rPr>
        <w:t>共话发展、共谋良策。会议形成的“抓紧布局建设现代物流产业园区”等</w:t>
      </w:r>
      <w:r>
        <w:rPr>
          <w:rFonts w:hint="default" w:ascii="Times New Roman" w:hAnsi="Times New Roman" w:eastAsia="仿宋_GB2312" w:cs="Times New Roman"/>
          <w:b w:val="0"/>
          <w:bCs w:val="0"/>
          <w:vanish w:val="0"/>
          <w:color w:val="auto"/>
          <w:spacing w:val="0"/>
          <w:kern w:val="0"/>
          <w:sz w:val="32"/>
          <w:szCs w:val="32"/>
          <w:highlight w:val="none"/>
        </w:rPr>
        <w:t>18条建议</w:t>
      </w:r>
      <w:r>
        <w:rPr>
          <w:rFonts w:hint="default" w:ascii="Times New Roman" w:hAnsi="Times New Roman" w:eastAsia="仿宋_GB2312" w:cs="Times New Roman"/>
          <w:b w:val="0"/>
          <w:bCs w:val="0"/>
          <w:vanish w:val="0"/>
          <w:color w:val="auto"/>
          <w:spacing w:val="0"/>
          <w:kern w:val="0"/>
          <w:sz w:val="32"/>
          <w:szCs w:val="32"/>
          <w:highlight w:val="none"/>
          <w:lang w:eastAsia="zh-CN"/>
        </w:rPr>
        <w:t>，</w:t>
      </w:r>
      <w:r>
        <w:rPr>
          <w:rFonts w:hint="default" w:ascii="Times New Roman" w:hAnsi="Times New Roman" w:eastAsia="仿宋_GB2312" w:cs="Times New Roman"/>
          <w:b w:val="0"/>
          <w:bCs w:val="0"/>
          <w:vanish w:val="0"/>
          <w:color w:val="auto"/>
          <w:spacing w:val="0"/>
          <w:kern w:val="0"/>
          <w:sz w:val="32"/>
          <w:szCs w:val="32"/>
          <w:highlight w:val="none"/>
        </w:rPr>
        <w:t>被充分吸纳到市委《关于加快建设怀化国际陆港全力推动高水平开放高质量发展的决定》中</w:t>
      </w:r>
      <w:r>
        <w:rPr>
          <w:rFonts w:hint="default" w:ascii="Times New Roman" w:hAnsi="Times New Roman" w:eastAsia="仿宋_GB2312" w:cs="Times New Roman"/>
          <w:b w:val="0"/>
          <w:bCs w:val="0"/>
          <w:vanish w:val="0"/>
          <w:color w:val="auto"/>
          <w:spacing w:val="0"/>
          <w:kern w:val="0"/>
          <w:sz w:val="32"/>
          <w:szCs w:val="32"/>
          <w:highlight w:val="none"/>
          <w:lang w:eastAsia="zh-CN"/>
        </w:rPr>
        <w:t>。围绕市委市政府全力办好首届怀化</w:t>
      </w:r>
      <w:r>
        <w:rPr>
          <w:rFonts w:hint="eastAsia" w:ascii="Times New Roman" w:hAnsi="Times New Roman" w:eastAsia="仿宋_GB2312" w:cs="Times New Roman"/>
          <w:b w:val="0"/>
          <w:bCs w:val="0"/>
          <w:vanish w:val="0"/>
          <w:color w:val="auto"/>
          <w:spacing w:val="0"/>
          <w:kern w:val="0"/>
          <w:sz w:val="32"/>
          <w:szCs w:val="32"/>
          <w:highlight w:val="none"/>
          <w:lang w:eastAsia="zh-CN"/>
        </w:rPr>
        <w:t>市</w:t>
      </w:r>
      <w:r>
        <w:rPr>
          <w:rFonts w:hint="default" w:ascii="Times New Roman" w:hAnsi="Times New Roman" w:eastAsia="仿宋_GB2312" w:cs="Times New Roman"/>
          <w:b w:val="0"/>
          <w:bCs w:val="0"/>
          <w:vanish w:val="0"/>
          <w:color w:val="auto"/>
          <w:spacing w:val="0"/>
          <w:kern w:val="0"/>
          <w:sz w:val="32"/>
          <w:szCs w:val="32"/>
          <w:highlight w:val="none"/>
          <w:lang w:eastAsia="zh-CN"/>
        </w:rPr>
        <w:t>旅游发展大会的重大工作部署，开展</w:t>
      </w:r>
      <w:r>
        <w:rPr>
          <w:rFonts w:hint="default" w:ascii="Times New Roman" w:hAnsi="Times New Roman" w:eastAsia="仿宋_GB2312" w:cs="Times New Roman"/>
          <w:b w:val="0"/>
          <w:bCs w:val="0"/>
          <w:vanish w:val="0"/>
          <w:color w:val="auto"/>
          <w:spacing w:val="0"/>
          <w:kern w:val="0"/>
          <w:sz w:val="32"/>
          <w:szCs w:val="32"/>
          <w:highlight w:val="none"/>
        </w:rPr>
        <w:t>“加快推动文体旅融合发展，全力建设全国知名旅游目的地”</w:t>
      </w:r>
      <w:r>
        <w:rPr>
          <w:rFonts w:hint="default" w:ascii="Times New Roman" w:hAnsi="Times New Roman" w:eastAsia="仿宋_GB2312" w:cs="Times New Roman"/>
          <w:b w:val="0"/>
          <w:bCs w:val="0"/>
          <w:vanish w:val="0"/>
          <w:color w:val="auto"/>
          <w:spacing w:val="0"/>
          <w:kern w:val="0"/>
          <w:sz w:val="32"/>
          <w:szCs w:val="32"/>
          <w:highlight w:val="none"/>
          <w:lang w:eastAsia="zh-CN"/>
        </w:rPr>
        <w:t>专题</w:t>
      </w:r>
      <w:r>
        <w:rPr>
          <w:rFonts w:hint="default" w:ascii="Times New Roman" w:hAnsi="Times New Roman" w:eastAsia="仿宋_GB2312" w:cs="Times New Roman"/>
          <w:b w:val="0"/>
          <w:bCs w:val="0"/>
          <w:vanish w:val="0"/>
          <w:color w:val="auto"/>
          <w:spacing w:val="0"/>
          <w:kern w:val="0"/>
          <w:sz w:val="32"/>
          <w:szCs w:val="32"/>
          <w:highlight w:val="none"/>
        </w:rPr>
        <w:t>调研</w:t>
      </w:r>
      <w:r>
        <w:rPr>
          <w:rFonts w:hint="default" w:ascii="Times New Roman" w:hAnsi="Times New Roman" w:eastAsia="仿宋_GB2312" w:cs="Times New Roman"/>
          <w:b w:val="0"/>
          <w:bCs w:val="0"/>
          <w:vanish w:val="0"/>
          <w:color w:val="auto"/>
          <w:spacing w:val="0"/>
          <w:kern w:val="0"/>
          <w:sz w:val="32"/>
          <w:szCs w:val="32"/>
          <w:highlight w:val="none"/>
          <w:lang w:eastAsia="zh-CN"/>
        </w:rPr>
        <w:t>，形成有份量的建议案</w:t>
      </w:r>
      <w:r>
        <w:rPr>
          <w:rFonts w:hint="default" w:ascii="Times New Roman" w:hAnsi="Times New Roman" w:eastAsia="仿宋_GB2312" w:cs="Times New Roman"/>
          <w:b w:val="0"/>
          <w:bCs w:val="0"/>
          <w:vanish w:val="0"/>
          <w:color w:val="auto"/>
          <w:spacing w:val="0"/>
          <w:kern w:val="0"/>
          <w:sz w:val="32"/>
          <w:szCs w:val="32"/>
          <w:highlight w:val="none"/>
        </w:rPr>
        <w:t>。</w:t>
      </w:r>
      <w:r>
        <w:rPr>
          <w:rFonts w:hint="eastAsia" w:ascii="Times New Roman" w:hAnsi="Times New Roman" w:eastAsia="仿宋_GB2312" w:cs="Times New Roman"/>
          <w:b w:val="0"/>
          <w:bCs w:val="0"/>
          <w:vanish w:val="0"/>
          <w:color w:val="auto"/>
          <w:spacing w:val="0"/>
          <w:kern w:val="0"/>
          <w:sz w:val="32"/>
          <w:szCs w:val="32"/>
          <w:highlight w:val="none"/>
          <w:lang w:eastAsia="zh-CN"/>
        </w:rPr>
        <w:t>市委副书记、</w:t>
      </w:r>
      <w:r>
        <w:rPr>
          <w:rFonts w:hint="default" w:ascii="Times New Roman" w:hAnsi="Times New Roman" w:eastAsia="仿宋_GB2312" w:cs="Times New Roman"/>
          <w:b w:val="0"/>
          <w:bCs w:val="0"/>
          <w:vanish w:val="0"/>
          <w:color w:val="auto"/>
          <w:spacing w:val="0"/>
          <w:kern w:val="0"/>
          <w:sz w:val="32"/>
          <w:szCs w:val="32"/>
          <w:highlight w:val="none"/>
        </w:rPr>
        <w:t>市长黎春秋在</w:t>
      </w:r>
      <w:r>
        <w:rPr>
          <w:rFonts w:hint="default" w:ascii="Times New Roman" w:hAnsi="Times New Roman" w:eastAsia="仿宋_GB2312" w:cs="Times New Roman"/>
          <w:b w:val="0"/>
          <w:bCs w:val="0"/>
          <w:vanish w:val="0"/>
          <w:color w:val="auto"/>
          <w:spacing w:val="0"/>
          <w:kern w:val="0"/>
          <w:sz w:val="32"/>
          <w:szCs w:val="32"/>
          <w:highlight w:val="none"/>
          <w:lang w:eastAsia="zh-CN"/>
        </w:rPr>
        <w:t>专题</w:t>
      </w:r>
      <w:r>
        <w:rPr>
          <w:rFonts w:hint="default" w:ascii="Times New Roman" w:hAnsi="Times New Roman" w:eastAsia="仿宋_GB2312" w:cs="Times New Roman"/>
          <w:b w:val="0"/>
          <w:bCs w:val="0"/>
          <w:vanish w:val="0"/>
          <w:color w:val="auto"/>
          <w:spacing w:val="0"/>
          <w:kern w:val="0"/>
          <w:sz w:val="32"/>
          <w:szCs w:val="32"/>
          <w:highlight w:val="none"/>
        </w:rPr>
        <w:t>议政性常委会上，对“东进、西联、南延、北拓、强中心”、打造安江农校-洪江古商城-黔阳古城旅游“金三角”等建议</w:t>
      </w:r>
      <w:r>
        <w:rPr>
          <w:rFonts w:hint="default" w:ascii="Times New Roman" w:hAnsi="Times New Roman" w:eastAsia="仿宋_GB2312" w:cs="Times New Roman"/>
          <w:b w:val="0"/>
          <w:bCs w:val="0"/>
          <w:vanish w:val="0"/>
          <w:color w:val="auto"/>
          <w:spacing w:val="0"/>
          <w:kern w:val="0"/>
          <w:sz w:val="32"/>
          <w:szCs w:val="32"/>
          <w:highlight w:val="none"/>
          <w:lang w:eastAsia="zh-CN"/>
        </w:rPr>
        <w:t>给予</w:t>
      </w:r>
      <w:r>
        <w:rPr>
          <w:rFonts w:hint="default" w:ascii="Times New Roman" w:hAnsi="Times New Roman" w:eastAsia="仿宋_GB2312" w:cs="Times New Roman"/>
          <w:b w:val="0"/>
          <w:bCs w:val="0"/>
          <w:vanish w:val="0"/>
          <w:color w:val="auto"/>
          <w:spacing w:val="0"/>
          <w:kern w:val="0"/>
          <w:sz w:val="32"/>
          <w:szCs w:val="32"/>
          <w:highlight w:val="none"/>
        </w:rPr>
        <w:t>高度</w:t>
      </w:r>
      <w:r>
        <w:rPr>
          <w:rFonts w:hint="default" w:ascii="Times New Roman" w:hAnsi="Times New Roman" w:eastAsia="仿宋_GB2312" w:cs="Times New Roman"/>
          <w:b w:val="0"/>
          <w:bCs w:val="0"/>
          <w:vanish w:val="0"/>
          <w:color w:val="auto"/>
          <w:spacing w:val="0"/>
          <w:kern w:val="0"/>
          <w:sz w:val="32"/>
          <w:szCs w:val="32"/>
          <w:highlight w:val="none"/>
          <w:lang w:eastAsia="zh-CN"/>
        </w:rPr>
        <w:t>评价</w:t>
      </w:r>
      <w:r>
        <w:rPr>
          <w:rFonts w:hint="default" w:ascii="Times New Roman" w:hAnsi="Times New Roman" w:eastAsia="仿宋_GB2312" w:cs="Times New Roman"/>
          <w:b w:val="0"/>
          <w:bCs w:val="0"/>
          <w:vanish w:val="0"/>
          <w:color w:val="auto"/>
          <w:spacing w:val="0"/>
          <w:kern w:val="0"/>
          <w:sz w:val="32"/>
          <w:szCs w:val="32"/>
          <w:highlight w:val="none"/>
        </w:rPr>
        <w:t>。</w:t>
      </w:r>
    </w:p>
    <w:p>
      <w:pPr>
        <w:widowControl/>
        <w:shd w:val="clear" w:color="auto" w:fill="FFFFFF"/>
        <w:spacing w:line="600" w:lineRule="atLeast"/>
        <w:ind w:firstLine="640"/>
        <w:rPr>
          <w:rFonts w:hint="default" w:ascii="仿宋" w:hAnsi="仿宋" w:eastAsia="仿宋" w:cs="Times New Roman"/>
          <w:spacing w:val="-2"/>
          <w:sz w:val="32"/>
          <w:szCs w:val="32"/>
          <w:lang w:val="en-US" w:eastAsia="zh-CN"/>
        </w:rPr>
      </w:pPr>
      <w:r>
        <w:rPr>
          <w:rFonts w:ascii="仿宋" w:hAnsi="仿宋" w:eastAsia="仿宋" w:cs="Times New Roman"/>
          <w:spacing w:val="-2"/>
          <w:sz w:val="32"/>
          <w:szCs w:val="32"/>
        </w:rPr>
        <w:t>有效性</w:t>
      </w:r>
      <w:r>
        <w:rPr>
          <w:rFonts w:hint="eastAsia" w:ascii="仿宋" w:hAnsi="仿宋" w:eastAsia="仿宋" w:cs="Times New Roman"/>
          <w:spacing w:val="-2"/>
          <w:sz w:val="32"/>
          <w:szCs w:val="32"/>
          <w:lang w:eastAsia="zh-CN"/>
        </w:rPr>
        <w:t>：</w:t>
      </w:r>
      <w:r>
        <w:rPr>
          <w:rFonts w:hint="default" w:ascii="仿宋" w:hAnsi="仿宋" w:eastAsia="仿宋" w:cs="Times New Roman"/>
          <w:spacing w:val="-2"/>
          <w:sz w:val="32"/>
          <w:szCs w:val="32"/>
          <w:lang w:val="en-US" w:eastAsia="zh-CN"/>
        </w:rPr>
        <w:t>多项创新性工作走在全省前列。聚焦干有所循、效有所考、绩有所评，在全省率先出台《县市区政协履职质量综合评价办法》</w:t>
      </w:r>
      <w:r>
        <w:rPr>
          <w:rFonts w:hint="eastAsia" w:ascii="仿宋" w:hAnsi="仿宋" w:eastAsia="仿宋" w:cs="Times New Roman"/>
          <w:spacing w:val="-2"/>
          <w:sz w:val="32"/>
          <w:szCs w:val="32"/>
          <w:lang w:val="en-US" w:eastAsia="zh-CN"/>
        </w:rPr>
        <w:t>，完善</w:t>
      </w:r>
      <w:r>
        <w:rPr>
          <w:rFonts w:hint="default" w:ascii="仿宋" w:hAnsi="仿宋" w:eastAsia="仿宋" w:cs="Times New Roman"/>
          <w:spacing w:val="-2"/>
          <w:sz w:val="32"/>
          <w:szCs w:val="32"/>
          <w:lang w:val="en-US" w:eastAsia="zh-CN"/>
        </w:rPr>
        <w:t>《关于加强和改进怀化市政协专门委员会工作和制度建设实施办法》《政协怀化市委员会委员履职评价办法》，政协工作由注重“做了什么、做了多少”向“做得怎</w:t>
      </w:r>
      <w:r>
        <w:rPr>
          <w:rFonts w:hint="eastAsia" w:ascii="仿宋" w:hAnsi="仿宋" w:eastAsia="仿宋" w:cs="Times New Roman"/>
          <w:spacing w:val="-2"/>
          <w:sz w:val="32"/>
          <w:szCs w:val="32"/>
          <w:lang w:val="en-US" w:eastAsia="zh-CN"/>
        </w:rPr>
        <w:t>样</w:t>
      </w:r>
      <w:r>
        <w:rPr>
          <w:rFonts w:hint="default" w:ascii="仿宋" w:hAnsi="仿宋" w:eastAsia="仿宋" w:cs="Times New Roman"/>
          <w:spacing w:val="-2"/>
          <w:sz w:val="32"/>
          <w:szCs w:val="32"/>
          <w:lang w:val="en-US" w:eastAsia="zh-CN"/>
        </w:rPr>
        <w:t>”转变。聚焦畅通全天候履职渠道，运用政协云“智慧提案”系统提、交、办、评提案，</w:t>
      </w:r>
      <w:r>
        <w:rPr>
          <w:rFonts w:hint="eastAsia" w:ascii="仿宋" w:hAnsi="仿宋" w:eastAsia="仿宋" w:cs="Times New Roman"/>
          <w:spacing w:val="-2"/>
          <w:sz w:val="32"/>
          <w:szCs w:val="32"/>
          <w:lang w:val="en-US" w:eastAsia="zh-CN"/>
        </w:rPr>
        <w:t>首次</w:t>
      </w:r>
      <w:r>
        <w:rPr>
          <w:rFonts w:hint="default" w:ascii="仿宋" w:hAnsi="仿宋" w:eastAsia="仿宋" w:cs="Times New Roman"/>
          <w:spacing w:val="-2"/>
          <w:sz w:val="32"/>
          <w:szCs w:val="32"/>
          <w:lang w:val="en-US" w:eastAsia="zh-CN"/>
        </w:rPr>
        <w:t>实现提案工作全流程信息化管理。</w:t>
      </w:r>
    </w:p>
    <w:p>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ascii="仿宋" w:hAnsi="仿宋" w:eastAsia="仿宋"/>
          <w:spacing w:val="-2"/>
          <w:sz w:val="32"/>
          <w:szCs w:val="32"/>
        </w:rPr>
        <w:t>可持续性</w:t>
      </w:r>
      <w:r>
        <w:rPr>
          <w:rFonts w:hint="eastAsia" w:ascii="仿宋" w:hAnsi="仿宋" w:eastAsia="仿宋"/>
          <w:spacing w:val="-2"/>
          <w:sz w:val="32"/>
          <w:szCs w:val="32"/>
          <w:lang w:eastAsia="zh-CN"/>
        </w:rPr>
        <w:t>：</w:t>
      </w:r>
      <w:r>
        <w:rPr>
          <w:rFonts w:hint="default" w:ascii="仿宋" w:hAnsi="仿宋" w:eastAsia="仿宋" w:cs="Times New Roman"/>
          <w:spacing w:val="-2"/>
          <w:sz w:val="32"/>
          <w:szCs w:val="32"/>
          <w:lang w:val="en-US" w:eastAsia="zh-CN"/>
        </w:rPr>
        <w:t>助力乡村振兴。开展“脱贫地区特色产业发展现状及风险防范”专题调研协商，实施“农村人居环境‘五治’专项整治方案落实情况”视察监督。务实</w:t>
      </w:r>
      <w:r>
        <w:rPr>
          <w:rFonts w:hint="eastAsia" w:ascii="仿宋" w:hAnsi="仿宋" w:eastAsia="仿宋" w:cs="Times New Roman"/>
          <w:spacing w:val="-2"/>
          <w:sz w:val="32"/>
          <w:szCs w:val="32"/>
          <w:lang w:val="en-US" w:eastAsia="zh-CN"/>
        </w:rPr>
        <w:t>谋划</w:t>
      </w:r>
      <w:r>
        <w:rPr>
          <w:rFonts w:hint="default" w:ascii="仿宋" w:hAnsi="仿宋" w:eastAsia="仿宋" w:cs="Times New Roman"/>
          <w:spacing w:val="-2"/>
          <w:sz w:val="32"/>
          <w:szCs w:val="32"/>
          <w:lang w:val="en-US" w:eastAsia="zh-CN"/>
        </w:rPr>
        <w:t>芷江</w:t>
      </w:r>
      <w:r>
        <w:rPr>
          <w:rFonts w:hint="eastAsia" w:ascii="仿宋" w:hAnsi="仿宋" w:eastAsia="仿宋" w:cs="Times New Roman"/>
          <w:spacing w:val="-2"/>
          <w:sz w:val="32"/>
          <w:szCs w:val="32"/>
          <w:lang w:val="en-US" w:eastAsia="zh-CN"/>
        </w:rPr>
        <w:t>县罗卜田乡</w:t>
      </w:r>
      <w:r>
        <w:rPr>
          <w:rFonts w:hint="default" w:ascii="仿宋" w:hAnsi="仿宋" w:eastAsia="仿宋" w:cs="Times New Roman"/>
          <w:spacing w:val="-2"/>
          <w:sz w:val="32"/>
          <w:szCs w:val="32"/>
          <w:lang w:val="en-US" w:eastAsia="zh-CN"/>
        </w:rPr>
        <w:t>兴无村、新店村驻村帮扶工作</w:t>
      </w:r>
      <w:r>
        <w:rPr>
          <w:rFonts w:hint="eastAsia" w:ascii="仿宋" w:hAnsi="仿宋" w:eastAsia="仿宋" w:cs="Times New Roman"/>
          <w:spacing w:val="-2"/>
          <w:sz w:val="32"/>
          <w:szCs w:val="32"/>
          <w:lang w:val="en-US" w:eastAsia="zh-CN"/>
        </w:rPr>
        <w:t>，</w:t>
      </w:r>
      <w:r>
        <w:rPr>
          <w:rFonts w:hint="default" w:ascii="仿宋" w:hAnsi="仿宋" w:eastAsia="仿宋" w:cs="Times New Roman"/>
          <w:spacing w:val="-2"/>
          <w:sz w:val="32"/>
          <w:szCs w:val="32"/>
          <w:lang w:val="en-US" w:eastAsia="zh-CN"/>
        </w:rPr>
        <w:t>完成柑橘品改1025亩，启动柑橘生产加工厂、园艺场水肥一体化</w:t>
      </w:r>
      <w:r>
        <w:rPr>
          <w:rFonts w:hint="eastAsia" w:ascii="仿宋" w:hAnsi="仿宋" w:eastAsia="仿宋" w:cs="Times New Roman"/>
          <w:spacing w:val="-2"/>
          <w:sz w:val="32"/>
          <w:szCs w:val="32"/>
          <w:lang w:val="en-US" w:eastAsia="zh-CN"/>
        </w:rPr>
        <w:t>等</w:t>
      </w:r>
      <w:r>
        <w:rPr>
          <w:rFonts w:hint="default" w:ascii="仿宋" w:hAnsi="仿宋" w:eastAsia="仿宋" w:cs="Times New Roman"/>
          <w:spacing w:val="-2"/>
          <w:sz w:val="32"/>
          <w:szCs w:val="32"/>
          <w:lang w:val="en-US" w:eastAsia="zh-CN"/>
        </w:rPr>
        <w:t>项目建设</w:t>
      </w:r>
      <w:r>
        <w:rPr>
          <w:rFonts w:hint="eastAsia" w:ascii="仿宋" w:hAnsi="仿宋" w:eastAsia="仿宋" w:cs="Times New Roman"/>
          <w:spacing w:val="-2"/>
          <w:sz w:val="32"/>
          <w:szCs w:val="32"/>
          <w:lang w:val="en-US" w:eastAsia="zh-CN"/>
        </w:rPr>
        <w:t>，新建、新增一批危桥改建、垃圾分类收集及农村道路照明等基础设施</w:t>
      </w:r>
      <w:r>
        <w:rPr>
          <w:rFonts w:hint="default" w:ascii="仿宋" w:hAnsi="仿宋" w:eastAsia="仿宋" w:cs="Times New Roman"/>
          <w:spacing w:val="-2"/>
          <w:sz w:val="32"/>
          <w:szCs w:val="32"/>
          <w:lang w:val="en-US" w:eastAsia="zh-CN"/>
        </w:rPr>
        <w:t>，</w:t>
      </w:r>
      <w:r>
        <w:rPr>
          <w:rFonts w:hint="eastAsia" w:ascii="仿宋" w:hAnsi="仿宋" w:eastAsia="仿宋" w:cs="Times New Roman"/>
          <w:spacing w:val="-2"/>
          <w:sz w:val="32"/>
          <w:szCs w:val="32"/>
          <w:lang w:val="en-US" w:eastAsia="zh-CN"/>
        </w:rPr>
        <w:t>推动</w:t>
      </w:r>
      <w:r>
        <w:rPr>
          <w:rFonts w:hint="default" w:ascii="仿宋" w:hAnsi="仿宋" w:eastAsia="仿宋" w:cs="Times New Roman"/>
          <w:spacing w:val="-2"/>
          <w:sz w:val="32"/>
          <w:szCs w:val="32"/>
          <w:lang w:val="en-US" w:eastAsia="zh-CN"/>
        </w:rPr>
        <w:t>产业</w:t>
      </w:r>
      <w:r>
        <w:rPr>
          <w:rFonts w:hint="eastAsia" w:ascii="仿宋" w:hAnsi="仿宋" w:eastAsia="仿宋" w:cs="Times New Roman"/>
          <w:spacing w:val="-2"/>
          <w:sz w:val="32"/>
          <w:szCs w:val="32"/>
          <w:lang w:val="en-US" w:eastAsia="zh-CN"/>
        </w:rPr>
        <w:t>发展</w:t>
      </w:r>
      <w:r>
        <w:rPr>
          <w:rFonts w:hint="default" w:ascii="仿宋" w:hAnsi="仿宋" w:eastAsia="仿宋" w:cs="Times New Roman"/>
          <w:spacing w:val="-2"/>
          <w:sz w:val="32"/>
          <w:szCs w:val="32"/>
          <w:lang w:val="en-US" w:eastAsia="zh-CN"/>
        </w:rPr>
        <w:t>后劲</w:t>
      </w:r>
      <w:r>
        <w:rPr>
          <w:rFonts w:hint="eastAsia" w:ascii="仿宋" w:hAnsi="仿宋" w:eastAsia="仿宋" w:cs="Times New Roman"/>
          <w:spacing w:val="-2"/>
          <w:sz w:val="32"/>
          <w:szCs w:val="32"/>
          <w:lang w:val="en-US" w:eastAsia="zh-CN"/>
        </w:rPr>
        <w:t>持续增强</w:t>
      </w:r>
      <w:r>
        <w:rPr>
          <w:rFonts w:hint="default" w:ascii="仿宋" w:hAnsi="仿宋" w:eastAsia="仿宋" w:cs="Times New Roman"/>
          <w:spacing w:val="-2"/>
          <w:sz w:val="32"/>
          <w:szCs w:val="32"/>
          <w:lang w:val="en-US" w:eastAsia="zh-CN"/>
        </w:rPr>
        <w:t>、人居环境持续</w:t>
      </w:r>
      <w:r>
        <w:rPr>
          <w:rFonts w:hint="eastAsia" w:ascii="仿宋" w:hAnsi="仿宋" w:eastAsia="仿宋" w:cs="Times New Roman"/>
          <w:spacing w:val="-2"/>
          <w:sz w:val="32"/>
          <w:szCs w:val="32"/>
          <w:lang w:val="en-US" w:eastAsia="zh-CN"/>
        </w:rPr>
        <w:t>改善</w:t>
      </w:r>
      <w:r>
        <w:rPr>
          <w:rFonts w:hint="default" w:ascii="仿宋" w:hAnsi="仿宋" w:eastAsia="仿宋" w:cs="Times New Roman"/>
          <w:spacing w:val="-2"/>
          <w:sz w:val="32"/>
          <w:szCs w:val="32"/>
          <w:lang w:val="en-US"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widowControl/>
        <w:shd w:val="clear" w:color="auto" w:fill="FFFFFF"/>
        <w:spacing w:line="600" w:lineRule="atLeast"/>
        <w:ind w:firstLine="640"/>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部门预算编制工作需更加审慎。2022年部门预算调整幅度较大，主要由于政策性追加工资、奖金等人员经费。</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Theme="minorEastAsia" w:hAnsiTheme="minorEastAsia" w:eastAsiaTheme="minorEastAsia"/>
          <w:b/>
          <w:bCs/>
          <w:sz w:val="32"/>
          <w:szCs w:val="32"/>
        </w:rPr>
        <w:t>一、机关运行经费</w:t>
      </w:r>
      <w:r>
        <w:rPr>
          <w:rFonts w:hint="eastAsia" w:asciiTheme="minorEastAsia" w:hAnsiTheme="minorEastAsia" w:eastAsiaTheme="minorEastAsia"/>
          <w:sz w:val="32"/>
          <w:szCs w:val="32"/>
        </w:rPr>
        <w:t>：</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Theme="minorEastAsia" w:hAnsiTheme="minorEastAsia" w:eastAsiaTheme="minorEastAsia"/>
          <w:b/>
          <w:bCs/>
          <w:sz w:val="32"/>
          <w:szCs w:val="32"/>
        </w:rPr>
        <w:t>二、“三公”经费</w:t>
      </w:r>
      <w:r>
        <w:rPr>
          <w:rFonts w:hint="eastAsia" w:asciiTheme="minorEastAsia" w:hAnsiTheme="minorEastAsia" w:eastAsiaTheme="minorEastAsia"/>
          <w:sz w:val="32"/>
          <w:szCs w:val="32"/>
        </w:rPr>
        <w:t>：</w:t>
      </w:r>
      <w:r>
        <w:rPr>
          <w:rFonts w:hint="eastAsia" w:ascii="仿宋" w:hAnsi="仿宋" w:eastAsia="仿宋" w:cs="仿宋"/>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keepNext w:val="0"/>
        <w:keepLines w:val="0"/>
        <w:pageBreakBefore w:val="0"/>
        <w:kinsoku/>
        <w:wordWrap/>
        <w:overflowPunct/>
        <w:topLinePunct w:val="0"/>
        <w:bidi w:val="0"/>
        <w:snapToGrid/>
        <w:spacing w:line="600" w:lineRule="exact"/>
        <w:jc w:val="center"/>
        <w:textAlignment w:val="auto"/>
        <w:rPr>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000000"/>
          <w:spacing w:val="0"/>
          <w:sz w:val="72"/>
          <w:szCs w:val="72"/>
          <w:shd w:val="clear" w:color="auto"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000000"/>
          <w:sz w:val="24"/>
          <w:szCs w:val="24"/>
        </w:rPr>
      </w:pPr>
      <w:bookmarkStart w:id="0" w:name="_GoBack"/>
      <w:bookmarkEnd w:id="0"/>
      <w:r>
        <w:rPr>
          <w:rFonts w:hint="eastAsia" w:ascii="黑体" w:hAnsi="宋体" w:eastAsia="黑体" w:cs="黑体"/>
          <w:i w:val="0"/>
          <w:iCs w:val="0"/>
          <w:caps w:val="0"/>
          <w:color w:val="000000"/>
          <w:spacing w:val="0"/>
          <w:sz w:val="72"/>
          <w:szCs w:val="72"/>
          <w:shd w:val="clear" w:color="auto" w:fill="FFFFFF"/>
        </w:rPr>
        <w:t>第五部分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cs="Calibri"/>
          <w:color w:val="3D3D3D"/>
          <w:sz w:val="21"/>
          <w:szCs w:val="21"/>
        </w:rPr>
      </w:pPr>
      <w:r>
        <w:rPr>
          <w:rFonts w:hint="eastAsia" w:ascii="黑体" w:hAnsi="宋体" w:eastAsia="黑体" w:cs="黑体"/>
          <w:i w:val="0"/>
          <w:iCs w:val="0"/>
          <w:caps w:val="0"/>
          <w:color w:val="000000"/>
          <w:spacing w:val="0"/>
          <w:sz w:val="70"/>
          <w:szCs w:val="70"/>
          <w:shd w:val="clear" w:color="auto" w:fill="FFFFFF"/>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cs="Calibri"/>
          <w:color w:val="3D3D3D"/>
          <w:sz w:val="21"/>
          <w:szCs w:val="21"/>
        </w:rPr>
      </w:pPr>
      <w:r>
        <w:rPr>
          <w:rFonts w:hint="eastAsia" w:ascii="黑体" w:hAnsi="宋体" w:eastAsia="黑体" w:cs="黑体"/>
          <w:i w:val="0"/>
          <w:iCs w:val="0"/>
          <w:caps w:val="0"/>
          <w:color w:val="000000"/>
          <w:spacing w:val="0"/>
          <w:sz w:val="70"/>
          <w:szCs w:val="70"/>
          <w:shd w:val="clear" w:color="auto" w:fill="FFFFFF"/>
        </w:rPr>
        <w:t>附件</w:t>
      </w:r>
    </w:p>
    <w:p>
      <w:pPr>
        <w:rPr>
          <w:rFonts w:hint="eastAsia" w:ascii="宋体" w:hAnsi="宋体" w:eastAsia="宋体" w:cs="宋体"/>
          <w:i w:val="0"/>
          <w:iCs w:val="0"/>
          <w:caps w:val="0"/>
          <w:color w:val="000000"/>
          <w:spacing w:val="0"/>
          <w:sz w:val="32"/>
          <w:szCs w:val="32"/>
          <w:shd w:val="clear" w:color="auto" w:fill="FFFFFF"/>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sz w:val="72"/>
          <w:szCs w:val="72"/>
        </w:rPr>
      </w:pPr>
    </w:p>
    <w:p>
      <w:pPr>
        <w:rPr>
          <w:rFonts w:hint="eastAsia" w:ascii="Times New Roman" w:hAnsi="Times New Roman" w:eastAsia="仿宋_GB2312" w:cs="黑体"/>
          <w:color w:val="000000"/>
          <w:kern w:val="0"/>
          <w:sz w:val="32"/>
          <w:szCs w:val="32"/>
          <w:lang w:val="en-US" w:eastAsia="zh-CN" w:bidi="ar-SA"/>
        </w:rPr>
      </w:pPr>
    </w:p>
    <w:p>
      <w:pPr>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附件一  2022年部门决算公开表</w:t>
      </w:r>
    </w:p>
    <w:p>
      <w:pPr>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附件二  2022年部门整体支出绩效报告</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1279FF"/>
    <w:multiLevelType w:val="singleLevel"/>
    <w:tmpl w:val="A41279FF"/>
    <w:lvl w:ilvl="0" w:tentative="0">
      <w:start w:val="7"/>
      <w:numFmt w:val="decimal"/>
      <w:suff w:val="nothing"/>
      <w:lvlText w:val="%1、"/>
      <w:lvlJc w:val="left"/>
    </w:lvl>
  </w:abstractNum>
  <w:abstractNum w:abstractNumId="1">
    <w:nsid w:val="256BE14B"/>
    <w:multiLevelType w:val="singleLevel"/>
    <w:tmpl w:val="256BE14B"/>
    <w:lvl w:ilvl="0" w:tentative="0">
      <w:start w:val="3"/>
      <w:numFmt w:val="decimal"/>
      <w:suff w:val="nothing"/>
      <w:lvlText w:val="%1、"/>
      <w:lvlJc w:val="left"/>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9FF7AE"/>
    <w:multiLevelType w:val="singleLevel"/>
    <w:tmpl w:val="5C9FF7AE"/>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2ZGQxM2E5ZWNjYmQzMmYzYmFjZTA1Zjg2MWZjYm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70B1379"/>
    <w:rsid w:val="0DD028B8"/>
    <w:rsid w:val="1CBC5FD9"/>
    <w:rsid w:val="236B4527"/>
    <w:rsid w:val="3AEE2A3D"/>
    <w:rsid w:val="48C7608A"/>
    <w:rsid w:val="5777D4F5"/>
    <w:rsid w:val="57875362"/>
    <w:rsid w:val="5FC6BB1E"/>
    <w:rsid w:val="5FF720F1"/>
    <w:rsid w:val="692A1FF1"/>
    <w:rsid w:val="737D59BA"/>
    <w:rsid w:val="75D64098"/>
    <w:rsid w:val="77C37683"/>
    <w:rsid w:val="79FF515B"/>
    <w:rsid w:val="7E915BA6"/>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 w:type="paragraph" w:customStyle="1" w:styleId="16">
    <w:name w:val="table of authorities"/>
    <w:basedOn w:val="1"/>
    <w:next w:val="1"/>
    <w:qFormat/>
    <w:uiPriority w:val="0"/>
    <w:pPr>
      <w:ind w:left="420" w:leftChars="200"/>
    </w:pPr>
  </w:style>
  <w:style w:type="paragraph" w:customStyle="1" w:styleId="17">
    <w:name w:val="列出段落1"/>
    <w:basedOn w:val="1"/>
    <w:qFormat/>
    <w:uiPriority w:val="0"/>
    <w:pPr>
      <w:widowControl/>
      <w:ind w:firstLine="420" w:firstLineChars="200"/>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0</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花落谁指尖</cp:lastModifiedBy>
  <cp:lastPrinted>2023-09-25T06:26:00Z</cp:lastPrinted>
  <dcterms:modified xsi:type="dcterms:W3CDTF">2023-09-25T07:35:06Z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20F9AF9550B34B46AA80DD62EEC59EFB_12</vt:lpwstr>
  </property>
</Properties>
</file>