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B9B7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14:paraId="300650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13FFDE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3D302B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2A8ADA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3C7541E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中国人民政治协商会议湖南省怀化市委员会作为一级部门预算单位，由办公室、研究室、委员学习联络委员会、提案委员会、经济科技和外事委员会、农业和农村委员会、人口资源环境委员会、文教卫体和文史委员会、社会法制和民族宗教委员会等9个正处级单位组成。办公室下设5个科：秘书科、人事科、行政科、财务科、离退休人员管理服务科，下辖1个正科级公益一类事业单位：市政协办公室信息中心（非独立核算）；提案委员</w:t>
      </w:r>
      <w:bookmarkStart w:id="0" w:name="_GoBack"/>
      <w:bookmarkEnd w:id="0"/>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会、经济科技和外事委员会各下设办公室，委员学习联络委员会、农业和农村委员会、人口资源环境委员会、文教卫体和文史委员会、社会法制和民族宗教委员会各下设综合科。</w:t>
      </w:r>
    </w:p>
    <w:p w14:paraId="45AA0C1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eastAsia="zh-CN"/>
        </w:rPr>
        <w:t>（二）</w:t>
      </w:r>
      <w:r>
        <w:rPr>
          <w:rFonts w:hint="default" w:ascii="楷体_GB2312" w:eastAsia="楷体_GB2312" w:cs="楷体_GB2312"/>
          <w:i w:val="0"/>
          <w:iCs w:val="0"/>
          <w:caps w:val="0"/>
          <w:color w:val="000000"/>
          <w:spacing w:val="0"/>
          <w:sz w:val="32"/>
          <w:szCs w:val="32"/>
          <w:shd w:val="clear" w:fill="FFFFFF"/>
        </w:rPr>
        <w:t>人员编制情况</w:t>
      </w:r>
    </w:p>
    <w:p w14:paraId="6D7DA790">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right="0" w:firstLine="640"/>
        <w:textAlignment w:val="auto"/>
        <w:rPr>
          <w:rFonts w:hint="eastAsia" w:ascii="方正仿宋_GB2312" w:hAnsi="方正仿宋_GB2312" w:eastAsia="方正仿宋_GB2312" w:cs="方正仿宋_GB2312"/>
          <w:i w:val="0"/>
          <w:iCs w:val="0"/>
          <w:caps w:val="0"/>
          <w:color w:val="000000"/>
          <w:spacing w:val="0"/>
          <w:sz w:val="32"/>
          <w:szCs w:val="32"/>
          <w:shd w:val="clear" w:fill="FFFFFF"/>
          <w:lang w:eastAsia="zh-CN"/>
        </w:rPr>
      </w:pPr>
      <w:r>
        <w:rPr>
          <w:rFonts w:hint="eastAsia" w:ascii="方正仿宋_GB2312" w:hAnsi="方正仿宋_GB2312" w:eastAsia="方正仿宋_GB2312" w:cs="方正仿宋_GB2312"/>
          <w:sz w:val="32"/>
          <w:szCs w:val="32"/>
          <w:highlight w:val="none"/>
        </w:rPr>
        <w:t>202</w:t>
      </w:r>
      <w:r>
        <w:rPr>
          <w:rFonts w:hint="eastAsia" w:ascii="方正仿宋_GB2312" w:hAnsi="方正仿宋_GB2312" w:eastAsia="方正仿宋_GB2312" w:cs="方正仿宋_GB2312"/>
          <w:sz w:val="32"/>
          <w:szCs w:val="32"/>
          <w:highlight w:val="none"/>
          <w:lang w:val="en-US" w:eastAsia="zh-CN"/>
        </w:rPr>
        <w:t>3</w:t>
      </w:r>
      <w:r>
        <w:rPr>
          <w:rFonts w:hint="eastAsia" w:ascii="方正仿宋_GB2312" w:hAnsi="方正仿宋_GB2312" w:eastAsia="方正仿宋_GB2312" w:cs="方正仿宋_GB2312"/>
          <w:sz w:val="32"/>
          <w:szCs w:val="32"/>
          <w:highlight w:val="none"/>
        </w:rPr>
        <w:t>年末，我</w:t>
      </w:r>
      <w:r>
        <w:rPr>
          <w:rFonts w:hint="eastAsia" w:ascii="方正仿宋_GB2312" w:hAnsi="方正仿宋_GB2312" w:eastAsia="方正仿宋_GB2312" w:cs="方正仿宋_GB2312"/>
          <w:sz w:val="32"/>
          <w:szCs w:val="32"/>
          <w:highlight w:val="none"/>
          <w:lang w:val="en-US" w:eastAsia="zh-CN"/>
        </w:rPr>
        <w:t>单位</w:t>
      </w:r>
      <w:r>
        <w:rPr>
          <w:rFonts w:hint="eastAsia" w:ascii="方正仿宋_GB2312" w:hAnsi="方正仿宋_GB2312" w:eastAsia="方正仿宋_GB2312" w:cs="方正仿宋_GB2312"/>
          <w:sz w:val="32"/>
          <w:szCs w:val="32"/>
          <w:highlight w:val="none"/>
        </w:rPr>
        <w:t>共有编制</w:t>
      </w:r>
      <w:r>
        <w:rPr>
          <w:rFonts w:hint="eastAsia" w:ascii="方正仿宋_GB2312" w:hAnsi="方正仿宋_GB2312" w:eastAsia="方正仿宋_GB2312" w:cs="方正仿宋_GB2312"/>
          <w:sz w:val="32"/>
          <w:szCs w:val="32"/>
          <w:highlight w:val="none"/>
          <w:lang w:val="en-US" w:eastAsia="zh-CN"/>
        </w:rPr>
        <w:t>70</w:t>
      </w:r>
      <w:r>
        <w:rPr>
          <w:rFonts w:hint="eastAsia" w:ascii="方正仿宋_GB2312" w:hAnsi="方正仿宋_GB2312" w:eastAsia="方正仿宋_GB2312" w:cs="方正仿宋_GB2312"/>
          <w:sz w:val="32"/>
          <w:szCs w:val="32"/>
          <w:highlight w:val="none"/>
        </w:rPr>
        <w:t>人，年末实有在职人数</w:t>
      </w:r>
      <w:r>
        <w:rPr>
          <w:rFonts w:hint="eastAsia" w:ascii="方正仿宋_GB2312" w:hAnsi="方正仿宋_GB2312" w:eastAsia="方正仿宋_GB2312" w:cs="方正仿宋_GB2312"/>
          <w:sz w:val="32"/>
          <w:szCs w:val="32"/>
          <w:highlight w:val="none"/>
          <w:lang w:val="en-US" w:eastAsia="zh-CN"/>
        </w:rPr>
        <w:t>61</w:t>
      </w:r>
      <w:r>
        <w:rPr>
          <w:rFonts w:hint="eastAsia" w:ascii="方正仿宋_GB2312" w:hAnsi="方正仿宋_GB2312" w:eastAsia="方正仿宋_GB2312" w:cs="方正仿宋_GB2312"/>
          <w:sz w:val="32"/>
          <w:szCs w:val="32"/>
          <w:highlight w:val="none"/>
        </w:rPr>
        <w:t>人</w:t>
      </w:r>
      <w:r>
        <w:rPr>
          <w:rFonts w:hint="eastAsia" w:ascii="方正仿宋_GB2312" w:hAnsi="方正仿宋_GB2312" w:eastAsia="方正仿宋_GB2312" w:cs="方正仿宋_GB2312"/>
          <w:sz w:val="32"/>
          <w:szCs w:val="32"/>
          <w:highlight w:val="none"/>
          <w:lang w:eastAsia="zh-CN"/>
        </w:rPr>
        <w:t>。</w:t>
      </w:r>
    </w:p>
    <w:p w14:paraId="5D2677A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eastAsia="zh-CN"/>
        </w:rPr>
        <w:t>（三）</w:t>
      </w:r>
      <w:r>
        <w:rPr>
          <w:rFonts w:hint="default" w:ascii="楷体_GB2312" w:eastAsia="楷体_GB2312" w:cs="楷体_GB2312"/>
          <w:i w:val="0"/>
          <w:iCs w:val="0"/>
          <w:caps w:val="0"/>
          <w:color w:val="000000"/>
          <w:spacing w:val="0"/>
          <w:sz w:val="32"/>
          <w:szCs w:val="32"/>
          <w:shd w:val="clear" w:fill="FFFFFF"/>
        </w:rPr>
        <w:t>主要职能职责</w:t>
      </w:r>
    </w:p>
    <w:p w14:paraId="76EE910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fill="FFFFFF"/>
        </w:rPr>
      </w:pPr>
      <w:r>
        <w:rPr>
          <w:rFonts w:hint="eastAsia" w:ascii="方正仿宋_GB2312" w:hAnsi="方正仿宋_GB2312" w:eastAsia="方正仿宋_GB2312" w:cs="方正仿宋_GB2312"/>
          <w:i w:val="0"/>
          <w:iCs w:val="0"/>
          <w:caps w:val="0"/>
          <w:color w:val="000000"/>
          <w:spacing w:val="0"/>
          <w:sz w:val="32"/>
          <w:szCs w:val="32"/>
          <w:shd w:val="clear" w:fill="FFFFFF"/>
        </w:rPr>
        <w:t>中国人民政治协商会议湖南省怀化市委员会是组织怀化市各民主党派团体、无党派人士及各界人士参与国事、发挥政治协商、民主监督、参政议政作用的政治机构。</w:t>
      </w:r>
    </w:p>
    <w:p w14:paraId="334F3950">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eastAsia="zh-CN"/>
        </w:rPr>
        <w:t>（四）</w:t>
      </w:r>
      <w:r>
        <w:rPr>
          <w:rFonts w:hint="default" w:ascii="楷体_GB2312" w:eastAsia="楷体_GB2312" w:cs="楷体_GB2312"/>
          <w:i w:val="0"/>
          <w:iCs w:val="0"/>
          <w:caps w:val="0"/>
          <w:color w:val="000000"/>
          <w:spacing w:val="0"/>
          <w:sz w:val="32"/>
          <w:szCs w:val="32"/>
          <w:shd w:val="clear" w:fill="FFFFFF"/>
        </w:rPr>
        <w:t>绩效目标设定情况</w:t>
      </w:r>
    </w:p>
    <w:p w14:paraId="7E3A5F3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严格落实省、市绩效管理工作的有关规定，进一步规范财政资金的管理，强化财政支出绩效理念，提升部门责任意识，提高资金使用效益。</w:t>
      </w:r>
    </w:p>
    <w:p w14:paraId="6C13D3AF">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5BD14B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2F99F6AD">
      <w:pPr>
        <w:widowControl/>
        <w:shd w:val="clear" w:color="auto" w:fill="FFFFFF"/>
        <w:spacing w:line="600" w:lineRule="atLeast"/>
        <w:ind w:firstLine="640"/>
        <w:rPr>
          <w:rFonts w:hint="eastAsia" w:ascii="方正仿宋_GB2312" w:hAnsi="方正仿宋_GB2312" w:eastAsia="方正仿宋_GB2312" w:cs="方正仿宋_GB2312"/>
          <w:spacing w:val="-2"/>
          <w:sz w:val="32"/>
          <w:szCs w:val="32"/>
        </w:rPr>
      </w:pPr>
      <w:r>
        <w:rPr>
          <w:rFonts w:hint="eastAsia" w:ascii="方正仿宋_GB2312" w:hAnsi="方正仿宋_GB2312" w:eastAsia="方正仿宋_GB2312" w:cs="方正仿宋_GB2312"/>
          <w:spacing w:val="-2"/>
          <w:sz w:val="32"/>
          <w:szCs w:val="32"/>
        </w:rPr>
        <w:t>1</w:t>
      </w:r>
      <w:r>
        <w:rPr>
          <w:rFonts w:hint="eastAsia" w:ascii="方正仿宋_GB2312" w:hAnsi="方正仿宋_GB2312" w:eastAsia="方正仿宋_GB2312" w:cs="方正仿宋_GB2312"/>
          <w:spacing w:val="-2"/>
          <w:sz w:val="32"/>
          <w:szCs w:val="32"/>
          <w:lang w:val="en-US" w:eastAsia="zh-CN"/>
        </w:rPr>
        <w:t>.</w:t>
      </w:r>
      <w:r>
        <w:rPr>
          <w:rFonts w:hint="eastAsia" w:ascii="方正仿宋_GB2312" w:hAnsi="方正仿宋_GB2312" w:eastAsia="方正仿宋_GB2312" w:cs="方正仿宋_GB2312"/>
          <w:spacing w:val="-2"/>
          <w:sz w:val="32"/>
          <w:szCs w:val="32"/>
        </w:rPr>
        <w:t>202</w:t>
      </w:r>
      <w:r>
        <w:rPr>
          <w:rFonts w:hint="eastAsia" w:ascii="方正仿宋_GB2312" w:hAnsi="方正仿宋_GB2312" w:eastAsia="方正仿宋_GB2312" w:cs="方正仿宋_GB2312"/>
          <w:spacing w:val="-2"/>
          <w:sz w:val="32"/>
          <w:szCs w:val="32"/>
          <w:lang w:val="en-US" w:eastAsia="zh-CN"/>
        </w:rPr>
        <w:t>3</w:t>
      </w:r>
      <w:r>
        <w:rPr>
          <w:rFonts w:hint="eastAsia" w:ascii="方正仿宋_GB2312" w:hAnsi="方正仿宋_GB2312" w:eastAsia="方正仿宋_GB2312" w:cs="方正仿宋_GB2312"/>
          <w:spacing w:val="-2"/>
          <w:sz w:val="32"/>
          <w:szCs w:val="32"/>
        </w:rPr>
        <w:t>年部门预算情况</w:t>
      </w:r>
    </w:p>
    <w:p w14:paraId="4ACA211C">
      <w:pPr>
        <w:widowControl/>
        <w:shd w:val="clear" w:color="auto" w:fill="FFFFFF"/>
        <w:spacing w:line="600" w:lineRule="atLeast"/>
        <w:ind w:firstLine="640"/>
        <w:rPr>
          <w:rFonts w:hint="eastAsia" w:ascii="方正仿宋_GB2312" w:hAnsi="方正仿宋_GB2312" w:eastAsia="方正仿宋_GB2312" w:cs="方正仿宋_GB2312"/>
          <w:i w:val="0"/>
          <w:iCs w:val="0"/>
          <w:caps w:val="0"/>
          <w:color w:val="3D3D3D"/>
          <w:spacing w:val="0"/>
          <w:sz w:val="32"/>
          <w:szCs w:val="32"/>
          <w:shd w:val="clear" w:fill="FFFFFF"/>
          <w:lang w:eastAsia="zh-CN"/>
        </w:rPr>
      </w:pPr>
      <w:r>
        <w:rPr>
          <w:rFonts w:hint="eastAsia" w:ascii="方正仿宋_GB2312" w:hAnsi="方正仿宋_GB2312" w:eastAsia="方正仿宋_GB2312" w:cs="方正仿宋_GB2312"/>
          <w:spacing w:val="-2"/>
          <w:kern w:val="2"/>
          <w:sz w:val="32"/>
          <w:szCs w:val="32"/>
          <w:lang w:val="en-US" w:eastAsia="zh-CN" w:bidi="ar-SA"/>
        </w:rPr>
        <w:t>依据《怀化市财政局关于批复下达2023年市直部门预算的通知》怀财预（2023）6号预算批复，</w:t>
      </w:r>
      <w:r>
        <w:rPr>
          <w:rFonts w:hint="eastAsia" w:ascii="方正仿宋_GB2312" w:hAnsi="方正仿宋_GB2312" w:eastAsia="方正仿宋_GB2312" w:cs="方正仿宋_GB2312"/>
          <w:i w:val="0"/>
          <w:iCs w:val="0"/>
          <w:caps w:val="0"/>
          <w:color w:val="3D3D3D"/>
          <w:spacing w:val="0"/>
          <w:sz w:val="32"/>
          <w:szCs w:val="32"/>
          <w:shd w:val="clear" w:fill="FFFFFF"/>
        </w:rPr>
        <w:t>2023年年初预算数为</w:t>
      </w:r>
      <w:r>
        <w:rPr>
          <w:rFonts w:hint="eastAsia" w:ascii="方正仿宋_GB2312" w:hAnsi="方正仿宋_GB2312" w:eastAsia="方正仿宋_GB2312" w:cs="方正仿宋_GB2312"/>
          <w:i w:val="0"/>
          <w:iCs w:val="0"/>
          <w:caps w:val="0"/>
          <w:color w:val="3D3D3D"/>
          <w:spacing w:val="0"/>
          <w:sz w:val="32"/>
          <w:szCs w:val="32"/>
          <w:shd w:val="clear" w:fill="FFFFFF"/>
          <w:lang w:val="en-US" w:eastAsia="zh-CN"/>
        </w:rPr>
        <w:t>1904.67</w:t>
      </w:r>
      <w:r>
        <w:rPr>
          <w:rFonts w:hint="eastAsia" w:ascii="方正仿宋_GB2312" w:hAnsi="方正仿宋_GB2312" w:eastAsia="方正仿宋_GB2312" w:cs="方正仿宋_GB2312"/>
          <w:i w:val="0"/>
          <w:iCs w:val="0"/>
          <w:caps w:val="0"/>
          <w:color w:val="3D3D3D"/>
          <w:spacing w:val="0"/>
          <w:sz w:val="32"/>
          <w:szCs w:val="32"/>
          <w:shd w:val="clear" w:fill="FFFFFF"/>
        </w:rPr>
        <w:t>万元</w:t>
      </w:r>
      <w:r>
        <w:rPr>
          <w:rFonts w:hint="eastAsia" w:ascii="方正仿宋_GB2312" w:hAnsi="方正仿宋_GB2312" w:eastAsia="方正仿宋_GB2312" w:cs="方正仿宋_GB2312"/>
          <w:i w:val="0"/>
          <w:iCs w:val="0"/>
          <w:caps w:val="0"/>
          <w:color w:val="3D3D3D"/>
          <w:spacing w:val="0"/>
          <w:sz w:val="32"/>
          <w:szCs w:val="32"/>
          <w:shd w:val="clear" w:fill="FFFFFF"/>
          <w:lang w:eastAsia="zh-CN"/>
        </w:rPr>
        <w:t>。</w:t>
      </w:r>
    </w:p>
    <w:p w14:paraId="73DDC379">
      <w:pPr>
        <w:widowControl/>
        <w:shd w:val="clear" w:color="auto" w:fill="FFFFFF"/>
        <w:spacing w:line="600" w:lineRule="atLeast"/>
        <w:ind w:firstLine="640"/>
        <w:rPr>
          <w:rFonts w:hint="eastAsia" w:ascii="方正仿宋_GB2312" w:hAnsi="方正仿宋_GB2312" w:eastAsia="方正仿宋_GB2312" w:cs="方正仿宋_GB2312"/>
          <w:spacing w:val="-2"/>
          <w:kern w:val="2"/>
          <w:sz w:val="32"/>
          <w:szCs w:val="32"/>
          <w:lang w:val="en-US" w:eastAsia="zh-CN" w:bidi="ar-SA"/>
        </w:rPr>
      </w:pPr>
      <w:r>
        <w:rPr>
          <w:rFonts w:hint="eastAsia" w:ascii="方正仿宋_GB2312" w:hAnsi="方正仿宋_GB2312" w:eastAsia="方正仿宋_GB2312" w:cs="方正仿宋_GB2312"/>
          <w:spacing w:val="-2"/>
          <w:kern w:val="2"/>
          <w:sz w:val="32"/>
          <w:szCs w:val="32"/>
          <w:lang w:val="en-US" w:eastAsia="zh-CN" w:bidi="ar-SA"/>
        </w:rPr>
        <w:t>2.2023年部门决算情况</w:t>
      </w:r>
    </w:p>
    <w:p w14:paraId="490BEF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方正仿宋_GB2312" w:hAnsi="方正仿宋_GB2312" w:eastAsia="方正仿宋_GB2312" w:cs="方正仿宋_GB2312"/>
          <w:spacing w:val="-2"/>
          <w:kern w:val="2"/>
          <w:sz w:val="32"/>
          <w:szCs w:val="32"/>
          <w:lang w:val="en-US" w:eastAsia="zh-CN" w:bidi="ar-SA"/>
        </w:rPr>
      </w:pPr>
      <w:r>
        <w:rPr>
          <w:rFonts w:hint="eastAsia" w:ascii="方正仿宋_GB2312" w:hAnsi="方正仿宋_GB2312" w:eastAsia="方正仿宋_GB2312" w:cs="方正仿宋_GB2312"/>
          <w:spacing w:val="-2"/>
          <w:kern w:val="2"/>
          <w:sz w:val="32"/>
          <w:szCs w:val="32"/>
          <w:lang w:val="en-US" w:eastAsia="zh-CN" w:bidi="ar-SA"/>
        </w:rPr>
        <w:t>2023年度决算总收入1945.75万元。2023年度决算总支出1945.75万元，其中：其中：基本支出1367.49万元，占总支出的70.28%；项目支出578.26万元，占总支出的29.72%。</w:t>
      </w:r>
    </w:p>
    <w:p w14:paraId="4DD32C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54B1F6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eastAsia" w:ascii="方正仿宋_GB2312" w:hAnsi="方正仿宋_GB2312" w:eastAsia="方正仿宋_GB2312" w:cs="方正仿宋_GB2312"/>
          <w:i w:val="0"/>
          <w:iCs w:val="0"/>
          <w:caps w:val="0"/>
          <w:color w:val="000000"/>
          <w:spacing w:val="0"/>
          <w:sz w:val="32"/>
          <w:szCs w:val="32"/>
          <w:shd w:val="clear" w:fill="FFFFFF"/>
        </w:rPr>
      </w:pPr>
      <w:r>
        <w:rPr>
          <w:rFonts w:hint="eastAsia" w:ascii="方正仿宋_GB2312" w:hAnsi="方正仿宋_GB2312" w:eastAsia="方正仿宋_GB2312" w:cs="方正仿宋_GB2312"/>
          <w:i w:val="0"/>
          <w:iCs w:val="0"/>
          <w:caps w:val="0"/>
          <w:color w:val="000000"/>
          <w:spacing w:val="0"/>
          <w:sz w:val="32"/>
          <w:szCs w:val="32"/>
          <w:shd w:val="clear" w:fill="FFFFFF"/>
        </w:rPr>
        <w:t>1.基本支出情况</w:t>
      </w:r>
    </w:p>
    <w:p w14:paraId="4B21F3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基本支出：2023年决算数为1367.49万元，是指为保障单位机构正常运转、完成日常工作任务而发生的各项支出，包括用于基本工资393.47元、津贴补贴206.43万元、伙食补助费20.79万元、其他社会保障缴费7.59万元、水电费12.58万元等。</w:t>
      </w:r>
    </w:p>
    <w:p w14:paraId="286BE4D6">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方正仿宋_GB2312" w:hAnsi="方正仿宋_GB2312" w:eastAsia="方正仿宋_GB2312" w:cs="方正仿宋_GB2312"/>
          <w:i w:val="0"/>
          <w:iCs w:val="0"/>
          <w:caps w:val="0"/>
          <w:color w:val="000000"/>
          <w:spacing w:val="0"/>
          <w:sz w:val="32"/>
          <w:szCs w:val="32"/>
          <w:shd w:val="clear" w:fill="FFFFFF"/>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w:t>
      </w:r>
      <w:r>
        <w:rPr>
          <w:rFonts w:hint="eastAsia" w:ascii="方正仿宋_GB2312" w:hAnsi="方正仿宋_GB2312" w:eastAsia="方正仿宋_GB2312" w:cs="方正仿宋_GB2312"/>
          <w:i w:val="0"/>
          <w:iCs w:val="0"/>
          <w:caps w:val="0"/>
          <w:color w:val="000000"/>
          <w:spacing w:val="0"/>
          <w:sz w:val="32"/>
          <w:szCs w:val="32"/>
          <w:shd w:val="clear" w:fill="FFFFFF"/>
        </w:rPr>
        <w:t>项目支出情况</w:t>
      </w:r>
    </w:p>
    <w:p w14:paraId="0A601C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项目支出：2023年决算数为578.26万元，是指单位为完成特定行政工作任务或事业发展目标而发生的支出，包括有关事业发展专项、专项业务费、基本建设支出等。其中：</w:t>
      </w:r>
    </w:p>
    <w:p w14:paraId="3B499B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信息化平台运行费50万元，主要用于信息化平台的运行；临时人员经费39.72，主要用于支付临时工薪酬；调研经费189.98万元，主要用于开展各项调研活动；专项业务工作经费81.46万元，主要用于各专委会工作。委员活动经费119.6万元，主要用于委员开展各项活动；委员视察7.5万元，政协委员培训经费34万元，委员工作室建设和运行经费13.5万元，老干活动经费5.6万元，市县基层建设及网络运行经费10万元，重大重点课题2万元，医疗救助补助6万元，关注森林活动专项经费18.9万元。</w:t>
      </w:r>
    </w:p>
    <w:p w14:paraId="5F60FB9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eastAsia="zh-CN"/>
        </w:rPr>
        <w:t>（三）“三公”</w:t>
      </w:r>
      <w:r>
        <w:rPr>
          <w:rFonts w:hint="default" w:ascii="楷体_GB2312" w:eastAsia="楷体_GB2312" w:cs="楷体_GB2312"/>
          <w:i w:val="0"/>
          <w:iCs w:val="0"/>
          <w:caps w:val="0"/>
          <w:color w:val="000000"/>
          <w:spacing w:val="0"/>
          <w:sz w:val="32"/>
          <w:szCs w:val="32"/>
          <w:shd w:val="clear" w:fill="FFFFFF"/>
        </w:rPr>
        <w:t>经费使用和管理情况</w:t>
      </w:r>
    </w:p>
    <w:p w14:paraId="55F244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caps w:val="0"/>
          <w:color w:val="333333"/>
          <w:spacing w:val="0"/>
          <w:sz w:val="32"/>
          <w:szCs w:val="32"/>
          <w:shd w:val="clear" w:color="auto" w:fill="FFFFFF"/>
          <w:lang w:val="en-US" w:eastAsia="zh-CN"/>
        </w:rPr>
        <w:t>2023年中国人民政治协商会议湖南省怀化市委员会部门安</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排“三公”经费预算数为45万元，其中，公务接待费4万元，公务用车购置费0万元，公务用车运行费41万元，因公出国（境）费0万元。2023年“三公”经费决算数43.17万元，其中，公务接待费2.21万元，公务用车购置费0万元，公务用车运行费40.96万元，因公出国（境）费0万元。2023年“三公”经费决算较上年预算数减少24.85万元，下降36.54%，主要因为从严从紧安排“三公”经费支出。</w:t>
      </w:r>
    </w:p>
    <w:p w14:paraId="3F0B7F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我单位严格按照市财政局批复后的预算，根据政策规定的范围、标准和口径要求，实事求是地填报资金使用计划申请，按照财政部门审核批复的意见，严格执行三公经费的使用，控制在预算范围内。</w:t>
      </w:r>
    </w:p>
    <w:p w14:paraId="0D3FBF1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eastAsia="zh-CN"/>
        </w:rPr>
        <w:t>三、</w:t>
      </w:r>
      <w:r>
        <w:rPr>
          <w:rFonts w:hint="eastAsia" w:ascii="黑体" w:hAnsi="黑体" w:eastAsia="黑体" w:cs="黑体"/>
          <w:i w:val="0"/>
          <w:iCs w:val="0"/>
          <w:caps w:val="0"/>
          <w:color w:val="000000"/>
          <w:spacing w:val="0"/>
          <w:sz w:val="32"/>
          <w:szCs w:val="32"/>
          <w:shd w:val="clear" w:fill="FFFFFF"/>
        </w:rPr>
        <w:t>政府性基金预算支出情况</w:t>
      </w:r>
    </w:p>
    <w:p w14:paraId="7A914D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2023年本单位无政府性基金预算支出</w:t>
      </w:r>
    </w:p>
    <w:p w14:paraId="773926E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eastAsia="zh-CN"/>
        </w:rPr>
        <w:t>四、</w:t>
      </w:r>
      <w:r>
        <w:rPr>
          <w:rFonts w:hint="eastAsia" w:ascii="黑体" w:hAnsi="黑体" w:eastAsia="黑体" w:cs="黑体"/>
          <w:i w:val="0"/>
          <w:iCs w:val="0"/>
          <w:caps w:val="0"/>
          <w:color w:val="000000"/>
          <w:spacing w:val="0"/>
          <w:sz w:val="32"/>
          <w:szCs w:val="32"/>
          <w:shd w:val="clear" w:fill="FFFFFF"/>
        </w:rPr>
        <w:t>国有资本经营预算支出情况</w:t>
      </w:r>
    </w:p>
    <w:p w14:paraId="433BFF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2023年本单位无国有资本经营预算支出</w:t>
      </w:r>
    </w:p>
    <w:p w14:paraId="7556979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eastAsia="zh-CN"/>
        </w:rPr>
        <w:t>五、</w:t>
      </w:r>
      <w:r>
        <w:rPr>
          <w:rFonts w:hint="eastAsia" w:ascii="黑体" w:hAnsi="黑体" w:eastAsia="黑体" w:cs="黑体"/>
          <w:i w:val="0"/>
          <w:iCs w:val="0"/>
          <w:caps w:val="0"/>
          <w:color w:val="000000"/>
          <w:spacing w:val="0"/>
          <w:sz w:val="32"/>
          <w:szCs w:val="32"/>
          <w:shd w:val="clear" w:fill="FFFFFF"/>
        </w:rPr>
        <w:t>社会保险基金预算支出情况</w:t>
      </w:r>
    </w:p>
    <w:p w14:paraId="110E8F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2023年本单位无社会保险基金预算支出</w:t>
      </w:r>
    </w:p>
    <w:p w14:paraId="5388BC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lang w:eastAsia="zh-CN"/>
        </w:rPr>
        <w:t>六、</w:t>
      </w:r>
      <w:r>
        <w:rPr>
          <w:rFonts w:hint="eastAsia" w:ascii="黑体" w:hAnsi="黑体" w:eastAsia="黑体" w:cs="黑体"/>
          <w:i w:val="0"/>
          <w:iCs w:val="0"/>
          <w:caps w:val="0"/>
          <w:color w:val="000000"/>
          <w:spacing w:val="0"/>
          <w:sz w:val="32"/>
          <w:szCs w:val="32"/>
          <w:shd w:val="clear" w:fill="FFFFFF"/>
        </w:rPr>
        <w:t>部门整体支出绩效情况</w:t>
      </w:r>
    </w:p>
    <w:p w14:paraId="0AA674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p>
    <w:p w14:paraId="489505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fill="FFFFFF"/>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通过绩效自评工作的开展，我单位将评价结果作为各项目改进管理和安排年度预算的重要依据，针对自评中存在的问题及时进行调整管理方式，加强财务管理，切实提高财政资金的使用效益。根据自评表得分为98分，评价等级为优。</w:t>
      </w:r>
    </w:p>
    <w:p w14:paraId="0E7386E0">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eastAsia="zh-CN"/>
        </w:rPr>
        <w:t>（二）</w:t>
      </w:r>
      <w:r>
        <w:rPr>
          <w:rFonts w:hint="default" w:ascii="楷体_GB2312" w:eastAsia="楷体_GB2312" w:cs="楷体_GB2312"/>
          <w:i w:val="0"/>
          <w:iCs w:val="0"/>
          <w:caps w:val="0"/>
          <w:color w:val="000000"/>
          <w:spacing w:val="0"/>
          <w:sz w:val="32"/>
          <w:szCs w:val="32"/>
          <w:shd w:val="clear" w:fill="FFFFFF"/>
        </w:rPr>
        <w:t>综合评价情况</w:t>
      </w:r>
    </w:p>
    <w:p w14:paraId="3FE7CA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2023年</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市政协在市委的坚强领导下，坚持以习近平新时代中国特色社会主义思想为指导，牢牢把握正确政治方向，带领机关干部和广大政协委员，认真落实省政协“1453”履职总要求，紧扣市委重大战略部署，带头积极履职，为锚定“三高四新”美好蓝图、深入实施“五新四城”战略、加快建设现代化新怀化作出了政协贡献</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，主要绩效如下：</w:t>
      </w:r>
    </w:p>
    <w:p w14:paraId="3F2CED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b/>
          <w:bCs/>
          <w:i w:val="0"/>
          <w:iCs w:val="0"/>
          <w:caps w:val="0"/>
          <w:color w:val="000000"/>
          <w:spacing w:val="0"/>
          <w:sz w:val="32"/>
          <w:szCs w:val="32"/>
          <w:shd w:val="clear" w:fill="FFFFFF"/>
          <w:lang w:val="en-US" w:eastAsia="zh-CN"/>
        </w:rPr>
        <w:t>1.</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在突出加强政治建设上再加力，政治基础更加牢固。</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坚持以政治建设为统领，坚决贯彻落实中央和省委、市委决策部署安排，推动深刻领悟“两个确立”的决定性意义、做到“两个维护”在政协见行动、见成效。</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一是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扎实有效开展主题教育。牢牢把握“学思想、强党性、重实践、建新功”总要求，一体推进理论学习、调查研究、推动发展、检视整改、建章立制。举办市政协党组学习贯彻习近平新时代中国特色社会主义思想主题教育读书班，扎实开展集中自学、专题研讨、座谈交流，实现党员干部“谈体会”全覆盖；从严推进主题教育整改整治工作，市政协领导及机关认领的9个问题，全面完成整改销号。深入开展“走找想促”活动，发现并推动解决问题46个，解决率100%。深化运用“四下基层”工作法，班子成员带头深入基层一线宣传宣讲、现场办公15次，下访接访48人次，解决群众诉求13个。</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二是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坚持不懈强化理论武装。严格落实“第一议题”制度，完善以政协党组理论学习中心组为龙头的理论学习体系，综合运用中心组集体学习会议、党组会议、主席会议、常委会会议、专委会全体委员会议等开展学习70余次；强化学习方式创新，推动政协云“学习+履职”深度融合，在“政协云书院”设立“学习新思想 建设新怀化”等专题读书群，委员交流学习心得体会4700余条。市政协获评省政协政协云履职运用先进单位；强化政协理论研究创新，全市政协系统7篇理论文章获评省政协优秀，数量居全省第二；《发挥政协协商式监督作用助推优化营商环境》获评省政协年度重点理论研究优秀成果。</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三是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坚持加强党的全面领导。坚决执行市委决议决定，严格执行重大事项请示报告制度，全年向市委请示报告68件次。充分发挥市政协党组把方向、管大局、保落实的领导作用，深化党员委员履职党支部战斗堡垒作用和党员委员先锋模范作用发挥，班子成员自觉做到政策理论宣讲、积极建言献策、联系服务群众“三个带头”，推动形成“党内引领党外、委员影响群众、各界共促发展”的良好格局。四是坚决扛牢意识形态工作责任。持续深化“网、微、端、刊、屏”融媒矩阵运用和管理，加强与主流媒体合作，政协系统意识形态持续向上向好。《“实”字当头、“干”字为先，怀化市政协助力高质量发展出“新”出“彩”》等5项工作经验被《人民政协报》推介，《湘声报》12次头版头条推介怀化政协工作。</w:t>
      </w:r>
    </w:p>
    <w:p w14:paraId="4E6039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b/>
          <w:bCs/>
          <w:i w:val="0"/>
          <w:iCs w:val="0"/>
          <w:caps w:val="0"/>
          <w:color w:val="000000"/>
          <w:spacing w:val="0"/>
          <w:sz w:val="32"/>
          <w:szCs w:val="32"/>
          <w:shd w:val="clear" w:fill="FFFFFF"/>
          <w:lang w:val="en-US" w:eastAsia="zh-CN"/>
        </w:rPr>
        <w:t>2.</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在围绕中心服务大局上再加力，建言资政更加有效。</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班子成员带头，坚持将市委中心工作作为政协履职重点，在全年工作中立足政协职能定位，较好地服务了发展大局。</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一是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聚焦重点献计出力。坚决落实市委决定，6名厅级领导分别担任新能源及其装备、中医药等产业链链长、副链长，深入开展调研督导、招商引资等活动40余次，助力推进资源聚集、产业聚势。其中，市政协牵头的新能源及其装备产业链新增规模以上工业企业3家，实现规模工业总产值19.38亿元，增速39.78％，全年新引进项目45个，合同总投资414.56亿元。全面落实市级领导联系企业、项目、学校、乡村振兴等制度，助推解决项目推进、银企对接等问题76个，助力溆浦县思蒙镇仁里冲村引进并启动500亩油茶+黄姜种植基地项目，推动该村集体经济收入当年实现翻番。</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二是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聚焦难点参政议政。制定《怀化市政协2023年度协商与监督工作计划》并报经市委审定后严格实施。全年围绕20个课题开展专题议政协商2次、专题协商6次、界别协商2次、专家协商2次，累计形成履职成果21件，在服务怀化经济社会发展中贡献了政协之智、彰显了政协之为。尤其是坚持小切口破题，围绕“鹤中一体化进程中社会公共服务区域协调发展”及“打造全省清洁能源高地，助力构建现代化产业新体系”课题，深入开展调研，召开专题议政性常委会会议，并向市委市政府报送建议案。履职成果得到市委主要领导充分肯定。</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三是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聚焦堵点扎实监督。制定实施《政协怀化市委员会改善生态环境专项民主监督工作方案》等“1+5”文件，探索开展“民主监督+社会公益”“驻点监督+部门联动”“专项监督+跨省共治”“评议监督+司法防护”等各项监督行动，4个专项民主监督小组及全市各级政协工作者、政协委员、生态环保志愿者等5万余人积极参与，助推解决生态环保问题2100余个。对市教育局、市城市管理和综合执法局开展民主评议监督，并积极跟进推动问题整改，有效促进被评议部门工作效能不断提升、工作作风持续优化。组织开展“全市田长制实施情况”监督，推进“建设怀化国际陆港背景下物流产业转型发展”和“加快推动文体旅融合发展，全力建设全国知名旅游目的地”向中共怀化市委、市人民政府的建议案落实情况专项监督，推动“加快谋划建设铁路专用线”“推动旅游‘金三角’一体化开发”等32条建议得到高效转化落地。</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四是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聚焦热点建言献策。拓宽群众诉求表达、利益协调、权益保障通道。全年整理编报社情民意信息500余篇，其中《关于打通大湘西、雪峰山两大旅游板块关键联结点的建议》等32篇被省政协采用，数量居全省第三；《关于加强民营企业扶持力度 助推我市民营企业高质量发展的建议》等13篇获市委市政府主要领导批示督办。</w:t>
      </w:r>
    </w:p>
    <w:p w14:paraId="7DFD6A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b/>
          <w:bCs/>
          <w:i w:val="0"/>
          <w:iCs w:val="0"/>
          <w:caps w:val="0"/>
          <w:color w:val="000000"/>
          <w:spacing w:val="0"/>
          <w:sz w:val="32"/>
          <w:szCs w:val="32"/>
          <w:shd w:val="clear" w:fill="FFFFFF"/>
          <w:lang w:val="en-US" w:eastAsia="zh-CN"/>
        </w:rPr>
        <w:t>3.</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在广泛凝聚思想共识上再加力，人心力量更加集中。</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坚持带头发挥统一战线组织作用，发挥人民政协联系广泛和渠道畅通的独特优势，最大限度地为经济社会发展凝聚了强大正能量。</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一是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深化合作共事。带头配合省政协开展三级联动调研、视察、监督活动12次，推动“关于培育湖南柑橘区域公共品牌的建议”等一批委员建议落实落地。探索开展“跨党派、跨界别、跨委室、跨县市区”联合调研14次，着力推动以力量充分叠加汇聚，实现成果更加科学有效。充分尊重和吸纳各民主党派、工商联和无党派人士智慧力量，全年立案党派团体集体提案24件，采用社情民意6篇。拓展同党外知识分子、新经济组织、新的社会阶层人士交流交往，“政协智库”更加壮大，智力密集优势更加突出。</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二是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促进民族团结。全市321个委员工作室全覆盖设立“民族团结示范岗”，推进党的民族政策宣传解释，营造民族团结、平等和谐的良好氛围。围绕“促进我市民族地区省际边界县经济发展”开展对口协商，聚焦“民族团结进步示范市创建工作情况”开展专项监督，有效促进了民族地区发展，凝聚了团结奋斗力量。</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三是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扩大对外交流。推动成立“新晃·玉屏（大新经济协作区）省际委员工作室”，构建联动一体化、联防责任化、联治高效化“三化协同”跨界治水新模式，在交流合作中探索了路径、实现了共赢。组织芷江县、靖州县等县政协参加湘鄂渝黔边区县（市、区）政协工作联系会，组织赴省外、市外调研考察38批次，接待全国政协、省政协及兄弟政协来怀调研考察37批次，在交流交往中拓宽了委员眼界、提升了履职能力。</w:t>
      </w:r>
      <w:r>
        <w:rPr>
          <w:rFonts w:hint="eastAsia" w:ascii="方正仿宋_GB2312" w:hAnsi="方正仿宋_GB2312" w:eastAsia="方正仿宋_GB2312" w:cs="方正仿宋_GB2312"/>
          <w:b/>
          <w:bCs/>
          <w:i w:val="0"/>
          <w:iCs w:val="0"/>
          <w:caps w:val="0"/>
          <w:color w:val="000000"/>
          <w:spacing w:val="0"/>
          <w:sz w:val="32"/>
          <w:szCs w:val="32"/>
          <w:shd w:val="clear" w:fill="FFFFFF"/>
          <w:lang w:val="en-US" w:eastAsia="zh-CN"/>
        </w:rPr>
        <w:t>四</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汇聚团结合力。带头深入学习中共二十大精神，组织新任委员、优秀委员赴河南焦裕禄干部学院、红旗渠干部学院汲取奋进力量、提升履职能力。组织委员围绕中共二十大精神、省委十二届四次全会精神、市委六届五次全会精神等开展宣传宣讲480余场次，助力推动党的创新理论飞入寻常百姓家。</w:t>
      </w:r>
    </w:p>
    <w:p w14:paraId="399B2EC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b/>
          <w:bCs/>
          <w:i w:val="0"/>
          <w:iCs w:val="0"/>
          <w:caps w:val="0"/>
          <w:color w:val="000000"/>
          <w:spacing w:val="0"/>
          <w:sz w:val="32"/>
          <w:szCs w:val="32"/>
          <w:shd w:val="clear" w:fill="FFFFFF"/>
          <w:lang w:val="en-US" w:eastAsia="zh-CN"/>
        </w:rPr>
        <w:t>4.</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在持续加强自身建设是再加力，履职能力更加过硬。</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立足提振两支队伍精气神，更好彰显新作为、树立新形象，带头加强自身建设，推动全体委员和机关干部在从严自我管理、自我约束中实现自我提升。</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一是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突出制度建设管根本。制定实施《政协怀化市委员会专委会履职党支部和机关党支部“两力两率”评比办法（试行）》《政协怀化市委员会关于市政协委员履职考勤考绩工作实施办法（试行）》《政协怀化市委员会机关鼓励激励、容错纠错、追责问责机制实施办法（试行）》，优化县市区政协履职质量综合评价指标体系，修订相关工作规则和机关内部制度，推动政协工作制度化、规范化、程序化水平进一步提高。</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二是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突出从严管理提效能。按季度对机关支部、履职党支部、委员履职情况开展考核测评，党组织政治功能和组织功能不断强化，委员履职成色更加厚实。全年60余篇履职成果获市委市政府主要领导批示，8篇调研报告获评省政协优秀。深入开展“两带头五整治”纠风防腐专项行动，巩固拓展“三整顿两提升”干部作风建设专项活动成果，深化推进“清廉机关”建设，获评怀化市“清廉机关”。</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三是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突出强化创新促提升。探索推进“党建+”“监督+”等履职模式创新，《构建“一二三四”工作模式 推动政协党建与履职深度融合提质增效》等8项工作获评省政协工作创新案例，数量居全省第一。探索推进提案办理全过程介入、全阶段跟踪、全方位评价，创新开展B类提案“回头看”“回头督”，295件委员提案办复率、满意率和基本满意率均达100%，市政协六届一次会议90件B类提案转为A类71件。优化完善微建议转化、督办、通报机制，围绕群众关心关注提交微建议6117条，助推解决“整治高铁站的士运营乱象，树立怀化形象”等群众“急难愁盼”问题4927个。78件微建议获评省政协优秀案例，数量居全省第一。提案和微建议工作被中南六省（区）政协提案工作座谈会推介。</w:t>
      </w:r>
      <w:r>
        <w:rPr>
          <w:rFonts w:hint="default" w:ascii="方正仿宋_GB2312" w:hAnsi="方正仿宋_GB2312" w:eastAsia="方正仿宋_GB2312" w:cs="方正仿宋_GB2312"/>
          <w:b/>
          <w:bCs/>
          <w:i w:val="0"/>
          <w:iCs w:val="0"/>
          <w:caps w:val="0"/>
          <w:color w:val="000000"/>
          <w:spacing w:val="0"/>
          <w:sz w:val="32"/>
          <w:szCs w:val="32"/>
          <w:shd w:val="clear" w:fill="FFFFFF"/>
          <w:lang w:val="en-US" w:eastAsia="zh-CN"/>
        </w:rPr>
        <w:t>四是</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突出加强基层壮筋骨。坚持不建机构建机制，推动政协工作重心下移、力量下沉，实现204个乡镇（街道）全部由专职副书记联系政协工作，并配备政协专干233名。制定实施《政协怀化市委员会委员工作室提质增效工作方案》，班子成员带头定期对委员工作室运行机制、履职成效等开展常态化督导，推动委员工作室作用发挥更加充分有效。被省政协给予“建设有特点、履职有实效，有生命力”的高度评价，并在全省推介。</w:t>
      </w:r>
    </w:p>
    <w:p w14:paraId="1F578F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0841F1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仿宋"/>
          <w:spacing w:val="-2"/>
          <w:kern w:val="0"/>
          <w:sz w:val="32"/>
          <w:szCs w:val="32"/>
          <w:highlight w:val="none"/>
          <w:lang w:val="en-US" w:eastAsia="zh-CN" w:bidi="ar"/>
        </w:rPr>
      </w:pPr>
      <w:r>
        <w:rPr>
          <w:rFonts w:hint="eastAsia" w:ascii="仿宋" w:hAnsi="仿宋" w:eastAsia="仿宋" w:cs="仿宋"/>
          <w:spacing w:val="-2"/>
          <w:kern w:val="0"/>
          <w:sz w:val="32"/>
          <w:szCs w:val="32"/>
          <w:highlight w:val="none"/>
          <w:lang w:val="en-US" w:eastAsia="zh-CN" w:bidi="ar"/>
        </w:rPr>
        <w:t>预算支出绩效管理仍需进一步优化，根据财政预算支出绩效管理相关要求，资金预算申报应设定专项资金绩效目标，且设立的绩效目标需细化分解为具体的绩效指标，可通过清晰、可衡量的指标值予以体现。市政协设立的部门整体支出绩效目标在数量、质量、成本、时效、效益、可持续影响等多维度仅体现基础工作要求，未细化反映预期效果。</w:t>
      </w:r>
    </w:p>
    <w:p w14:paraId="649145A2">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eastAsia="zh-CN"/>
        </w:rPr>
        <w:t>八、</w:t>
      </w:r>
      <w:r>
        <w:rPr>
          <w:rFonts w:hint="eastAsia" w:ascii="黑体" w:hAnsi="黑体" w:eastAsia="黑体" w:cs="黑体"/>
          <w:i w:val="0"/>
          <w:iCs w:val="0"/>
          <w:caps w:val="0"/>
          <w:color w:val="000000"/>
          <w:spacing w:val="0"/>
          <w:sz w:val="32"/>
          <w:szCs w:val="32"/>
          <w:shd w:val="clear" w:fill="FFFFFF"/>
        </w:rPr>
        <w:t>下一步改进措施</w:t>
      </w:r>
    </w:p>
    <w:p w14:paraId="1144D227">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32" w:firstLineChars="200"/>
        <w:textAlignment w:val="auto"/>
        <w:rPr>
          <w:rFonts w:hint="eastAsia" w:ascii="仿宋" w:hAnsi="仿宋" w:eastAsia="仿宋" w:cs="仿宋"/>
          <w:spacing w:val="-2"/>
          <w:kern w:val="0"/>
          <w:sz w:val="32"/>
          <w:szCs w:val="32"/>
          <w:highlight w:val="none"/>
          <w:lang w:val="en-US" w:eastAsia="zh-CN" w:bidi="ar"/>
        </w:rPr>
      </w:pPr>
      <w:r>
        <w:rPr>
          <w:rFonts w:hint="eastAsia" w:ascii="仿宋" w:hAnsi="仿宋" w:eastAsia="仿宋" w:cs="仿宋"/>
          <w:spacing w:val="-2"/>
          <w:kern w:val="0"/>
          <w:sz w:val="32"/>
          <w:szCs w:val="32"/>
          <w:highlight w:val="none"/>
          <w:lang w:val="en-US" w:eastAsia="zh-CN" w:bidi="ar"/>
        </w:rPr>
        <w:t>加强预算管理，提高预算编制质量</w:t>
      </w:r>
    </w:p>
    <w:p w14:paraId="0F22E0C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32" w:firstLineChars="200"/>
        <w:textAlignment w:val="auto"/>
        <w:rPr>
          <w:rFonts w:hint="eastAsia" w:ascii="仿宋" w:hAnsi="仿宋" w:eastAsia="仿宋" w:cs="仿宋"/>
          <w:spacing w:val="-2"/>
          <w:kern w:val="0"/>
          <w:sz w:val="32"/>
          <w:szCs w:val="32"/>
          <w:highlight w:val="none"/>
          <w:lang w:val="en-US" w:eastAsia="zh-CN" w:bidi="ar"/>
        </w:rPr>
      </w:pPr>
      <w:r>
        <w:rPr>
          <w:rFonts w:hint="eastAsia" w:ascii="仿宋" w:hAnsi="仿宋" w:eastAsia="仿宋" w:cs="仿宋"/>
          <w:spacing w:val="-2"/>
          <w:kern w:val="0"/>
          <w:sz w:val="32"/>
          <w:szCs w:val="32"/>
          <w:highlight w:val="none"/>
          <w:lang w:val="en-US" w:eastAsia="zh-CN" w:bidi="ar"/>
        </w:rPr>
        <w:t>建议严格按照《中华人民共和国预算法》及其实施条例的相关规定，建立健全预算管理制度，明确预算编制、审批、执行、监督等各环节的职责和权限，确保预算资金的合理使用。加强预算编制的科学性和合理性，充分考虑实际需求和可能的风险，提高资金使用效益。</w:t>
      </w:r>
    </w:p>
    <w:p w14:paraId="784A39F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32" w:firstLineChars="200"/>
        <w:textAlignment w:val="auto"/>
        <w:rPr>
          <w:rFonts w:hint="eastAsia" w:ascii="仿宋" w:hAnsi="仿宋" w:eastAsia="仿宋" w:cs="仿宋"/>
          <w:spacing w:val="-2"/>
          <w:kern w:val="0"/>
          <w:sz w:val="32"/>
          <w:szCs w:val="32"/>
          <w:highlight w:val="none"/>
          <w:lang w:val="en-US" w:eastAsia="zh-CN" w:bidi="ar"/>
        </w:rPr>
      </w:pPr>
      <w:r>
        <w:rPr>
          <w:rFonts w:hint="eastAsia" w:ascii="仿宋" w:hAnsi="仿宋" w:eastAsia="仿宋" w:cs="仿宋"/>
          <w:spacing w:val="-2"/>
          <w:kern w:val="0"/>
          <w:sz w:val="32"/>
          <w:szCs w:val="32"/>
          <w:highlight w:val="none"/>
          <w:lang w:val="en-US" w:eastAsia="zh-CN" w:bidi="ar"/>
        </w:rPr>
        <w:t>（二）强化绩效理念，优化绩效目标认真梳理年度工作重点，针对年度目标任务，结合指向明确、可细化量化、合理科学、相应匹配的原则，从数量、质量、时效、效益、可持续等多个维度设立资金绩效目标。</w:t>
      </w:r>
    </w:p>
    <w:p w14:paraId="28F4252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3F40F8A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32" w:firstLineChars="200"/>
        <w:textAlignment w:val="auto"/>
        <w:rPr>
          <w:rFonts w:hint="eastAsia" w:ascii="仿宋" w:hAnsi="仿宋" w:eastAsia="仿宋" w:cs="仿宋"/>
          <w:spacing w:val="-2"/>
          <w:kern w:val="0"/>
          <w:sz w:val="32"/>
          <w:szCs w:val="32"/>
          <w:highlight w:val="none"/>
          <w:lang w:val="en-US" w:eastAsia="zh-CN" w:bidi="ar"/>
        </w:rPr>
      </w:pPr>
      <w:r>
        <w:rPr>
          <w:rFonts w:hint="eastAsia" w:ascii="仿宋" w:hAnsi="仿宋" w:eastAsia="仿宋" w:cs="仿宋"/>
          <w:spacing w:val="-2"/>
          <w:kern w:val="0"/>
          <w:sz w:val="32"/>
          <w:szCs w:val="32"/>
          <w:highlight w:val="none"/>
          <w:lang w:val="en-US" w:eastAsia="zh-CN" w:bidi="ar"/>
        </w:rPr>
        <w:t>无</w:t>
      </w:r>
    </w:p>
    <w:p w14:paraId="393DF7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Times New Roman" w:hAnsi="Times New Roman" w:cs="Times New Roman"/>
          <w:i w:val="0"/>
          <w:iCs w:val="0"/>
          <w:caps w:val="0"/>
          <w:color w:val="000000"/>
          <w:spacing w:val="0"/>
          <w:sz w:val="24"/>
          <w:szCs w:val="24"/>
          <w:lang w:val="en-US" w:eastAsia="zh-CN"/>
        </w:rPr>
      </w:pPr>
    </w:p>
    <w:p w14:paraId="72641B9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6BA730-8802-4493-8AF7-A74030B4619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2" w:fontKey="{0E4BBEE7-05C5-4216-A821-D8DCE24C7B87}"/>
  </w:font>
  <w:font w:name="方正小标宋_GBK">
    <w:panose1 w:val="02000000000000000000"/>
    <w:charset w:val="86"/>
    <w:family w:val="auto"/>
    <w:pitch w:val="default"/>
    <w:sig w:usb0="A00002BF" w:usb1="38CF7CFA" w:usb2="00082016" w:usb3="00000000" w:csb0="00040001" w:csb1="00000000"/>
    <w:embedRegular r:id="rId3" w:fontKey="{FD7A14BC-8C17-4422-AA5C-F951B50DDA2B}"/>
  </w:font>
  <w:font w:name="仿宋_GB2312">
    <w:panose1 w:val="02010609030101010101"/>
    <w:charset w:val="86"/>
    <w:family w:val="auto"/>
    <w:pitch w:val="default"/>
    <w:sig w:usb0="00000001" w:usb1="080E0000" w:usb2="00000000" w:usb3="00000000" w:csb0="00040000" w:csb1="00000000"/>
    <w:embedRegular r:id="rId4" w:fontKey="{00C7D000-A1AC-4AB4-89EF-1D6C4EDD91C4}"/>
  </w:font>
  <w:font w:name="方正仿宋_GB2312">
    <w:panose1 w:val="02000000000000000000"/>
    <w:charset w:val="86"/>
    <w:family w:val="auto"/>
    <w:pitch w:val="default"/>
    <w:sig w:usb0="A00002BF" w:usb1="184F6CFA" w:usb2="00000012" w:usb3="00000000" w:csb0="00040001" w:csb1="00000000"/>
    <w:embedRegular r:id="rId5" w:fontKey="{F675AA5E-CFA4-42EF-A436-AAAC8A240456}"/>
  </w:font>
  <w:font w:name="仿宋">
    <w:panose1 w:val="02010609060101010101"/>
    <w:charset w:val="86"/>
    <w:family w:val="auto"/>
    <w:pitch w:val="default"/>
    <w:sig w:usb0="800002BF" w:usb1="38CF7CFA" w:usb2="00000016" w:usb3="00000000" w:csb0="00040001" w:csb1="00000000"/>
    <w:embedRegular r:id="rId6" w:fontKey="{C6503E88-D9B9-4A32-A9FA-85611935A52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36544B"/>
    <w:multiLevelType w:val="singleLevel"/>
    <w:tmpl w:val="4336544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2ZGQxM2E5ZWNjYmQzMmYzYmFjZTA1Zjg2MWZjYmIifQ=="/>
  </w:docVars>
  <w:rsids>
    <w:rsidRoot w:val="00000000"/>
    <w:rsid w:val="00902C2A"/>
    <w:rsid w:val="02380E83"/>
    <w:rsid w:val="02C309EE"/>
    <w:rsid w:val="033E071B"/>
    <w:rsid w:val="047F0FEB"/>
    <w:rsid w:val="051017B6"/>
    <w:rsid w:val="07D96C64"/>
    <w:rsid w:val="089F3793"/>
    <w:rsid w:val="0BB2614A"/>
    <w:rsid w:val="0CA06DC1"/>
    <w:rsid w:val="0D1349C7"/>
    <w:rsid w:val="0D280416"/>
    <w:rsid w:val="0F1A64E0"/>
    <w:rsid w:val="0F5F0397"/>
    <w:rsid w:val="0FD85A54"/>
    <w:rsid w:val="104D4694"/>
    <w:rsid w:val="11B5604C"/>
    <w:rsid w:val="11D75A1E"/>
    <w:rsid w:val="12A52565"/>
    <w:rsid w:val="131B6383"/>
    <w:rsid w:val="134B12FD"/>
    <w:rsid w:val="137A57A0"/>
    <w:rsid w:val="147246C9"/>
    <w:rsid w:val="17125CEF"/>
    <w:rsid w:val="174478B6"/>
    <w:rsid w:val="18F25DD8"/>
    <w:rsid w:val="19726F19"/>
    <w:rsid w:val="19E971DB"/>
    <w:rsid w:val="1A231FC1"/>
    <w:rsid w:val="1A606D71"/>
    <w:rsid w:val="1ABB05BA"/>
    <w:rsid w:val="1B4E571A"/>
    <w:rsid w:val="1B75684C"/>
    <w:rsid w:val="1C1F73C8"/>
    <w:rsid w:val="1C314E69"/>
    <w:rsid w:val="1C67088B"/>
    <w:rsid w:val="1C926381"/>
    <w:rsid w:val="1D7768AC"/>
    <w:rsid w:val="1E937715"/>
    <w:rsid w:val="1F122D30"/>
    <w:rsid w:val="1F4E188E"/>
    <w:rsid w:val="204D5FEA"/>
    <w:rsid w:val="21D87C0B"/>
    <w:rsid w:val="22AC25DD"/>
    <w:rsid w:val="23243032"/>
    <w:rsid w:val="237815D0"/>
    <w:rsid w:val="239666E7"/>
    <w:rsid w:val="23B1063E"/>
    <w:rsid w:val="23C44815"/>
    <w:rsid w:val="24B959FC"/>
    <w:rsid w:val="24D171E9"/>
    <w:rsid w:val="24DE1906"/>
    <w:rsid w:val="257C5534"/>
    <w:rsid w:val="26D12678"/>
    <w:rsid w:val="27321A96"/>
    <w:rsid w:val="289447B6"/>
    <w:rsid w:val="293D6E34"/>
    <w:rsid w:val="2A337FFE"/>
    <w:rsid w:val="2A44045E"/>
    <w:rsid w:val="2B2A31B0"/>
    <w:rsid w:val="2BFF63EA"/>
    <w:rsid w:val="2C7566AC"/>
    <w:rsid w:val="2CBC252D"/>
    <w:rsid w:val="2D426ED6"/>
    <w:rsid w:val="2DC276C1"/>
    <w:rsid w:val="2E7D3F3E"/>
    <w:rsid w:val="2EDF69A7"/>
    <w:rsid w:val="2EFA733D"/>
    <w:rsid w:val="2F1A79DF"/>
    <w:rsid w:val="2F2D7712"/>
    <w:rsid w:val="2F990904"/>
    <w:rsid w:val="30524B1C"/>
    <w:rsid w:val="31880C30"/>
    <w:rsid w:val="33245299"/>
    <w:rsid w:val="33A32222"/>
    <w:rsid w:val="375A12C0"/>
    <w:rsid w:val="37FB5CCD"/>
    <w:rsid w:val="38BD1B07"/>
    <w:rsid w:val="39AD3929"/>
    <w:rsid w:val="3AF17846"/>
    <w:rsid w:val="3C8D17F0"/>
    <w:rsid w:val="3E045AE2"/>
    <w:rsid w:val="3E171CB9"/>
    <w:rsid w:val="3E817133"/>
    <w:rsid w:val="3F0D4E6A"/>
    <w:rsid w:val="40D66C13"/>
    <w:rsid w:val="40E1035D"/>
    <w:rsid w:val="414601C0"/>
    <w:rsid w:val="420376BF"/>
    <w:rsid w:val="42297FA1"/>
    <w:rsid w:val="43727992"/>
    <w:rsid w:val="43C7383A"/>
    <w:rsid w:val="45014B29"/>
    <w:rsid w:val="456B6447"/>
    <w:rsid w:val="47022DDB"/>
    <w:rsid w:val="474E6020"/>
    <w:rsid w:val="48587156"/>
    <w:rsid w:val="48CC36A0"/>
    <w:rsid w:val="48CD6E92"/>
    <w:rsid w:val="4948541D"/>
    <w:rsid w:val="4972249A"/>
    <w:rsid w:val="49AB6193"/>
    <w:rsid w:val="4B840262"/>
    <w:rsid w:val="4BA40904"/>
    <w:rsid w:val="4C5639AD"/>
    <w:rsid w:val="4D5D24F7"/>
    <w:rsid w:val="4D950505"/>
    <w:rsid w:val="4E7E6B56"/>
    <w:rsid w:val="4F512B51"/>
    <w:rsid w:val="4F6F4D85"/>
    <w:rsid w:val="4F894099"/>
    <w:rsid w:val="4FC652ED"/>
    <w:rsid w:val="4FE85264"/>
    <w:rsid w:val="50153B7F"/>
    <w:rsid w:val="50250266"/>
    <w:rsid w:val="507C3BFE"/>
    <w:rsid w:val="50A218B6"/>
    <w:rsid w:val="50D94BAC"/>
    <w:rsid w:val="510F05CE"/>
    <w:rsid w:val="518C1C1F"/>
    <w:rsid w:val="52E63916"/>
    <w:rsid w:val="52F83A10"/>
    <w:rsid w:val="53963229"/>
    <w:rsid w:val="53EE4E13"/>
    <w:rsid w:val="54352A41"/>
    <w:rsid w:val="55AE2AAB"/>
    <w:rsid w:val="567A298E"/>
    <w:rsid w:val="5697353F"/>
    <w:rsid w:val="574B60D8"/>
    <w:rsid w:val="58AE691E"/>
    <w:rsid w:val="5A696FA1"/>
    <w:rsid w:val="5B4578BE"/>
    <w:rsid w:val="5BC36B85"/>
    <w:rsid w:val="5BF94355"/>
    <w:rsid w:val="5C166CB5"/>
    <w:rsid w:val="5DD60DF1"/>
    <w:rsid w:val="5DD92690"/>
    <w:rsid w:val="60002155"/>
    <w:rsid w:val="6008725C"/>
    <w:rsid w:val="60663C1E"/>
    <w:rsid w:val="627C183B"/>
    <w:rsid w:val="629433EA"/>
    <w:rsid w:val="64C5396E"/>
    <w:rsid w:val="651E4E2C"/>
    <w:rsid w:val="657C227E"/>
    <w:rsid w:val="65A672FB"/>
    <w:rsid w:val="65C07C91"/>
    <w:rsid w:val="680869DE"/>
    <w:rsid w:val="68273FF7"/>
    <w:rsid w:val="6A2C3B47"/>
    <w:rsid w:val="6A302FAA"/>
    <w:rsid w:val="6A7D43A3"/>
    <w:rsid w:val="6A8E65B0"/>
    <w:rsid w:val="6AEF34F2"/>
    <w:rsid w:val="6B8C2AEF"/>
    <w:rsid w:val="6B914BB0"/>
    <w:rsid w:val="6C1825D5"/>
    <w:rsid w:val="6D7B72BF"/>
    <w:rsid w:val="6DFD1A82"/>
    <w:rsid w:val="6E1312A6"/>
    <w:rsid w:val="6ED0363B"/>
    <w:rsid w:val="6EF72976"/>
    <w:rsid w:val="6FAC3760"/>
    <w:rsid w:val="6FE54EC4"/>
    <w:rsid w:val="7128150C"/>
    <w:rsid w:val="71E01DE7"/>
    <w:rsid w:val="724A7260"/>
    <w:rsid w:val="72A44BC2"/>
    <w:rsid w:val="73CF2113"/>
    <w:rsid w:val="73FB1E5F"/>
    <w:rsid w:val="74DD0860"/>
    <w:rsid w:val="74FA31C0"/>
    <w:rsid w:val="751D0C5C"/>
    <w:rsid w:val="752128B8"/>
    <w:rsid w:val="75267B11"/>
    <w:rsid w:val="75976C60"/>
    <w:rsid w:val="76371E5E"/>
    <w:rsid w:val="763C15B6"/>
    <w:rsid w:val="76BB2D50"/>
    <w:rsid w:val="76FB321F"/>
    <w:rsid w:val="77F9775E"/>
    <w:rsid w:val="78D21D5D"/>
    <w:rsid w:val="78E35D19"/>
    <w:rsid w:val="791A3E30"/>
    <w:rsid w:val="79694470"/>
    <w:rsid w:val="796B643A"/>
    <w:rsid w:val="79AE7A1E"/>
    <w:rsid w:val="79CC01B5"/>
    <w:rsid w:val="7A170370"/>
    <w:rsid w:val="7AB91427"/>
    <w:rsid w:val="7B9A1258"/>
    <w:rsid w:val="7B9F061D"/>
    <w:rsid w:val="7E6023EE"/>
    <w:rsid w:val="7E865AC4"/>
    <w:rsid w:val="7E926217"/>
    <w:rsid w:val="7EBE700C"/>
    <w:rsid w:val="7ED700CE"/>
    <w:rsid w:val="7F4868B3"/>
    <w:rsid w:val="7F645E05"/>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引文目录1"/>
    <w:basedOn w:val="1"/>
    <w:next w:val="1"/>
    <w:qFormat/>
    <w:uiPriority w:val="0"/>
    <w:pPr>
      <w:ind w:left="420" w:leftChars="200"/>
    </w:pPr>
  </w:style>
  <w:style w:type="paragraph" w:styleId="4">
    <w:name w:val="footer"/>
    <w:basedOn w:val="1"/>
    <w:next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table of authorities"/>
    <w:basedOn w:val="1"/>
    <w:next w:val="1"/>
    <w:qFormat/>
    <w:uiPriority w:val="0"/>
    <w:pPr>
      <w:ind w:left="420" w:leftChars="200"/>
    </w:pPr>
  </w:style>
  <w:style w:type="paragraph" w:customStyle="1" w:styleId="9">
    <w:name w:val="标题1"/>
    <w:basedOn w:val="3"/>
    <w:autoRedefine/>
    <w:qFormat/>
    <w:uiPriority w:val="0"/>
    <w:rPr>
      <w:rFonts w:eastAsia="黑体"/>
    </w:rPr>
  </w:style>
  <w:style w:type="paragraph" w:customStyle="1" w:styleId="10">
    <w:name w:val="BodyText"/>
    <w:basedOn w:val="1"/>
    <w:qFormat/>
    <w:uiPriority w:val="0"/>
    <w:pPr>
      <w:jc w:val="both"/>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5839</Words>
  <Characters>6103</Characters>
  <Lines>0</Lines>
  <Paragraphs>0</Paragraphs>
  <TotalTime>334</TotalTime>
  <ScaleCrop>false</ScaleCrop>
  <LinksUpToDate>false</LinksUpToDate>
  <CharactersWithSpaces>6106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2024-04-30T00:33:00Z</dcterms:created>
  <dc:creator>Administrator</dc:creator>
  <cp:lastModifiedBy>花落谁指尖</cp:lastModifiedBy>
  <dcterms:modified xsi:type="dcterms:W3CDTF">2024-09-25T08:53:38Z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A9C57F6C111B4A39BA28F88BFC174F50_12</vt:lpwstr>
  </property>
</Properties>
</file>