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hint="eastAsia" w:ascii="微软雅黑" w:hAnsi="微软雅黑" w:eastAsia="微软雅黑" w:cs="微软雅黑"/>
          <w:b/>
          <w:bCs/>
          <w:i w:val="0"/>
          <w:iCs w:val="0"/>
          <w:caps w:val="0"/>
          <w:color w:val="000000" w:themeColor="text1"/>
          <w:spacing w:val="0"/>
          <w:sz w:val="45"/>
          <w:szCs w:val="45"/>
          <w:shd w:val="clear" w:fill="FFFFFF"/>
          <w14:textFill>
            <w14:solidFill>
              <w14:schemeClr w14:val="tx1"/>
            </w14:solidFill>
          </w14:textFill>
        </w:rPr>
      </w:pPr>
    </w:p>
    <w:p>
      <w:pPr>
        <w:rPr>
          <w:rFonts w:hint="eastAsi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000000" w:themeColor="text1"/>
          <w:spacing w:val="0"/>
          <w:sz w:val="72"/>
          <w:szCs w:val="72"/>
          <w:shd w:val="clear" w:fill="FFFFFF"/>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72"/>
          <w:szCs w:val="72"/>
          <w:shd w:val="clear" w:fill="FFFFFF"/>
          <w14:textFill>
            <w14:solidFill>
              <w14:schemeClr w14:val="tx1"/>
            </w14:solidFill>
          </w14:textFill>
        </w:rPr>
        <w:t>202</w:t>
      </w:r>
      <w:r>
        <w:rPr>
          <w:rFonts w:hint="eastAsia" w:ascii="方正小标宋简体" w:hAnsi="方正小标宋简体" w:eastAsia="方正小标宋简体" w:cs="方正小标宋简体"/>
          <w:b w:val="0"/>
          <w:bCs w:val="0"/>
          <w:i w:val="0"/>
          <w:iCs w:val="0"/>
          <w:caps w:val="0"/>
          <w:color w:val="000000" w:themeColor="text1"/>
          <w:spacing w:val="0"/>
          <w:sz w:val="72"/>
          <w:szCs w:val="72"/>
          <w:shd w:val="clear" w:fill="FFFFFF"/>
          <w:lang w:val="en-US" w:eastAsia="zh-CN"/>
          <w14:textFill>
            <w14:solidFill>
              <w14:schemeClr w14:val="tx1"/>
            </w14:solidFill>
          </w14:textFill>
        </w:rPr>
        <w:t>1</w:t>
      </w:r>
      <w:r>
        <w:rPr>
          <w:rFonts w:hint="eastAsia" w:ascii="方正小标宋简体" w:hAnsi="方正小标宋简体" w:eastAsia="方正小标宋简体" w:cs="方正小标宋简体"/>
          <w:b w:val="0"/>
          <w:bCs w:val="0"/>
          <w:i w:val="0"/>
          <w:iCs w:val="0"/>
          <w:caps w:val="0"/>
          <w:color w:val="000000" w:themeColor="text1"/>
          <w:spacing w:val="0"/>
          <w:sz w:val="72"/>
          <w:szCs w:val="72"/>
          <w:shd w:val="clear" w:fill="FFFFFF"/>
          <w14:textFill>
            <w14:solidFill>
              <w14:schemeClr w14:val="tx1"/>
            </w14:solidFill>
          </w14:textFill>
        </w:rPr>
        <w:t>年度怀化市审计局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000000" w:themeColor="text1"/>
          <w:spacing w:val="0"/>
          <w:sz w:val="72"/>
          <w:szCs w:val="72"/>
          <w:shd w:val="clear" w:fill="FFFFFF"/>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72"/>
          <w:szCs w:val="72"/>
          <w:shd w:val="clear" w:fill="FFFFFF"/>
          <w14:textFill>
            <w14:solidFill>
              <w14:schemeClr w14:val="tx1"/>
            </w14:solidFill>
          </w14:textFill>
        </w:rPr>
        <w:t>部门决算</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sz w:val="72"/>
          <w:szCs w:val="72"/>
          <w:shd w:val="clear" w:fill="FFFFFF"/>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目</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jc w:val="both"/>
        <w:textAlignment w:val="auto"/>
        <w:rPr>
          <w:color w:val="000000" w:themeColor="text1"/>
          <w:sz w:val="32"/>
          <w:szCs w:val="32"/>
          <w14:textFill>
            <w14:solidFill>
              <w14:schemeClr w14:val="tx1"/>
            </w14:solidFill>
          </w14:textFill>
        </w:rPr>
      </w:pPr>
      <w:r>
        <w:rPr>
          <w:rFonts w:hint="eastAsia" w:ascii="黑体" w:hAnsi="宋体" w:eastAsia="黑体" w:cs="黑体"/>
          <w:b/>
          <w:bCs/>
          <w:i w:val="0"/>
          <w:iCs w:val="0"/>
          <w:caps w:val="0"/>
          <w:color w:val="000000" w:themeColor="text1"/>
          <w:spacing w:val="0"/>
          <w:sz w:val="32"/>
          <w:szCs w:val="32"/>
          <w:shd w:val="clear" w:fill="FFFFFF"/>
          <w14:textFill>
            <w14:solidFill>
              <w14:schemeClr w14:val="tx1"/>
            </w14:solidFill>
          </w14:textFill>
        </w:rPr>
        <w:t>第一部分怀化市审计局</w:t>
      </w:r>
      <w:r>
        <w:rPr>
          <w:rFonts w:hint="eastAsia" w:ascii="黑体" w:hAnsi="宋体" w:eastAsia="黑体" w:cs="黑体"/>
          <w:b/>
          <w:bCs/>
          <w:i w:val="0"/>
          <w:iCs w:val="0"/>
          <w:caps w:val="0"/>
          <w:color w:val="000000" w:themeColor="text1"/>
          <w:spacing w:val="0"/>
          <w:sz w:val="32"/>
          <w:szCs w:val="32"/>
          <w:shd w:val="clear" w:fill="FFFFFF"/>
          <w:lang w:eastAsia="zh-CN"/>
          <w14:textFill>
            <w14:solidFill>
              <w14:schemeClr w14:val="tx1"/>
            </w14:solidFill>
          </w14:textFill>
        </w:rPr>
        <w:t>部门</w:t>
      </w:r>
      <w:r>
        <w:rPr>
          <w:rFonts w:hint="eastAsia" w:ascii="黑体" w:hAnsi="宋体" w:eastAsia="黑体" w:cs="黑体"/>
          <w:b/>
          <w:bCs/>
          <w:i w:val="0"/>
          <w:iCs w:val="0"/>
          <w:caps w:val="0"/>
          <w:color w:val="000000" w:themeColor="text1"/>
          <w:spacing w:val="0"/>
          <w:sz w:val="32"/>
          <w:szCs w:val="32"/>
          <w:shd w:val="clear" w:fill="FFFFFF"/>
          <w14:textFill>
            <w14:solidFill>
              <w14:schemeClr w14:val="tx1"/>
            </w14:solidFill>
          </w14:textFill>
        </w:rPr>
        <w:t>概况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both"/>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一、部门职责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both"/>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二、机构设置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jc w:val="both"/>
        <w:textAlignment w:val="auto"/>
        <w:rPr>
          <w:color w:val="000000" w:themeColor="text1"/>
          <w:sz w:val="32"/>
          <w:szCs w:val="32"/>
          <w14:textFill>
            <w14:solidFill>
              <w14:schemeClr w14:val="tx1"/>
            </w14:solidFill>
          </w14:textFill>
        </w:rPr>
      </w:pPr>
      <w:r>
        <w:rPr>
          <w:rFonts w:hint="eastAsia" w:ascii="黑体" w:hAnsi="宋体" w:eastAsia="黑体" w:cs="黑体"/>
          <w:b/>
          <w:bCs/>
          <w:i w:val="0"/>
          <w:iCs w:val="0"/>
          <w:caps w:val="0"/>
          <w:color w:val="000000" w:themeColor="text1"/>
          <w:spacing w:val="0"/>
          <w:sz w:val="32"/>
          <w:szCs w:val="32"/>
          <w:shd w:val="clear" w:fill="FFFFFF"/>
          <w14:textFill>
            <w14:solidFill>
              <w14:schemeClr w14:val="tx1"/>
            </w14:solidFill>
          </w14:textFill>
        </w:rPr>
        <w:t>第二部分202</w:t>
      </w:r>
      <w:r>
        <w:rPr>
          <w:rFonts w:hint="eastAsia" w:ascii="黑体" w:hAnsi="宋体" w:eastAsia="黑体" w:cs="黑体"/>
          <w:b/>
          <w:bCs/>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黑体" w:hAnsi="宋体" w:eastAsia="黑体" w:cs="黑体"/>
          <w:b/>
          <w:bCs/>
          <w:i w:val="0"/>
          <w:iCs w:val="0"/>
          <w:caps w:val="0"/>
          <w:color w:val="000000" w:themeColor="text1"/>
          <w:spacing w:val="0"/>
          <w:sz w:val="32"/>
          <w:szCs w:val="32"/>
          <w:shd w:val="clear" w:fill="FFFFFF"/>
          <w14:textFill>
            <w14:solidFill>
              <w14:schemeClr w14:val="tx1"/>
            </w14:solidFill>
          </w14:textFill>
        </w:rPr>
        <w:t>年度部门决算表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both"/>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一、收入支出决算总表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both"/>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二、收入决算表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both"/>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三、支出决算表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both"/>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四、财政拨款收入支出决算总表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both"/>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五、一般公共预算财政拨款支出决算表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both"/>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六、一般公共预算财政拨款基本支出决算表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both"/>
        <w:textAlignment w:val="auto"/>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七、一般公共预算财政拨款“三公”经费支出决算表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both"/>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八、政府性基金预算财政拨款收入支出决算表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both"/>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九、国有资本经营预算财政拨款支出决算表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jc w:val="both"/>
        <w:textAlignment w:val="auto"/>
        <w:rPr>
          <w:color w:val="000000" w:themeColor="text1"/>
          <w:sz w:val="32"/>
          <w:szCs w:val="32"/>
          <w14:textFill>
            <w14:solidFill>
              <w14:schemeClr w14:val="tx1"/>
            </w14:solidFill>
          </w14:textFill>
        </w:rPr>
      </w:pPr>
      <w:r>
        <w:rPr>
          <w:rFonts w:hint="eastAsia" w:ascii="黑体" w:hAnsi="宋体" w:eastAsia="黑体" w:cs="黑体"/>
          <w:b/>
          <w:bCs/>
          <w:i w:val="0"/>
          <w:iCs w:val="0"/>
          <w:caps w:val="0"/>
          <w:color w:val="000000" w:themeColor="text1"/>
          <w:spacing w:val="0"/>
          <w:sz w:val="32"/>
          <w:szCs w:val="32"/>
          <w:shd w:val="clear" w:fill="FFFFFF"/>
          <w14:textFill>
            <w14:solidFill>
              <w14:schemeClr w14:val="tx1"/>
            </w14:solidFill>
          </w14:textFill>
        </w:rPr>
        <w:t>第三部分202</w:t>
      </w:r>
      <w:r>
        <w:rPr>
          <w:rFonts w:hint="eastAsia" w:ascii="黑体" w:hAnsi="宋体" w:eastAsia="黑体" w:cs="黑体"/>
          <w:b/>
          <w:bCs/>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黑体" w:hAnsi="宋体" w:eastAsia="黑体" w:cs="黑体"/>
          <w:b/>
          <w:bCs/>
          <w:i w:val="0"/>
          <w:iCs w:val="0"/>
          <w:caps w:val="0"/>
          <w:color w:val="000000" w:themeColor="text1"/>
          <w:spacing w:val="0"/>
          <w:sz w:val="32"/>
          <w:szCs w:val="32"/>
          <w:shd w:val="clear" w:fill="FFFFFF"/>
          <w14:textFill>
            <w14:solidFill>
              <w14:schemeClr w14:val="tx1"/>
            </w14:solidFill>
          </w14:textFill>
        </w:rPr>
        <w:t>年度部门决算情况说明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both"/>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一、收入支出决算总体情况说明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left"/>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t>二、收入决算情况说明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left"/>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t>三、支出决算情况说明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left"/>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t>四、财政拨款收入支出决算总体情况说明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left"/>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t>五、一般公共预算财政拨款支出决算情况说明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left"/>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t>六、一般公共预算财政拨款基本支出决算情况说明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left"/>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t>七、一般公共预算财政拨款三公经费支出决算情况说明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left"/>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t>八、政府性基金预算收入支出决算情况说明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left"/>
        <w:textAlignment w:val="auto"/>
        <w:rPr>
          <w:rFonts w:hint="default"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九、国有资本性经营预算财政拨款支出决算情况说明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left"/>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t>十、关于机关运行经费支出说明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left"/>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t>十一、一般性支出情况说明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left"/>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t>十二、关于政府采购支出说明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both"/>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十</w:t>
      </w:r>
      <w:r>
        <w:rPr>
          <w:rFonts w:hint="eastAsia" w:ascii="宋体" w:hAnsi="宋体" w:eastAsia="宋体" w:cs="宋体"/>
          <w:i w:val="0"/>
          <w:iCs w:val="0"/>
          <w:caps w:val="0"/>
          <w:color w:val="000000" w:themeColor="text1"/>
          <w:spacing w:val="0"/>
          <w:sz w:val="32"/>
          <w:szCs w:val="32"/>
          <w:shd w:val="clear" w:fill="FFFFFF"/>
          <w:lang w:eastAsia="zh-CN"/>
          <w14:textFill>
            <w14:solidFill>
              <w14:schemeClr w14:val="tx1"/>
            </w14:solidFill>
          </w14:textFill>
        </w:rPr>
        <w:t>三</w:t>
      </w: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w:t>
      </w:r>
      <w:r>
        <w:rPr>
          <w:rFonts w:hint="eastAsia" w:ascii="宋体" w:hAnsi="宋体" w:eastAsia="宋体" w:cs="宋体"/>
          <w:i w:val="0"/>
          <w:iCs w:val="0"/>
          <w:caps w:val="0"/>
          <w:color w:val="000000" w:themeColor="text1"/>
          <w:spacing w:val="0"/>
          <w:sz w:val="32"/>
          <w:szCs w:val="32"/>
          <w:shd w:val="clear" w:fill="FFFFFF"/>
          <w:lang w:eastAsia="zh-CN"/>
          <w14:textFill>
            <w14:solidFill>
              <w14:schemeClr w14:val="tx1"/>
            </w14:solidFill>
          </w14:textFill>
        </w:rPr>
        <w:t>关于</w:t>
      </w: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国有资产占用情况说明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firstLine="700"/>
        <w:jc w:val="both"/>
        <w:textAlignment w:val="auto"/>
        <w:rPr>
          <w:color w:val="000000" w:themeColor="text1"/>
          <w:sz w:val="32"/>
          <w:szCs w:val="32"/>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十</w:t>
      </w:r>
      <w:r>
        <w:rPr>
          <w:rFonts w:hint="eastAsia" w:ascii="宋体" w:hAnsi="宋体" w:eastAsia="宋体" w:cs="宋体"/>
          <w:i w:val="0"/>
          <w:iCs w:val="0"/>
          <w:caps w:val="0"/>
          <w:color w:val="000000" w:themeColor="text1"/>
          <w:spacing w:val="0"/>
          <w:sz w:val="32"/>
          <w:szCs w:val="32"/>
          <w:shd w:val="clear" w:fill="FFFFFF"/>
          <w:lang w:eastAsia="zh-CN"/>
          <w14:textFill>
            <w14:solidFill>
              <w14:schemeClr w14:val="tx1"/>
            </w14:solidFill>
          </w14:textFill>
        </w:rPr>
        <w:t>四</w:t>
      </w: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w:t>
      </w:r>
      <w:r>
        <w:rPr>
          <w:rFonts w:hint="eastAsia" w:ascii="宋体" w:hAnsi="宋体" w:eastAsia="宋体" w:cs="宋体"/>
          <w:i w:val="0"/>
          <w:iCs w:val="0"/>
          <w:caps w:val="0"/>
          <w:color w:val="000000" w:themeColor="text1"/>
          <w:spacing w:val="0"/>
          <w:sz w:val="32"/>
          <w:szCs w:val="32"/>
          <w:shd w:val="clear" w:fill="FFFFFF"/>
          <w:lang w:eastAsia="zh-CN"/>
          <w14:textFill>
            <w14:solidFill>
              <w14:schemeClr w14:val="tx1"/>
            </w14:solidFill>
          </w14:textFill>
        </w:rPr>
        <w:t>关于</w:t>
      </w: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202</w:t>
      </w:r>
      <w:r>
        <w:rPr>
          <w:rFonts w:hint="eastAsia" w:ascii="宋体" w:hAnsi="宋体" w:eastAsia="宋体" w:cs="宋体"/>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年度预算绩效情况的说明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jc w:val="left"/>
        <w:textAlignment w:val="auto"/>
        <w:rPr>
          <w:color w:val="000000" w:themeColor="text1"/>
          <w:sz w:val="32"/>
          <w:szCs w:val="32"/>
          <w14:textFill>
            <w14:solidFill>
              <w14:schemeClr w14:val="tx1"/>
            </w14:solidFill>
          </w14:textFill>
        </w:rPr>
      </w:pPr>
      <w:r>
        <w:rPr>
          <w:rFonts w:hint="eastAsia" w:ascii="黑体" w:hAnsi="宋体" w:eastAsia="黑体" w:cs="黑体"/>
          <w:b/>
          <w:bCs/>
          <w:i w:val="0"/>
          <w:iCs w:val="0"/>
          <w:caps w:val="0"/>
          <w:color w:val="000000" w:themeColor="text1"/>
          <w:spacing w:val="0"/>
          <w:kern w:val="0"/>
          <w:sz w:val="32"/>
          <w:szCs w:val="32"/>
          <w:shd w:val="clear" w:fill="FFFFFF"/>
          <w:lang w:val="en-US" w:eastAsia="zh-CN" w:bidi="ar"/>
          <w14:textFill>
            <w14:solidFill>
              <w14:schemeClr w14:val="tx1"/>
            </w14:solidFill>
          </w14:textFill>
        </w:rPr>
        <w:t>第四部分名词解释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jc w:val="left"/>
        <w:textAlignment w:val="auto"/>
        <w:rPr>
          <w:color w:val="000000" w:themeColor="text1"/>
          <w:sz w:val="32"/>
          <w:szCs w:val="32"/>
          <w14:textFill>
            <w14:solidFill>
              <w14:schemeClr w14:val="tx1"/>
            </w14:solidFill>
          </w14:textFill>
        </w:rPr>
      </w:pPr>
      <w:r>
        <w:rPr>
          <w:rFonts w:hint="eastAsia" w:ascii="黑体" w:hAnsi="宋体" w:eastAsia="黑体" w:cs="黑体"/>
          <w:b/>
          <w:bCs/>
          <w:i w:val="0"/>
          <w:iCs w:val="0"/>
          <w:caps w:val="0"/>
          <w:color w:val="000000" w:themeColor="text1"/>
          <w:spacing w:val="0"/>
          <w:kern w:val="0"/>
          <w:sz w:val="32"/>
          <w:szCs w:val="32"/>
          <w:shd w:val="clear" w:fill="FFFFFF"/>
          <w:lang w:val="en-US" w:eastAsia="zh-CN" w:bidi="ar"/>
          <w14:textFill>
            <w14:solidFill>
              <w14:schemeClr w14:val="tx1"/>
            </w14:solidFill>
          </w14:textFill>
        </w:rPr>
        <w:t>第五部分附件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color w:val="000000" w:themeColor="text1"/>
          <w:sz w:val="24"/>
          <w:szCs w:val="24"/>
          <w14:textFill>
            <w14:solidFill>
              <w14:schemeClr w14:val="tx1"/>
            </w14:solidFill>
          </w14:textFill>
        </w:rPr>
      </w:pPr>
      <w:r>
        <w:rPr>
          <w:rFonts w:ascii="Calibri" w:hAnsi="Calibri" w:eastAsia="微软雅黑" w:cs="Calibri"/>
          <w:i w:val="0"/>
          <w:iCs w:val="0"/>
          <w:caps w:val="0"/>
          <w:color w:val="000000" w:themeColor="text1"/>
          <w:spacing w:val="0"/>
          <w:kern w:val="0"/>
          <w:sz w:val="72"/>
          <w:szCs w:val="72"/>
          <w:shd w:val="clear" w:fill="FFFFFF"/>
          <w:lang w:val="en-US" w:eastAsia="zh-CN" w:bidi="ar"/>
          <w14:textFill>
            <w14:solidFill>
              <w14:schemeClr w14:val="tx1"/>
            </w14:solidFill>
          </w14:textFill>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color w:val="000000" w:themeColor="text1"/>
          <w:sz w:val="24"/>
          <w:szCs w:val="24"/>
          <w14:textFill>
            <w14:solidFill>
              <w14:schemeClr w14:val="tx1"/>
            </w14:solidFill>
          </w14:textFill>
        </w:rPr>
      </w:pPr>
      <w:r>
        <w:rPr>
          <w:rFonts w:hint="default" w:ascii="Calibri" w:hAnsi="Calibri" w:eastAsia="微软雅黑" w:cs="Calibri"/>
          <w:i w:val="0"/>
          <w:iCs w:val="0"/>
          <w:caps w:val="0"/>
          <w:color w:val="000000" w:themeColor="text1"/>
          <w:spacing w:val="0"/>
          <w:kern w:val="0"/>
          <w:sz w:val="72"/>
          <w:szCs w:val="72"/>
          <w:shd w:val="clear" w:fill="FFFFFF"/>
          <w:lang w:val="en-US" w:eastAsia="zh-CN" w:bidi="ar"/>
          <w14:textFill>
            <w14:solidFill>
              <w14:schemeClr w14:val="tx1"/>
            </w14:solidFill>
          </w14:textFill>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color w:val="000000" w:themeColor="text1"/>
          <w:sz w:val="24"/>
          <w:szCs w:val="24"/>
          <w14:textFill>
            <w14:solidFill>
              <w14:schemeClr w14:val="tx1"/>
            </w14:solidFill>
          </w14:textFill>
        </w:rPr>
      </w:pPr>
      <w:r>
        <w:rPr>
          <w:rFonts w:hint="default" w:ascii="Calibri" w:hAnsi="Calibri" w:eastAsia="微软雅黑" w:cs="Calibri"/>
          <w:i w:val="0"/>
          <w:iCs w:val="0"/>
          <w:caps w:val="0"/>
          <w:color w:val="000000" w:themeColor="text1"/>
          <w:spacing w:val="0"/>
          <w:kern w:val="0"/>
          <w:sz w:val="72"/>
          <w:szCs w:val="72"/>
          <w:shd w:val="clear" w:fill="FFFFFF"/>
          <w:lang w:val="en-US" w:eastAsia="zh-CN" w:bidi="ar"/>
          <w14:textFill>
            <w14:solidFill>
              <w14:schemeClr w14:val="tx1"/>
            </w14:solidFill>
          </w14:textFill>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color w:val="000000" w:themeColor="text1"/>
          <w:sz w:val="24"/>
          <w:szCs w:val="24"/>
          <w14:textFill>
            <w14:solidFill>
              <w14:schemeClr w14:val="tx1"/>
            </w14:solidFill>
          </w14:textFill>
        </w:rPr>
      </w:pPr>
      <w:r>
        <w:rPr>
          <w:rFonts w:hint="default" w:ascii="Calibri" w:hAnsi="Calibri" w:eastAsia="微软雅黑" w:cs="Calibri"/>
          <w:i w:val="0"/>
          <w:iCs w:val="0"/>
          <w:caps w:val="0"/>
          <w:color w:val="000000" w:themeColor="text1"/>
          <w:spacing w:val="0"/>
          <w:kern w:val="0"/>
          <w:sz w:val="72"/>
          <w:szCs w:val="72"/>
          <w:shd w:val="clear" w:fill="FFFFFF"/>
          <w:lang w:val="en-US" w:eastAsia="zh-CN" w:bidi="ar"/>
          <w14:textFill>
            <w14:solidFill>
              <w14:schemeClr w14:val="tx1"/>
            </w14:solidFill>
          </w14:textFill>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both"/>
        <w:rPr>
          <w:rFonts w:hint="eastAsia" w:ascii="方正小标宋简体" w:hAnsi="方正小标宋简体" w:eastAsia="方正小标宋简体" w:cs="方正小标宋简体"/>
          <w:i w:val="0"/>
          <w:iCs w:val="0"/>
          <w:caps w:val="0"/>
          <w:color w:val="000000" w:themeColor="text1"/>
          <w:spacing w:val="0"/>
          <w:sz w:val="84"/>
          <w:szCs w:val="84"/>
          <w:shd w:val="clear" w:fill="FFFFFF"/>
          <w14:textFill>
            <w14:solidFill>
              <w14:schemeClr w14:val="tx1"/>
            </w14:solidFill>
          </w14:textFill>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rFonts w:hint="eastAsia" w:ascii="方正小标宋简体" w:hAnsi="方正小标宋简体" w:eastAsia="方正小标宋简体" w:cs="方正小标宋简体"/>
          <w:i w:val="0"/>
          <w:iCs w:val="0"/>
          <w:caps w:val="0"/>
          <w:color w:val="000000" w:themeColor="text1"/>
          <w:spacing w:val="0"/>
          <w:sz w:val="84"/>
          <w:szCs w:val="84"/>
          <w:shd w:val="clear" w:fill="FFFFFF"/>
          <w14:textFill>
            <w14:solidFill>
              <w14:schemeClr w14:val="tx1"/>
            </w14:solidFill>
          </w14:textFill>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84"/>
          <w:szCs w:val="84"/>
          <w:shd w:val="clear" w:fill="FFFFFF"/>
          <w14:textFill>
            <w14:solidFill>
              <w14:schemeClr w14:val="tx1"/>
            </w14:solidFill>
          </w14:textFill>
        </w:rPr>
        <w:t>第一部分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84"/>
          <w:szCs w:val="84"/>
          <w:shd w:val="clear" w:fill="FFFFFF"/>
          <w14:textFill>
            <w14:solidFill>
              <w14:schemeClr w14:val="tx1"/>
            </w14:solidFill>
          </w14:textFill>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rFonts w:hint="eastAsia" w:ascii="方正小标宋简体" w:hAnsi="方正小标宋简体" w:eastAsia="方正小标宋简体" w:cs="方正小标宋简体"/>
          <w:i w:val="0"/>
          <w:iCs w:val="0"/>
          <w:caps w:val="0"/>
          <w:color w:val="000000" w:themeColor="text1"/>
          <w:spacing w:val="0"/>
          <w:sz w:val="84"/>
          <w:szCs w:val="84"/>
          <w:shd w:val="clear" w:fill="FFFFFF"/>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84"/>
          <w:szCs w:val="84"/>
          <w:shd w:val="clear" w:fill="FFFFFF"/>
          <w14:textFill>
            <w14:solidFill>
              <w14:schemeClr w14:val="tx1"/>
            </w14:solidFill>
          </w14:textFill>
        </w:rPr>
        <w:t>怀化市审计局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84"/>
          <w:szCs w:val="84"/>
          <w:shd w:val="clear" w:fill="FFFFFF"/>
          <w:lang w:eastAsia="zh-CN"/>
          <w14:textFill>
            <w14:solidFill>
              <w14:schemeClr w14:val="tx1"/>
            </w14:solidFill>
          </w14:textFill>
        </w:rPr>
        <w:t>单位</w:t>
      </w:r>
      <w:r>
        <w:rPr>
          <w:rFonts w:hint="eastAsia" w:ascii="方正小标宋简体" w:hAnsi="方正小标宋简体" w:eastAsia="方正小标宋简体" w:cs="方正小标宋简体"/>
          <w:i w:val="0"/>
          <w:iCs w:val="0"/>
          <w:caps w:val="0"/>
          <w:color w:val="000000" w:themeColor="text1"/>
          <w:spacing w:val="0"/>
          <w:sz w:val="84"/>
          <w:szCs w:val="84"/>
          <w:shd w:val="clear" w:fill="FFFFFF"/>
          <w14:textFill>
            <w14:solidFill>
              <w14:schemeClr w14:val="tx1"/>
            </w14:solidFill>
          </w14:textFill>
        </w:rPr>
        <w:t>概况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right="0"/>
        <w:jc w:val="left"/>
        <w:textAlignment w:val="auto"/>
        <w:rPr>
          <w:color w:val="000000" w:themeColor="text1"/>
          <w:sz w:val="24"/>
          <w:szCs w:val="24"/>
          <w14:textFill>
            <w14:solidFill>
              <w14:schemeClr w14:val="tx1"/>
            </w14:solidFill>
          </w14:textFill>
        </w:rPr>
      </w:pPr>
      <w:r>
        <w:rPr>
          <w:rFonts w:hint="default" w:ascii="Calibri" w:hAnsi="Calibri" w:eastAsia="微软雅黑" w:cs="Calibri"/>
          <w:i w:val="0"/>
          <w:iCs w:val="0"/>
          <w:caps w:val="0"/>
          <w:color w:val="000000" w:themeColor="text1"/>
          <w:spacing w:val="0"/>
          <w:kern w:val="0"/>
          <w:sz w:val="72"/>
          <w:szCs w:val="72"/>
          <w:shd w:val="clear" w:fill="FFFFFF"/>
          <w:lang w:val="en-US" w:eastAsia="zh-CN" w:bidi="ar"/>
          <w14:textFill>
            <w14:solidFill>
              <w14:schemeClr w14:val="tx1"/>
            </w14:solidFill>
          </w14:textFill>
        </w:rPr>
        <w:br w:type="page"/>
      </w:r>
      <w:r>
        <w:rPr>
          <w:rFonts w:hint="eastAsia" w:ascii="Calibri" w:hAnsi="Calibri" w:eastAsia="微软雅黑" w:cs="Calibri"/>
          <w:i w:val="0"/>
          <w:iCs w:val="0"/>
          <w:caps w:val="0"/>
          <w:color w:val="000000" w:themeColor="text1"/>
          <w:spacing w:val="0"/>
          <w:kern w:val="0"/>
          <w:sz w:val="72"/>
          <w:szCs w:val="72"/>
          <w:shd w:val="clear" w:fill="FFFFFF"/>
          <w:lang w:val="en-US" w:eastAsia="zh-CN" w:bidi="ar"/>
          <w14:textFill>
            <w14:solidFill>
              <w14:schemeClr w14:val="tx1"/>
            </w14:solidFill>
          </w14:textFill>
        </w:rPr>
        <w:t xml:space="preserve">  </w:t>
      </w:r>
      <w:r>
        <w:rPr>
          <w:rFonts w:hint="eastAsia" w:ascii="黑体" w:hAnsi="宋体" w:eastAsia="黑体" w:cs="黑体"/>
          <w:i w:val="0"/>
          <w:iCs w:val="0"/>
          <w:caps w:val="0"/>
          <w:color w:val="000000" w:themeColor="text1"/>
          <w:spacing w:val="0"/>
          <w:sz w:val="32"/>
          <w:szCs w:val="32"/>
          <w:shd w:val="clear" w:fill="FFFFFF"/>
          <w14:textFill>
            <w14:solidFill>
              <w14:schemeClr w14:val="tx1"/>
            </w14:solidFill>
          </w14:textFill>
        </w:rPr>
        <w:t>一、 部门职责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1、贯彻执行国家审计工作方针政策，制订全市审计工作规划并组织实施；指导、协调、监督全市审计机关的业务；组织行业和专项资金的审计或审计调查。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2、向市委、市政府报告和向市政府有关部门通报审计情况，提出制定和完善有关政策、宏观调控措施的建议。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3、依据《中华人民共和国审计法》的规定，直接进行下列审计：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（1）市本级财政预算执行情况和其他财政收支情况。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（2）县市区人民政府预算的执行情况和决算。</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（3）市属国有企业的资产、负债和损益情况。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（4）地方金融机构的资产、负债和损益情况。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（5）市政府部门管理和受市政府委托由社会团体管理的社会保障基金、环境保护资金、社会捐赠资金及其他基金、资金的收支。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（6）市政府接收的国际组织和外国政府援助、贷款项目以及赠款项目的财务收支。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（7）市直各部门、事业单位及下属单位的财务收支和专用资金使用情况。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（8）市政府及市直各部门基本建设项目概预算执行和决算。</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4、向市政府提交市本级预算执行情况的审计结果报告；受政府委托向市人大常委会提出市本级预算执行情况和其他财政收支审计工作报告。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5、贯彻执行国家财经方针政策和宏观调控措施，组织行业审计、专项审计或审计调查，并向市政府和相关部门反映情况、提出建议。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6、受市委、市政府委托，组织全市审计机关依法对党政领导干部和国有企业负责人进行任期经济责任审计；实施对市管党政领导干部和市属国有企业负责人经济责任审计。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7、依法受理被审计单位对下级审计机关审计决定的复议申请。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8、组织实施对全市内部审计的指导与监督；监督社会审计组织的审计业务质量；组织审计专业培训。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9、协同办理县市区审计机关负责人的任免事项。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10、承办市委、市政府交办的其他事项。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黑体" w:hAnsi="宋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宋体" w:eastAsia="黑体" w:cs="黑体"/>
          <w:i w:val="0"/>
          <w:iCs w:val="0"/>
          <w:caps w:val="0"/>
          <w:color w:val="000000" w:themeColor="text1"/>
          <w:spacing w:val="0"/>
          <w:sz w:val="32"/>
          <w:szCs w:val="32"/>
          <w:shd w:val="clear" w:fill="FFFFFF"/>
          <w:lang w:val="en-US" w:eastAsia="zh-CN"/>
          <w14:textFill>
            <w14:solidFill>
              <w14:schemeClr w14:val="tx1"/>
            </w14:solidFill>
          </w14:textFill>
        </w:rPr>
        <w:t>二、机构设置及决算单位构成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3" w:firstLineChars="200"/>
        <w:jc w:val="left"/>
        <w:textAlignment w:val="auto"/>
        <w:rPr>
          <w:rFonts w:hint="eastAsia" w:ascii="楷体_GB2312" w:hAnsi="楷体_GB2312" w:eastAsia="楷体_GB2312" w:cs="楷体_GB2312"/>
          <w:i w:val="0"/>
          <w:iCs w:val="0"/>
          <w:caps w:val="0"/>
          <w:color w:val="000000" w:themeColor="text1"/>
          <w:spacing w:val="0"/>
          <w:sz w:val="32"/>
          <w:szCs w:val="32"/>
          <w:shd w:val="clear" w:fill="FFFFFF"/>
          <w:lang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（一）内设机构设置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怀化市审计局作为一级部门预算单位，内设科室为：市委审计委员会办公室秘书科、办公室、法制科、电子数据审计科、财政金融审计科、行政事业审计科、农业农村审计科、固定资产投资审计科、企业与外资审计科、自然资源与生态环境审计科、经济责任审计室、重大项目与政策跟踪审计科、计划统计科、审计执行科、人事科、内部审计指导科共计16个科室及机关党委。怀化市审计局下设一个全额拨款事业单位——怀化市建设项目审计中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3" w:firstLineChars="200"/>
        <w:jc w:val="left"/>
        <w:textAlignment w:val="auto"/>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t>（二）决算单位构成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怀化市审计局2021年部门决算汇总公开单位构成包括：怀化市审计局本级以及正科级二级单位怀化市建设项目审计中心。</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left"/>
        <w:rPr>
          <w:rFonts w:hint="default" w:ascii="Calibri" w:hAnsi="Calibri" w:eastAsia="微软雅黑" w:cs="Calibri"/>
          <w:i w:val="0"/>
          <w:iCs w:val="0"/>
          <w:caps w:val="0"/>
          <w:color w:val="000000" w:themeColor="text1"/>
          <w:spacing w:val="0"/>
          <w:kern w:val="0"/>
          <w:sz w:val="72"/>
          <w:szCs w:val="72"/>
          <w:shd w:val="clear" w:fill="FFFFFF"/>
          <w:lang w:val="en-US" w:eastAsia="zh-CN" w:bidi="ar"/>
          <w14:textFill>
            <w14:solidFill>
              <w14:schemeClr w14:val="tx1"/>
            </w14:solidFill>
          </w14:textFill>
        </w:rPr>
      </w:pPr>
      <w:r>
        <w:rPr>
          <w:rFonts w:hint="default" w:ascii="Calibri" w:hAnsi="Calibri" w:eastAsia="微软雅黑" w:cs="Calibri"/>
          <w:i w:val="0"/>
          <w:iCs w:val="0"/>
          <w:caps w:val="0"/>
          <w:color w:val="000000" w:themeColor="text1"/>
          <w:spacing w:val="0"/>
          <w:kern w:val="0"/>
          <w:sz w:val="72"/>
          <w:szCs w:val="72"/>
          <w:shd w:val="clear" w:fill="FFFFFF"/>
          <w:lang w:val="en-US" w:eastAsia="zh-CN" w:bidi="ar"/>
          <w14:textFill>
            <w14:solidFill>
              <w14:schemeClr w14:val="tx1"/>
            </w14:solidFill>
          </w14:textFill>
        </w:rPr>
        <w:t> </w:t>
      </w:r>
    </w:p>
    <w:p>
      <w:pPr>
        <w:rPr>
          <w:rFonts w:hint="default" w:ascii="Calibri" w:hAnsi="Calibri" w:eastAsia="微软雅黑" w:cs="Calibri"/>
          <w:i w:val="0"/>
          <w:iCs w:val="0"/>
          <w:caps w:val="0"/>
          <w:color w:val="000000" w:themeColor="text1"/>
          <w:spacing w:val="0"/>
          <w:kern w:val="0"/>
          <w:sz w:val="72"/>
          <w:szCs w:val="72"/>
          <w:shd w:val="clear" w:fill="FFFFFF"/>
          <w:lang w:val="en-US" w:eastAsia="zh-CN" w:bidi="ar"/>
          <w14:textFill>
            <w14:solidFill>
              <w14:schemeClr w14:val="tx1"/>
            </w14:solidFill>
          </w14:textFill>
        </w:rPr>
      </w:pPr>
      <w:r>
        <w:rPr>
          <w:rFonts w:hint="default" w:ascii="Calibri" w:hAnsi="Calibri" w:eastAsia="微软雅黑" w:cs="Calibri"/>
          <w:i w:val="0"/>
          <w:iCs w:val="0"/>
          <w:caps w:val="0"/>
          <w:color w:val="000000" w:themeColor="text1"/>
          <w:spacing w:val="0"/>
          <w:kern w:val="0"/>
          <w:sz w:val="72"/>
          <w:szCs w:val="72"/>
          <w:shd w:val="clear" w:fill="FFFFFF"/>
          <w:lang w:val="en-US" w:eastAsia="zh-CN" w:bidi="ar"/>
          <w14:textFill>
            <w14:solidFill>
              <w14:schemeClr w14:val="tx1"/>
            </w14:solidFill>
          </w14:textFill>
        </w:rPr>
        <w:br w:type="page"/>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rFonts w:hint="default" w:ascii="Calibri" w:hAnsi="Calibri" w:eastAsia="微软雅黑" w:cs="Calibri"/>
          <w:i w:val="0"/>
          <w:iCs w:val="0"/>
          <w:caps w:val="0"/>
          <w:color w:val="000000" w:themeColor="text1"/>
          <w:spacing w:val="0"/>
          <w:kern w:val="0"/>
          <w:sz w:val="72"/>
          <w:szCs w:val="72"/>
          <w:shd w:val="clear" w:fill="FFFFFF"/>
          <w:lang w:val="en-US" w:eastAsia="zh-CN" w:bidi="ar"/>
          <w14:textFill>
            <w14:solidFill>
              <w14:schemeClr w14:val="tx1"/>
            </w14:solidFill>
          </w14:textFill>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color w:val="000000" w:themeColor="text1"/>
          <w:sz w:val="24"/>
          <w:szCs w:val="24"/>
          <w14:textFill>
            <w14:solidFill>
              <w14:schemeClr w14:val="tx1"/>
            </w14:solidFill>
          </w14:textFill>
        </w:rPr>
      </w:pPr>
      <w:r>
        <w:rPr>
          <w:rFonts w:hint="default" w:ascii="Calibri" w:hAnsi="Calibri" w:eastAsia="微软雅黑" w:cs="Calibri"/>
          <w:i w:val="0"/>
          <w:iCs w:val="0"/>
          <w:caps w:val="0"/>
          <w:color w:val="000000" w:themeColor="text1"/>
          <w:spacing w:val="0"/>
          <w:kern w:val="0"/>
          <w:sz w:val="72"/>
          <w:szCs w:val="72"/>
          <w:shd w:val="clear" w:fill="FFFFFF"/>
          <w:lang w:val="en-US" w:eastAsia="zh-CN" w:bidi="ar"/>
          <w14:textFill>
            <w14:solidFill>
              <w14:schemeClr w14:val="tx1"/>
            </w14:solidFill>
          </w14:textFill>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kern w:val="0"/>
          <w:sz w:val="72"/>
          <w:szCs w:val="72"/>
          <w:shd w:val="clear" w:fill="FFFFFF"/>
          <w:lang w:val="en-US" w:eastAsia="zh-CN" w:bidi="ar"/>
          <w14:textFill>
            <w14:solidFill>
              <w14:schemeClr w14:val="tx1"/>
            </w14:solidFill>
          </w14:textFill>
        </w:rPr>
        <w:t>第二部分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kern w:val="0"/>
          <w:sz w:val="72"/>
          <w:szCs w:val="72"/>
          <w:shd w:val="clear" w:fill="FFFFFF"/>
          <w:lang w:val="en-US" w:eastAsia="zh-CN" w:bidi="ar"/>
          <w14:textFill>
            <w14:solidFill>
              <w14:schemeClr w14:val="tx1"/>
            </w14:solidFill>
          </w14:textFill>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kern w:val="0"/>
          <w:sz w:val="72"/>
          <w:szCs w:val="72"/>
          <w:shd w:val="clear" w:fill="FFFFFF"/>
          <w:lang w:val="en-US" w:eastAsia="zh-CN" w:bidi="ar"/>
          <w14:textFill>
            <w14:solidFill>
              <w14:schemeClr w14:val="tx1"/>
            </w14:solidFill>
          </w14:textFill>
        </w:rPr>
        <w:t>部门决算表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color w:val="000000" w:themeColor="text1"/>
          <w:sz w:val="24"/>
          <w:szCs w:val="24"/>
          <w14:textFill>
            <w14:solidFill>
              <w14:schemeClr w14:val="tx1"/>
            </w14:solidFill>
          </w14:textFill>
        </w:rPr>
      </w:pPr>
      <w:r>
        <w:rPr>
          <w:rFonts w:hint="default" w:ascii="Calibri" w:hAnsi="Calibri" w:eastAsia="微软雅黑" w:cs="Calibri"/>
          <w:i w:val="0"/>
          <w:iCs w:val="0"/>
          <w:caps w:val="0"/>
          <w:color w:val="000000" w:themeColor="text1"/>
          <w:spacing w:val="0"/>
          <w:kern w:val="0"/>
          <w:sz w:val="72"/>
          <w:szCs w:val="72"/>
          <w:shd w:val="clear" w:fill="FFFFFF"/>
          <w:lang w:val="en-US" w:eastAsia="zh-CN" w:bidi="ar"/>
          <w14:textFill>
            <w14:solidFill>
              <w14:schemeClr w14:val="tx1"/>
            </w14:solidFill>
          </w14:textFill>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color w:val="000000" w:themeColor="text1"/>
          <w:sz w:val="24"/>
          <w:szCs w:val="24"/>
          <w14:textFill>
            <w14:solidFill>
              <w14:schemeClr w14:val="tx1"/>
            </w14:solidFill>
          </w14:textFill>
        </w:rPr>
      </w:pPr>
      <w:r>
        <w:rPr>
          <w:rFonts w:hint="default" w:ascii="Calibri" w:hAnsi="Calibri" w:eastAsia="微软雅黑" w:cs="Calibri"/>
          <w:i w:val="0"/>
          <w:iCs w:val="0"/>
          <w:caps w:val="0"/>
          <w:color w:val="000000" w:themeColor="text1"/>
          <w:spacing w:val="0"/>
          <w:kern w:val="0"/>
          <w:sz w:val="72"/>
          <w:szCs w:val="72"/>
          <w:shd w:val="clear" w:fill="FFFFFF"/>
          <w:lang w:val="en-US" w:eastAsia="zh-CN" w:bidi="ar"/>
          <w14:textFill>
            <w14:solidFill>
              <w14:schemeClr w14:val="tx1"/>
            </w14:solidFill>
          </w14:textFill>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jc w:val="center"/>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i w:val="0"/>
          <w:iCs w:val="0"/>
          <w:caps w:val="0"/>
          <w:color w:val="000000" w:themeColor="text1"/>
          <w:spacing w:val="0"/>
          <w:kern w:val="0"/>
          <w:sz w:val="44"/>
          <w:szCs w:val="44"/>
          <w:shd w:val="clear" w:fill="FFFFFF"/>
          <w:lang w:val="en-US" w:eastAsia="zh-CN" w:bidi="ar"/>
          <w14:textFill>
            <w14:solidFill>
              <w14:schemeClr w14:val="tx1"/>
            </w14:solidFill>
          </w14:textFill>
        </w:rPr>
        <w:t>见附件</w:t>
      </w:r>
    </w:p>
    <w:p>
      <w:pPr>
        <w:keepNext w:val="0"/>
        <w:keepLines w:val="0"/>
        <w:widowControl/>
        <w:suppressLineNumbers w:val="0"/>
        <w:shd w:val="clear"/>
        <w:jc w:val="left"/>
        <w:rPr>
          <w:color w:val="000000" w:themeColor="text1"/>
          <w14:textFill>
            <w14:solidFill>
              <w14:schemeClr w14:val="tx1"/>
            </w14:solidFill>
          </w14:textFill>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center"/>
        <w:rPr>
          <w:rFonts w:hint="eastAsia" w:ascii="黑体" w:hAnsi="宋体" w:eastAsia="黑体" w:cs="黑体"/>
          <w:i w:val="0"/>
          <w:iCs w:val="0"/>
          <w:caps w:val="0"/>
          <w:color w:val="000000" w:themeColor="text1"/>
          <w:spacing w:val="0"/>
          <w:sz w:val="72"/>
          <w:szCs w:val="72"/>
          <w:shd w:val="clear" w:fill="FFFFFF"/>
          <w14:textFill>
            <w14:solidFill>
              <w14:schemeClr w14:val="tx1"/>
            </w14:solidFill>
          </w14:textFill>
        </w:rPr>
      </w:pPr>
      <w:r>
        <w:rPr>
          <w:rFonts w:hint="eastAsia" w:ascii="黑体" w:hAnsi="宋体" w:eastAsia="黑体" w:cs="黑体"/>
          <w:i w:val="0"/>
          <w:iCs w:val="0"/>
          <w:caps w:val="0"/>
          <w:color w:val="000000" w:themeColor="text1"/>
          <w:spacing w:val="0"/>
          <w:sz w:val="72"/>
          <w:szCs w:val="72"/>
          <w:shd w:val="clear" w:fill="FFFFFF"/>
          <w14:textFill>
            <w14:solidFill>
              <w14:schemeClr w14:val="tx1"/>
            </w14:solidFill>
          </w14:textFill>
        </w:rPr>
        <w:t> </w:t>
      </w:r>
    </w:p>
    <w:p>
      <w:pPr>
        <w:rPr>
          <w:rFonts w:hint="eastAsia" w:ascii="黑体" w:hAnsi="宋体" w:eastAsia="黑体" w:cs="黑体"/>
          <w:i w:val="0"/>
          <w:iCs w:val="0"/>
          <w:caps w:val="0"/>
          <w:color w:val="000000" w:themeColor="text1"/>
          <w:spacing w:val="0"/>
          <w:sz w:val="72"/>
          <w:szCs w:val="72"/>
          <w:shd w:val="clear" w:fill="FFFFFF"/>
          <w14:textFill>
            <w14:solidFill>
              <w14:schemeClr w14:val="tx1"/>
            </w14:solidFill>
          </w14:textFill>
        </w:rPr>
      </w:pPr>
      <w:r>
        <w:rPr>
          <w:rFonts w:hint="eastAsia" w:ascii="黑体" w:hAnsi="宋体" w:eastAsia="黑体" w:cs="黑体"/>
          <w:i w:val="0"/>
          <w:iCs w:val="0"/>
          <w:caps w:val="0"/>
          <w:color w:val="000000" w:themeColor="text1"/>
          <w:spacing w:val="0"/>
          <w:sz w:val="72"/>
          <w:szCs w:val="72"/>
          <w:shd w:val="clear" w:fill="FFFFFF"/>
          <w14:textFill>
            <w14:solidFill>
              <w14:schemeClr w14:val="tx1"/>
            </w14:solidFill>
          </w14:textFill>
        </w:rPr>
        <w:br w:type="page"/>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center"/>
        <w:rPr>
          <w:rFonts w:hint="eastAsia" w:ascii="黑体" w:hAnsi="宋体" w:eastAsia="黑体" w:cs="黑体"/>
          <w:i w:val="0"/>
          <w:iCs w:val="0"/>
          <w:caps w:val="0"/>
          <w:color w:val="000000" w:themeColor="text1"/>
          <w:spacing w:val="0"/>
          <w:sz w:val="72"/>
          <w:szCs w:val="72"/>
          <w:shd w:val="clear" w:fill="FFFFFF"/>
          <w14:textFill>
            <w14:solidFill>
              <w14:schemeClr w14:val="tx1"/>
            </w14:solidFill>
          </w14:textFill>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center"/>
        <w:rPr>
          <w:rFonts w:hint="eastAsia" w:ascii="黑体" w:hAnsi="宋体" w:eastAsia="黑体" w:cs="黑体"/>
          <w:i w:val="0"/>
          <w:iCs w:val="0"/>
          <w:caps w:val="0"/>
          <w:color w:val="000000" w:themeColor="text1"/>
          <w:spacing w:val="0"/>
          <w:sz w:val="72"/>
          <w:szCs w:val="72"/>
          <w:shd w:val="clear" w:fill="FFFFFF"/>
          <w14:textFill>
            <w14:solidFill>
              <w14:schemeClr w14:val="tx1"/>
            </w14:solidFill>
          </w14:textFill>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center"/>
        <w:rPr>
          <w:rFonts w:hint="eastAsia" w:ascii="方正小标宋简体" w:hAnsi="方正小标宋简体" w:eastAsia="方正小标宋简体" w:cs="方正小标宋简体"/>
          <w:i w:val="0"/>
          <w:iCs w:val="0"/>
          <w:caps w:val="0"/>
          <w:color w:val="000000" w:themeColor="text1"/>
          <w:spacing w:val="0"/>
          <w:sz w:val="24"/>
          <w:szCs w:val="24"/>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72"/>
          <w:szCs w:val="72"/>
          <w:shd w:val="clear" w:fill="FFFFFF"/>
          <w14:textFill>
            <w14:solidFill>
              <w14:schemeClr w14:val="tx1"/>
            </w14:solidFill>
          </w14:textFill>
        </w:rPr>
        <w:t>第三部分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center"/>
        <w:rPr>
          <w:rFonts w:hint="eastAsia" w:ascii="方正小标宋简体" w:hAnsi="方正小标宋简体" w:eastAsia="方正小标宋简体" w:cs="方正小标宋简体"/>
          <w:i w:val="0"/>
          <w:iCs w:val="0"/>
          <w:caps w:val="0"/>
          <w:color w:val="000000" w:themeColor="text1"/>
          <w:spacing w:val="0"/>
          <w:sz w:val="24"/>
          <w:szCs w:val="24"/>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70"/>
          <w:szCs w:val="70"/>
          <w:shd w:val="clear" w:fill="FFFFFF"/>
          <w14:textFill>
            <w14:solidFill>
              <w14:schemeClr w14:val="tx1"/>
            </w14:solidFill>
          </w14:textFill>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center"/>
        <w:rPr>
          <w:rFonts w:hint="eastAsia" w:ascii="方正小标宋简体" w:hAnsi="方正小标宋简体" w:eastAsia="方正小标宋简体" w:cs="方正小标宋简体"/>
          <w:i w:val="0"/>
          <w:iCs w:val="0"/>
          <w:caps w:val="0"/>
          <w:color w:val="000000" w:themeColor="text1"/>
          <w:spacing w:val="0"/>
          <w:sz w:val="70"/>
          <w:szCs w:val="70"/>
          <w:shd w:val="clear" w:fill="FFFFFF"/>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70"/>
          <w:szCs w:val="70"/>
          <w:shd w:val="clear" w:fill="FFFFFF"/>
          <w14:textFill>
            <w14:solidFill>
              <w14:schemeClr w14:val="tx1"/>
            </w14:solidFill>
          </w14:textFill>
        </w:rPr>
        <w:t>202</w:t>
      </w:r>
      <w:r>
        <w:rPr>
          <w:rFonts w:hint="eastAsia" w:ascii="方正小标宋简体" w:hAnsi="方正小标宋简体" w:eastAsia="方正小标宋简体" w:cs="方正小标宋简体"/>
          <w:i w:val="0"/>
          <w:iCs w:val="0"/>
          <w:caps w:val="0"/>
          <w:color w:val="000000" w:themeColor="text1"/>
          <w:spacing w:val="0"/>
          <w:sz w:val="70"/>
          <w:szCs w:val="70"/>
          <w:shd w:val="clear" w:fill="FFFFFF"/>
          <w:lang w:val="en-US" w:eastAsia="zh-CN"/>
          <w14:textFill>
            <w14:solidFill>
              <w14:schemeClr w14:val="tx1"/>
            </w14:solidFill>
          </w14:textFill>
        </w:rPr>
        <w:t>1</w:t>
      </w:r>
      <w:r>
        <w:rPr>
          <w:rFonts w:hint="eastAsia" w:ascii="方正小标宋简体" w:hAnsi="方正小标宋简体" w:eastAsia="方正小标宋简体" w:cs="方正小标宋简体"/>
          <w:i w:val="0"/>
          <w:iCs w:val="0"/>
          <w:caps w:val="0"/>
          <w:color w:val="000000" w:themeColor="text1"/>
          <w:spacing w:val="0"/>
          <w:sz w:val="70"/>
          <w:szCs w:val="70"/>
          <w:shd w:val="clear" w:fill="FFFFFF"/>
          <w14:textFill>
            <w14:solidFill>
              <w14:schemeClr w14:val="tx1"/>
            </w14:solidFill>
          </w14:textFill>
        </w:rPr>
        <w:t>年度部门决算情况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center"/>
        <w:rPr>
          <w:rFonts w:hint="eastAsia" w:ascii="方正小标宋简体" w:hAnsi="方正小标宋简体" w:eastAsia="方正小标宋简体" w:cs="方正小标宋简体"/>
          <w:i w:val="0"/>
          <w:iCs w:val="0"/>
          <w:caps w:val="0"/>
          <w:color w:val="000000" w:themeColor="text1"/>
          <w:spacing w:val="0"/>
          <w:sz w:val="70"/>
          <w:szCs w:val="70"/>
          <w:shd w:val="clear" w:fill="FFFFFF"/>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70"/>
          <w:szCs w:val="70"/>
          <w:shd w:val="clear" w:fill="FFFFFF"/>
          <w14:textFill>
            <w14:solidFill>
              <w14:schemeClr w14:val="tx1"/>
            </w14:solidFill>
          </w14:textFill>
        </w:rPr>
        <w:t>说</w:t>
      </w:r>
      <w:r>
        <w:rPr>
          <w:rFonts w:hint="eastAsia" w:ascii="方正小标宋简体" w:hAnsi="方正小标宋简体" w:eastAsia="方正小标宋简体" w:cs="方正小标宋简体"/>
          <w:i w:val="0"/>
          <w:iCs w:val="0"/>
          <w:caps w:val="0"/>
          <w:color w:val="000000" w:themeColor="text1"/>
          <w:spacing w:val="0"/>
          <w:sz w:val="70"/>
          <w:szCs w:val="70"/>
          <w:shd w:val="clear" w:fill="FFFFFF"/>
          <w:lang w:val="en-US" w:eastAsia="zh-CN"/>
          <w14:textFill>
            <w14:solidFill>
              <w14:schemeClr w14:val="tx1"/>
            </w14:solidFill>
          </w14:textFill>
        </w:rPr>
        <w:t xml:space="preserve">  </w:t>
      </w:r>
      <w:r>
        <w:rPr>
          <w:rFonts w:hint="eastAsia" w:ascii="方正小标宋简体" w:hAnsi="方正小标宋简体" w:eastAsia="方正小标宋简体" w:cs="方正小标宋简体"/>
          <w:i w:val="0"/>
          <w:iCs w:val="0"/>
          <w:caps w:val="0"/>
          <w:color w:val="000000" w:themeColor="text1"/>
          <w:spacing w:val="0"/>
          <w:sz w:val="70"/>
          <w:szCs w:val="70"/>
          <w:shd w:val="clear" w:fill="FFFFFF"/>
          <w14:textFill>
            <w14:solidFill>
              <w14:schemeClr w14:val="tx1"/>
            </w14:solidFill>
          </w14:textFill>
        </w:rPr>
        <w:t>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both"/>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 </w:t>
      </w:r>
    </w:p>
    <w:p>
      <w:pP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br w:type="page"/>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黑体" w:hAnsi="黑体" w:eastAsia="黑体" w:cs="黑体"/>
          <w:b w:val="0"/>
          <w:bCs w:val="0"/>
          <w:i w:val="0"/>
          <w:iCs w:val="0"/>
          <w:caps w:val="0"/>
          <w:color w:val="000000" w:themeColor="text1"/>
          <w:spacing w:val="0"/>
          <w:sz w:val="24"/>
          <w:szCs w:val="24"/>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一、收入支出决算总体情况说明</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2021年度收、支总计各2002.09万元。与上年相比，减少593.87万元，减少22.88%，主要是因为2020年增加了会商系统改造项目，且2021年政府投资项目审计购买服务在审项目未结算。</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二、收入决算情况说明</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本年收入合计</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1788.85</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万元，其中：财政拨款收入</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1768.85</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万元，占</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98.88</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%；上级补助收入0万元，占0%；事业收入0万元，占0%；经营收入0万元，占0%；附属单位上缴收入0万元，占0%；其他收入</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万元，占</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1.12</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三、支出决算情况说明</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本年支出合计</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2022.09</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万元，其中：基本支出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1261.94</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万元，占</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63.03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%；项目支出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740.15</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万元，占</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36.97</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%；上缴上级支出0万元，占0%；经营支出0万元，占0%；对附属单位补助支出0万元，占0%。</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四、财政拨款收入支出决算总体情况说明</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年度财政拨款收、支总计</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各1982.09</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万元，与上年相比，</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减少549.03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减少21.69</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%，主要是因为一般公共服务支出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减少</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五、一般公共预算财政拨款支出决算情况说明</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楷体_GB2312" w:hAnsi="楷体_GB2312" w:eastAsia="楷体_GB2312" w:cs="楷体_GB2312"/>
          <w:i w:val="0"/>
          <w:iCs w:val="0"/>
          <w:caps w:val="0"/>
          <w:color w:val="000000" w:themeColor="text1"/>
          <w:spacing w:val="0"/>
          <w:sz w:val="24"/>
          <w:szCs w:val="24"/>
          <w:lang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（一）财政拨款支出决算总体情况</w:t>
      </w: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说明</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年度财政拨款支出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1982.09</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万元，占本年支出合计的</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99</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%，与上年相比，财政拨款支出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减少110.21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w:t>
      </w: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减少5.27</w:t>
      </w: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%，主要是因为</w:t>
      </w: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审计其他事务支出减少</w:t>
      </w: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（二）财政拨款支出决算结构情况</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年度财政拨款支出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1982.09</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万元，主要用于以下方面：一般公共服务（类）支出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1806.17</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万元，占</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91.12</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%；社会保障和就业服务（类）支出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140.55</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万元，占</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7.1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%;卫生健康（类）支出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35.37</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万元，占1.7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8</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（三）财政拨款支出决算具体情况</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年度财政拨款支出年初预算数为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1921.3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万元，支出决算数为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1982.09</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万元，完成年初预算的</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103.16</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%，其中：</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1、一般公共服务（类）审计事务（款）行政运行（项）。</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年初预算为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669.89</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万元，支出决算为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899.08</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万元，完成年初预算的</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134.21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%，决算数大于年初预算数的主要原因是：202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年度发放 20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年奖励使用上年结转资金。</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2、一般公共服务（类）审计事务（款）一般行政管理事务（项）。</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年初预算为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0</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万元，支出决算为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5.82</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万元，决算数</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大</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于年初预算数的主要原因是：</w:t>
      </w: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202</w:t>
      </w: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0</w:t>
      </w: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年上级部门对我局专项补助经费</w:t>
      </w: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5.82万元，在2021年进行结算。</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一般公共服务（类）审计事务（款）</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审计业务</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（项）。</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16" w:firstLineChars="200"/>
        <w:jc w:val="both"/>
        <w:textAlignment w:val="auto"/>
        <w:rPr>
          <w:rFonts w:hint="eastAsia" w:ascii="仿宋_GB2312" w:hAnsi="仿宋_GB2312" w:eastAsia="仿宋_GB2312" w:cs="仿宋_GB2312"/>
          <w:i w:val="0"/>
          <w:iCs w:val="0"/>
          <w:caps w:val="0"/>
          <w:color w:val="000000" w:themeColor="text1"/>
          <w:spacing w:val="-6"/>
          <w:sz w:val="24"/>
          <w:szCs w:val="24"/>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年初预算200万元，支出决算109.04万元，完成年初预算的54.52%，决算小于预算是部分项目尚在审计中未进行结算</w:t>
      </w:r>
      <w:r>
        <w:rPr>
          <w:rFonts w:hint="eastAsia" w:ascii="仿宋_GB2312" w:hAnsi="仿宋_GB2312" w:eastAsia="仿宋_GB2312" w:cs="仿宋_GB2312"/>
          <w:b w:val="0"/>
          <w:bCs w:val="0"/>
          <w:i w:val="0"/>
          <w:iCs w:val="0"/>
          <w:caps w:val="0"/>
          <w:color w:val="000000" w:themeColor="text1"/>
          <w:spacing w:val="-6"/>
          <w:sz w:val="32"/>
          <w:szCs w:val="32"/>
          <w:shd w:val="clear" w:fill="FFFFFF"/>
          <w14:textFill>
            <w14:solidFill>
              <w14:schemeClr w14:val="tx1"/>
            </w14:solidFill>
          </w14:textFill>
        </w:rPr>
        <w:t>。</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16" w:firstLineChars="200"/>
        <w:jc w:val="both"/>
        <w:textAlignment w:val="auto"/>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4、一般公共服务（类）审计事务（项）其他审计事务支出。</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right="0" w:rightChars="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年初预算为1000.76万元，支出决算为792.23万元，完成年初预算的79.16%。决算数小于年初预算数的主要原因是：项目结算支付需以项目审结后据实核算，截止财政关帐日，已完结项目结算与年初预算有差。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5、社会保障和就业支出（类）行政事业单位养老支出（款）行政事业单位离退休（项）。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年初预算为50.65万元，支出决算为6.34万元，完成年初预算的12.52%。决算数小于预算数的主要原因2021年拨付到部门可用指标为6.34万元。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6、社会保障和就业支出（类）行政事业单位养老支出（款）机关事业单位基本养老保险费支出（项）。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年初预算为0万元，</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支出决算为70.73万元，决算数大于预算数的主要原因是机关单位基本养老保险费支出与行政事业单位离退休具为行政事业养老其他行政事业单位养老支出（项）下的（款），养老金单位部分由财政统筹管理。</w:t>
      </w:r>
    </w:p>
    <w:p>
      <w:pPr>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社会保障和就业支出（类）行政事业单位养老支出（款）其他行政事业养老支出（项）</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right="0" w:rightChars="0" w:firstLine="640" w:firstLineChars="200"/>
        <w:jc w:val="both"/>
        <w:textAlignment w:val="auto"/>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年初预算为0万元，</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支出决算为63.48万元。决算数大于预算数的主要原因是养老金单位部分由财政统筹管理。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8、卫生健康支出（类）行政事业单位医疗（款）行政单位医疗（项）。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年初预算为0万元，</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支出决算为33.08万元。决算数大于预算数的主要原因是医疗保险单位配套部分由财政统筹管理。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9、卫生健康支出（类）行政事业单位医疗（款）其他行政事业单位医疗支出（项）。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年初预算为0万元，</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支出决算为2.29万元。决算数大于预算数的主要原因是医疗保险单位配套部分由财政统筹管理。</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六、一般公共预算财政拨款基本支出决算情况说明</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年度财政拨款基本支出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1261.94</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万元，其中：人员经费</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901.21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万元，占基本支出的</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71.41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主要包括基本工资、津贴补贴、奖金、机关事业单位基本养老保险缴费、职工基本医疗保险缴费、其他社会保险缴费、其他工资福利支出、退休费、抚恤金、生活补助、奖励金、其他对个人家庭的补助；公用经费</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360.74</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万元，占基本支出的</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28.59</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主要包括办公费、咨询费、水电费、邮电费、差旅费、维修费、租赁费、会议费、培训费、公务接待费、劳务费、委托业务费、工会经费、福利费、公务用车运行维护费、其他交通费用、其他商品和服务支出等。</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七、一般公共预算财政拨款三公经费支出决算情况说明</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（一）“三公”经费财政拨款支出决算总体情况说明</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2021年度</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“三公”经费财政拨款支出预算为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37.52</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万元，支出决算为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9.39</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万元，完成预算的</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25.03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%，其中：</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因公出国（境）费支出预算为0万元，支出决算为0万元，决算数与年初预算数持平，主要原因按预算执行，与上年数持平，主要原因本年度未安排因公出国（境）。</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公务接待费支出预算为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23.03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万元，支出决算为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1.35</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万元，完成预算的</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5.86</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%，决算数小于预算数的主要原因是为落实中央省市有关精神，厉行节约，持续压减“三公”经费开支。与上年相比减少</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1.19</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万元，减少</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46.85</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%,减少的主要原因是落实中央八项规定及《党政机关厉行节约反对浪费条例》的要求，持续压减“三公”经费开支。</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公务用车购置费支出预算为0万元，支出决算为0万元，决算数与年初预算数持平主要原因按预算执行，与上年数持平，主要原因是厉行节约，减少开支。</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公务用车运行维护费支出预算为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14.49</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万元，支出决算为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8.04</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万元，完成预算的</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55.49</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%，决算数小于预算数的主要原因从严控制车辆运行经费支出。与上年相比增加</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2.45</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万元，增长</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43.83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%,增长的主要原因是随着</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公务用车使用年份</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的增长，车辆维修费用比上年有所增加。</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（二）“三公”经费财政拨款支出决算具体情况说明</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年度“三公”经费财政拨款支出决算中，公务接待费支出决算</w:t>
      </w: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1.35</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万元，占</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14.38</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%,因公出国（境）费支出决算0万元，占0%,公务用车购置费及运行维护费支出决算</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8.04</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万元，占</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85.62</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%。其中：</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1、因公出国（境）费支出决算为0，全年安排因公出国（境）团组0个，累计0人次。</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2、公务接待费支出决算为1.35万元，全年共接待来访团组28个、来宾184人次，主要是上级审计机关来怀调研、指导及开展审计、其他地市审计部门及业务单位来怀交流、下级审计机关业务往来发生的接待支出。</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3、公务用车购置费及运行维护费支出决算为8.04万元，其中：公务用车购置费0万元。公务用车运行维护费8.04万元，主要是按规定保留的公务用车的燃料费、维修费、过桥过路费、保险费等支出。截止2021年12月31日，我单位开支财政拨款的公务用车保有量为3辆。</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八、政府性基金预算收入支出决算情况</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本单位无政府性基金收支</w:t>
      </w:r>
      <w:bookmarkStart w:id="0" w:name="_GoBack"/>
      <w:bookmarkEnd w:id="0"/>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w:t>
      </w:r>
    </w:p>
    <w:p>
      <w:pPr>
        <w:pStyle w:val="10"/>
        <w:keepNext w:val="0"/>
        <w:keepLines w:val="0"/>
        <w:pageBreakBefore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国有资本经营预算财政拨款支出决算情况说明</w:t>
      </w:r>
    </w:p>
    <w:p>
      <w:pPr>
        <w:pStyle w:val="10"/>
        <w:keepNext w:val="0"/>
        <w:keepLines w:val="0"/>
        <w:pageBreakBefore w:val="0"/>
        <w:numPr>
          <w:ilvl w:val="0"/>
          <w:numId w:val="0"/>
        </w:numPr>
        <w:kinsoku/>
        <w:wordWrap/>
        <w:overflowPunct/>
        <w:topLinePunct w:val="0"/>
        <w:bidi w:val="0"/>
        <w:snapToGrid/>
        <w:spacing w:line="600" w:lineRule="exact"/>
        <w:ind w:firstLine="642"/>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2021</w:t>
      </w:r>
      <w:r>
        <w:rPr>
          <w:rFonts w:hint="eastAsia" w:ascii="仿宋" w:hAnsi="仿宋" w:eastAsia="仿宋" w:cs="仿宋"/>
          <w:color w:val="auto"/>
          <w:sz w:val="32"/>
          <w:szCs w:val="32"/>
          <w:highlight w:val="none"/>
        </w:rPr>
        <w:t>年度本单位无</w:t>
      </w:r>
      <w:r>
        <w:rPr>
          <w:rFonts w:hint="eastAsia" w:ascii="仿宋" w:hAnsi="仿宋" w:eastAsia="仿宋" w:cs="仿宋"/>
          <w:b w:val="0"/>
          <w:bCs w:val="0"/>
          <w:sz w:val="32"/>
          <w:szCs w:val="32"/>
          <w:highlight w:val="none"/>
          <w:lang w:val="en-US" w:eastAsia="zh-CN"/>
        </w:rPr>
        <w:t>国有资本经营预算财政拨款支出</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lang w:eastAsia="zh-CN"/>
          <w14:textFill>
            <w14:solidFill>
              <w14:schemeClr w14:val="tx1"/>
            </w14:solidFill>
          </w14:textFill>
        </w:rPr>
        <w:t>十、</w:t>
      </w: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关于机关运行经费支出说明</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lang w:val="en-US"/>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本部门2021年度机关运行经费支出360.74万元，比上年决算数增加30.62万元，增长9.28%。主要原因是：2020年年底追加资金在2021年拨付，故2021年在办公经费、差旅费、其他支出等较上年有增加。</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十</w:t>
      </w:r>
      <w:r>
        <w:rPr>
          <w:rFonts w:hint="eastAsia" w:ascii="黑体" w:hAnsi="黑体" w:eastAsia="黑体" w:cs="黑体"/>
          <w:b w:val="0"/>
          <w:bCs w:val="0"/>
          <w:i w:val="0"/>
          <w:iCs w:val="0"/>
          <w:caps w:val="0"/>
          <w:color w:val="000000" w:themeColor="text1"/>
          <w:spacing w:val="0"/>
          <w:sz w:val="32"/>
          <w:szCs w:val="32"/>
          <w:shd w:val="clear" w:fill="FFFFFF"/>
          <w:lang w:eastAsia="zh-CN"/>
          <w14:textFill>
            <w14:solidFill>
              <w14:schemeClr w14:val="tx1"/>
            </w14:solidFill>
          </w14:textFill>
        </w:rPr>
        <w:t>一</w:t>
      </w: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、一般性支出情况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2021年本部门开支会议费0.4万元，用于召开</w:t>
      </w:r>
      <w:r>
        <w:rPr>
          <w:rFonts w:hint="eastAsia" w:ascii="仿宋_GB2312" w:hAnsi="仿宋_GB2312" w:eastAsia="仿宋_GB2312" w:cs="仿宋_GB2312"/>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全市审计工作会议，人数46人，内容为传达全省审计工作会精神部署全市审计工作；开支</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培训费13.2万元，用于参加审计署在南京审计学院开班学习，开展中级计算机培训，人数4人；全市审计机关法制及审计整改培训，参会人数46人，内容为审计法制质量要点及审计整改工作培训；全市统计工作培训，参会人数32人，内容为审计业务统计口径、指标解悉。</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十</w:t>
      </w:r>
      <w:r>
        <w:rPr>
          <w:rFonts w:hint="eastAsia" w:ascii="黑体" w:hAnsi="黑体" w:eastAsia="黑体" w:cs="黑体"/>
          <w:b w:val="0"/>
          <w:bCs w:val="0"/>
          <w:i w:val="0"/>
          <w:iCs w:val="0"/>
          <w:caps w:val="0"/>
          <w:color w:val="000000" w:themeColor="text1"/>
          <w:spacing w:val="0"/>
          <w:sz w:val="32"/>
          <w:szCs w:val="32"/>
          <w:shd w:val="clear" w:fill="FFFFFF"/>
          <w:lang w:eastAsia="zh-CN"/>
          <w14:textFill>
            <w14:solidFill>
              <w14:schemeClr w14:val="tx1"/>
            </w14:solidFill>
          </w14:textFill>
        </w:rPr>
        <w:t>二</w:t>
      </w: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、关于政府采购支出说明</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本部门202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年度政府采购支出总额</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205.78</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万元，其中：政府采购货物支出0万元、政府采购工程支出</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205.78</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万元、政府采购服务支出0万元。授予中小企业合同金额</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205.78</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万元，占政府采购支出总额的100%，其中：授予小微企业合同金额</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205.78</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万元，占政府采购支出总额的100%。</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十</w:t>
      </w:r>
      <w:r>
        <w:rPr>
          <w:rFonts w:hint="eastAsia" w:ascii="黑体" w:hAnsi="黑体" w:eastAsia="黑体" w:cs="黑体"/>
          <w:b w:val="0"/>
          <w:bCs w:val="0"/>
          <w:i w:val="0"/>
          <w:iCs w:val="0"/>
          <w:caps w:val="0"/>
          <w:color w:val="000000" w:themeColor="text1"/>
          <w:spacing w:val="0"/>
          <w:sz w:val="32"/>
          <w:szCs w:val="32"/>
          <w:shd w:val="clear" w:fill="FFFFFF"/>
          <w:lang w:eastAsia="zh-CN"/>
          <w14:textFill>
            <w14:solidFill>
              <w14:schemeClr w14:val="tx1"/>
            </w14:solidFill>
          </w14:textFill>
        </w:rPr>
        <w:t>三</w:t>
      </w: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、关于国有资产占用情况说明</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24"/>
          <w:szCs w:val="24"/>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截至202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12月31日，本单位共有车辆3辆，其中，主要领导干部用车0辆，机要通信用车1辆、应急保障用车0辆、执法执勤用车2辆、特种专业技术用车0辆、其他用车0辆；单位价值50万元以上通用设备4套；单位价值100万元以上专用设备0台（套）。</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十</w:t>
      </w:r>
      <w:r>
        <w:rPr>
          <w:rFonts w:hint="eastAsia" w:ascii="黑体" w:hAnsi="黑体" w:eastAsia="黑体" w:cs="黑体"/>
          <w:b w:val="0"/>
          <w:bCs w:val="0"/>
          <w:i w:val="0"/>
          <w:iCs w:val="0"/>
          <w:caps w:val="0"/>
          <w:color w:val="000000" w:themeColor="text1"/>
          <w:spacing w:val="0"/>
          <w:sz w:val="32"/>
          <w:szCs w:val="32"/>
          <w:shd w:val="clear" w:fill="FFFFFF"/>
          <w:lang w:eastAsia="zh-CN"/>
          <w14:textFill>
            <w14:solidFill>
              <w14:schemeClr w14:val="tx1"/>
            </w14:solidFill>
          </w14:textFill>
        </w:rPr>
        <w:t>四</w:t>
      </w: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、202</w:t>
      </w:r>
      <w:r>
        <w:rPr>
          <w:rFonts w:hint="eastAsia" w:ascii="黑体" w:hAnsi="黑体" w:eastAsia="黑体" w:cs="黑体"/>
          <w:b w:val="0"/>
          <w:bCs w:val="0"/>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年度预算绩效情况的说明</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（1）绩效管理评价工作开展情况。</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2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根据预算绩效管理要求，我部门组织对2021 年度一般公共预算项目支出全面开展绩效自评，其中，</w:t>
      </w:r>
      <w:r>
        <w:rPr>
          <w:rFonts w:hint="eastAsia" w:ascii="仿宋_GB2312" w:hAnsi="仿宋_GB2312" w:eastAsia="仿宋_GB2312" w:cs="仿宋_GB2312"/>
          <w:sz w:val="32"/>
          <w:szCs w:val="32"/>
          <w:shd w:val="clear" w:fill="FFFFFF"/>
          <w:lang w:eastAsia="zh-CN"/>
        </w:rPr>
        <w:t>整体支出</w:t>
      </w:r>
      <w:r>
        <w:rPr>
          <w:rFonts w:hint="eastAsia" w:ascii="仿宋_GB2312" w:hAnsi="仿宋_GB2312" w:eastAsia="仿宋_GB2312" w:cs="仿宋_GB2312"/>
          <w:sz w:val="32"/>
          <w:szCs w:val="32"/>
          <w:shd w:val="clear" w:fill="FFFFFF"/>
        </w:rPr>
        <w:t>项目</w:t>
      </w:r>
      <w:r>
        <w:rPr>
          <w:rFonts w:hint="eastAsia" w:ascii="仿宋_GB2312" w:hAnsi="仿宋_GB2312" w:eastAsia="仿宋_GB2312" w:cs="仿宋_GB2312"/>
          <w:sz w:val="32"/>
          <w:szCs w:val="32"/>
          <w:shd w:val="clear" w:fill="FFFFFF"/>
          <w:lang w:val="en-US" w:eastAsia="zh-CN"/>
        </w:rPr>
        <w:t>1</w:t>
      </w:r>
      <w:r>
        <w:rPr>
          <w:rFonts w:hint="eastAsia" w:ascii="仿宋_GB2312" w:hAnsi="仿宋_GB2312" w:eastAsia="仿宋_GB2312" w:cs="仿宋_GB2312"/>
          <w:sz w:val="32"/>
          <w:szCs w:val="32"/>
          <w:shd w:val="clear" w:fill="FFFFFF"/>
        </w:rPr>
        <w:t>个，</w:t>
      </w:r>
      <w:r>
        <w:rPr>
          <w:rFonts w:hint="eastAsia" w:ascii="仿宋_GB2312" w:hAnsi="仿宋_GB2312" w:eastAsia="仿宋_GB2312" w:cs="仿宋_GB2312"/>
          <w:sz w:val="32"/>
          <w:szCs w:val="32"/>
          <w:shd w:val="clear" w:fill="FFFFFF"/>
          <w:lang w:eastAsia="zh-CN"/>
        </w:rPr>
        <w:t>专项支出</w:t>
      </w:r>
      <w:r>
        <w:rPr>
          <w:rFonts w:hint="eastAsia" w:ascii="仿宋_GB2312" w:hAnsi="仿宋_GB2312" w:eastAsia="仿宋_GB2312" w:cs="仿宋_GB2312"/>
          <w:sz w:val="32"/>
          <w:szCs w:val="32"/>
          <w:shd w:val="clear" w:fill="FFFFFF"/>
        </w:rPr>
        <w:t>项目</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个，共涉及资金</w:t>
      </w:r>
      <w:r>
        <w:rPr>
          <w:rFonts w:hint="eastAsia" w:ascii="仿宋_GB2312" w:hAnsi="仿宋_GB2312" w:eastAsia="仿宋_GB2312" w:cs="仿宋_GB2312"/>
          <w:sz w:val="32"/>
          <w:szCs w:val="32"/>
          <w:shd w:val="clear" w:fill="FFFFFF"/>
          <w:lang w:val="en-US" w:eastAsia="zh-CN"/>
        </w:rPr>
        <w:t>2002.09</w:t>
      </w:r>
      <w:r>
        <w:rPr>
          <w:rFonts w:hint="eastAsia" w:ascii="仿宋_GB2312" w:hAnsi="仿宋_GB2312" w:eastAsia="仿宋_GB2312" w:cs="仿宋_GB2312"/>
          <w:sz w:val="32"/>
          <w:szCs w:val="32"/>
          <w:shd w:val="clear" w:fill="FFFFFF"/>
        </w:rPr>
        <w:t>万元，占一般公共预算项目支出总额的</w:t>
      </w:r>
      <w:r>
        <w:rPr>
          <w:rFonts w:hint="eastAsia" w:ascii="仿宋_GB2312" w:hAnsi="仿宋_GB2312" w:eastAsia="仿宋_GB2312" w:cs="仿宋_GB2312"/>
          <w:sz w:val="32"/>
          <w:szCs w:val="32"/>
          <w:shd w:val="clear" w:fill="FFFFFF"/>
          <w:lang w:val="en-US" w:eastAsia="zh-CN"/>
        </w:rPr>
        <w:t>100</w:t>
      </w:r>
      <w:r>
        <w:rPr>
          <w:rFonts w:hint="eastAsia" w:ascii="仿宋_GB2312" w:hAnsi="仿宋_GB2312" w:eastAsia="仿宋_GB2312" w:cs="仿宋_GB2312"/>
          <w:sz w:val="32"/>
          <w:szCs w:val="32"/>
          <w:shd w:val="clear" w:fill="FFFFFF"/>
        </w:rPr>
        <w:t>%。</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20" w:lineRule="exact"/>
        <w:ind w:left="0" w:firstLine="640" w:firstLineChars="200"/>
        <w:jc w:val="left"/>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rPr>
        <w:t>组织对“</w:t>
      </w:r>
      <w:r>
        <w:rPr>
          <w:rFonts w:hint="eastAsia" w:ascii="仿宋_GB2312" w:hAnsi="仿宋_GB2312" w:eastAsia="仿宋_GB2312" w:cs="仿宋_GB2312"/>
          <w:sz w:val="32"/>
          <w:szCs w:val="32"/>
          <w:lang w:val="en-US" w:eastAsia="zh-CN"/>
        </w:rPr>
        <w:t>政府投审分离专项经费</w:t>
      </w:r>
      <w:r>
        <w:rPr>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lang w:val="en-US" w:eastAsia="zh-CN"/>
        </w:rPr>
        <w:t>政府投资项目审计购买服务专项经费</w:t>
      </w:r>
      <w:r>
        <w:rPr>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lang w:val="en-US" w:eastAsia="zh-CN"/>
        </w:rPr>
        <w:t>专项审计经费</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等</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个项目开展了部门评价，涉及一般公共预算支出</w:t>
      </w:r>
      <w:r>
        <w:rPr>
          <w:rFonts w:hint="eastAsia" w:ascii="仿宋_GB2312" w:hAnsi="仿宋_GB2312" w:eastAsia="仿宋_GB2312" w:cs="仿宋_GB2312"/>
          <w:sz w:val="32"/>
          <w:szCs w:val="32"/>
          <w:shd w:val="clear" w:fill="FFFFFF"/>
          <w:lang w:val="en-US" w:eastAsia="zh-CN"/>
        </w:rPr>
        <w:t>1200</w:t>
      </w:r>
      <w:r>
        <w:rPr>
          <w:rFonts w:hint="eastAsia" w:ascii="仿宋_GB2312" w:hAnsi="仿宋_GB2312" w:eastAsia="仿宋_GB2312" w:cs="仿宋_GB2312"/>
          <w:sz w:val="32"/>
          <w:szCs w:val="32"/>
          <w:shd w:val="clear" w:fill="FFFFFF"/>
        </w:rPr>
        <w:t>万元，政府性基金预算支出</w:t>
      </w:r>
      <w:r>
        <w:rPr>
          <w:rFonts w:hint="eastAsia" w:ascii="仿宋_GB2312" w:hAnsi="仿宋_GB2312" w:eastAsia="仿宋_GB2312" w:cs="仿宋_GB2312"/>
          <w:sz w:val="32"/>
          <w:szCs w:val="32"/>
          <w:shd w:val="clear" w:fill="FFFFFF"/>
          <w:lang w:val="en-US" w:eastAsia="zh-CN"/>
        </w:rPr>
        <w:t>0</w:t>
      </w:r>
      <w:r>
        <w:rPr>
          <w:rFonts w:hint="eastAsia" w:ascii="仿宋_GB2312" w:hAnsi="仿宋_GB2312" w:eastAsia="仿宋_GB2312" w:cs="仿宋_GB2312"/>
          <w:sz w:val="32"/>
          <w:szCs w:val="32"/>
          <w:shd w:val="clear" w:fill="FFFFFF"/>
        </w:rPr>
        <w:t xml:space="preserve"> 万元，国有资本经营预算支出</w:t>
      </w:r>
      <w:r>
        <w:rPr>
          <w:rFonts w:hint="eastAsia" w:ascii="仿宋_GB2312" w:hAnsi="仿宋_GB2312" w:eastAsia="仿宋_GB2312" w:cs="仿宋_GB2312"/>
          <w:sz w:val="32"/>
          <w:szCs w:val="32"/>
          <w:shd w:val="clear" w:fill="FFFFFF"/>
          <w:lang w:val="en-US" w:eastAsia="zh-CN"/>
        </w:rPr>
        <w:t>0</w:t>
      </w:r>
      <w:r>
        <w:rPr>
          <w:rFonts w:hint="eastAsia" w:ascii="仿宋_GB2312" w:hAnsi="仿宋_GB2312" w:eastAsia="仿宋_GB2312" w:cs="仿宋_GB2312"/>
          <w:sz w:val="32"/>
          <w:szCs w:val="32"/>
          <w:shd w:val="clear" w:fill="FFFFFF"/>
        </w:rPr>
        <w:t>万元。从评价情况来看，</w:t>
      </w:r>
      <w:r>
        <w:rPr>
          <w:rFonts w:hint="eastAsia" w:ascii="仿宋_GB2312" w:hAnsi="仿宋_GB2312" w:eastAsia="仿宋_GB2312" w:cs="仿宋_GB2312"/>
          <w:i w:val="0"/>
          <w:iCs w:val="0"/>
          <w:caps w:val="0"/>
          <w:color w:val="333333"/>
          <w:spacing w:val="0"/>
          <w:sz w:val="32"/>
          <w:szCs w:val="32"/>
          <w:shd w:val="clear" w:fill="FFFFFF"/>
        </w:rPr>
        <w:t>项目支出绩效情况较为理想，达到了项目申请时设定的各项绩效目标，取得了较好的经济效益和社会效益。</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20" w:lineRule="exact"/>
        <w:ind w:left="0" w:firstLine="640" w:firstLineChars="200"/>
        <w:jc w:val="left"/>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sz w:val="32"/>
          <w:szCs w:val="32"/>
          <w:shd w:val="clear" w:fill="FFFFFF"/>
        </w:rPr>
        <w:t>组织对</w:t>
      </w:r>
      <w:r>
        <w:rPr>
          <w:rFonts w:hint="eastAsia" w:ascii="仿宋_GB2312" w:hAnsi="仿宋_GB2312" w:eastAsia="仿宋_GB2312" w:cs="仿宋_GB2312"/>
          <w:sz w:val="32"/>
          <w:szCs w:val="32"/>
          <w:lang w:eastAsia="zh-CN"/>
        </w:rPr>
        <w:t>怀化市审计局</w:t>
      </w:r>
      <w:r>
        <w:rPr>
          <w:rFonts w:hint="eastAsia" w:ascii="仿宋_GB2312" w:hAnsi="仿宋_GB2312" w:eastAsia="仿宋_GB2312" w:cs="仿宋_GB2312"/>
          <w:sz w:val="32"/>
          <w:szCs w:val="32"/>
          <w:shd w:val="clear" w:fill="FFFFFF"/>
          <w:lang w:val="en-US" w:eastAsia="zh-CN"/>
        </w:rPr>
        <w:t>1</w:t>
      </w:r>
      <w:r>
        <w:rPr>
          <w:rFonts w:hint="eastAsia" w:ascii="仿宋_GB2312" w:hAnsi="仿宋_GB2312" w:eastAsia="仿宋_GB2312" w:cs="仿宋_GB2312"/>
          <w:sz w:val="32"/>
          <w:szCs w:val="32"/>
          <w:shd w:val="clear" w:fill="FFFFFF"/>
        </w:rPr>
        <w:t>个单位开展整体支出绩效评价，涉及一般公共预算支出</w:t>
      </w:r>
      <w:r>
        <w:rPr>
          <w:rFonts w:hint="eastAsia" w:ascii="仿宋_GB2312" w:hAnsi="仿宋_GB2312" w:eastAsia="仿宋_GB2312" w:cs="仿宋_GB2312"/>
          <w:sz w:val="32"/>
          <w:szCs w:val="32"/>
          <w:shd w:val="clear" w:fill="FFFFFF"/>
          <w:lang w:val="en-US" w:eastAsia="zh-CN"/>
        </w:rPr>
        <w:t>2002.09</w:t>
      </w:r>
      <w:r>
        <w:rPr>
          <w:rFonts w:hint="eastAsia" w:ascii="仿宋_GB2312" w:hAnsi="仿宋_GB2312" w:eastAsia="仿宋_GB2312" w:cs="仿宋_GB2312"/>
          <w:sz w:val="32"/>
          <w:szCs w:val="32"/>
          <w:shd w:val="clear" w:fill="FFFFFF"/>
        </w:rPr>
        <w:t xml:space="preserve"> 万元，政府性基金预算支出</w:t>
      </w:r>
      <w:r>
        <w:rPr>
          <w:rFonts w:hint="eastAsia" w:ascii="仿宋_GB2312" w:hAnsi="仿宋_GB2312" w:eastAsia="仿宋_GB2312" w:cs="仿宋_GB2312"/>
          <w:sz w:val="32"/>
          <w:szCs w:val="32"/>
          <w:shd w:val="clear" w:fill="FFFFFF"/>
          <w:lang w:val="en-US" w:eastAsia="zh-CN"/>
        </w:rPr>
        <w:t>0</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国有资本经营预算支出</w:t>
      </w:r>
      <w:r>
        <w:rPr>
          <w:rFonts w:hint="eastAsia" w:ascii="仿宋_GB2312" w:hAnsi="仿宋_GB2312" w:eastAsia="仿宋_GB2312" w:cs="仿宋_GB2312"/>
          <w:sz w:val="32"/>
          <w:szCs w:val="32"/>
          <w:shd w:val="clear" w:fill="FFFFFF"/>
          <w:lang w:val="en-US" w:eastAsia="zh-CN"/>
        </w:rPr>
        <w:t>0</w:t>
      </w:r>
      <w:r>
        <w:rPr>
          <w:rFonts w:hint="eastAsia" w:ascii="仿宋_GB2312" w:hAnsi="仿宋_GB2312" w:eastAsia="仿宋_GB2312" w:cs="仿宋_GB2312"/>
          <w:sz w:val="32"/>
          <w:szCs w:val="32"/>
          <w:shd w:val="clear" w:fill="FFFFFF"/>
        </w:rPr>
        <w:t>万元。从评价情况来看，</w:t>
      </w:r>
      <w:r>
        <w:rPr>
          <w:rFonts w:hint="eastAsia" w:ascii="仿宋_GB2312" w:hAnsi="仿宋_GB2312" w:eastAsia="仿宋_GB2312" w:cs="仿宋_GB2312"/>
          <w:i w:val="0"/>
          <w:iCs w:val="0"/>
          <w:caps w:val="0"/>
          <w:color w:val="333333"/>
          <w:spacing w:val="0"/>
          <w:sz w:val="32"/>
          <w:szCs w:val="32"/>
          <w:shd w:val="clear" w:fill="FFFFFF"/>
        </w:rPr>
        <w:t>整体支出绩效评价总体情况较好，能够按时完成整体支出绩效自评工作。</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(2)部门决算中项目绩效自评结果</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3"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shd w:val="clear" w:fill="FFFFFF"/>
          <w14:textFill>
            <w14:solidFill>
              <w14:schemeClr w14:val="tx1"/>
            </w14:solidFill>
          </w14:textFill>
        </w:rPr>
        <w:t>政府投审分离专项项目自评综述;</w:t>
      </w: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根据年初设定的绩效目标，项目绩效自评得分100分。项目全年预算500万元，执行数为 364.47 万元，完成预算的 72.89%。项目绩效完成情况:</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right="0"/>
        <w:jc w:val="both"/>
        <w:textAlignment w:val="auto"/>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一是产出指标完成年初设定;二是效益指标;三是满意度指标达到预期。下一步将在加大对重大经济犯罪案件的揭露和查处，</w:t>
      </w:r>
      <w:r>
        <w:rPr>
          <w:rFonts w:hint="eastAsia" w:ascii="仿宋_GB2312" w:hAnsi="仿宋_GB2312" w:eastAsia="仿宋_GB2312" w:cs="仿宋_GB2312"/>
          <w:b w:val="0"/>
          <w:bCs w:val="0"/>
          <w:i w:val="0"/>
          <w:iCs w:val="0"/>
          <w:caps w:val="0"/>
          <w:color w:val="000000" w:themeColor="text1"/>
          <w:spacing w:val="0"/>
          <w:sz w:val="32"/>
          <w:szCs w:val="32"/>
          <w:shd w:val="clear" w:fill="FFFFFF"/>
          <w:lang w:eastAsia="zh-CN"/>
          <w14:textFill>
            <w14:solidFill>
              <w14:schemeClr w14:val="tx1"/>
            </w14:solidFill>
          </w14:textFill>
        </w:rPr>
        <w:t>增强审计查处违法违规问题</w:t>
      </w: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的威慑力，有效地发挥对重大经济犯罪的遏制和警示，另一方面促使被审计单位提高强化内部控制、堵塞管理漏洞、促进廉洁建设的自觉性，审计信息化为维护财经秩序、促进廉洁建设发挥了重要作用。</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right="0" w:firstLine="643"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shd w:val="clear" w:fill="FFFFFF"/>
          <w14:textFill>
            <w14:solidFill>
              <w14:schemeClr w14:val="tx1"/>
            </w14:solidFill>
          </w14:textFill>
        </w:rPr>
        <w:t>政府投资项目审计购买服务项目自评综述;</w:t>
      </w: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根据年初设定的绩效目标，项目绩效自评得分 100 分。项目全年预算 500万元，执行数为 219.58 万元，完成预算的 43.92%。结余资金上缴财政，无截留、挤占、挪用、虚列支出等情况。项目绩效完成情况:一是产出指标除成本仅完成年初设定 44%，其他项皆完成完成年初设定,成本项未完成设定指标原因为截止当年度核算日，项目在审中，未达结算支付要求;二是效益指标对推动周边经济发展和动周边经济发展效果显著;三是满意度指标达到预期。下一步拟继续依法开展政府投资审计购买服务，</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right="0"/>
        <w:jc w:val="both"/>
        <w:textAlignment w:val="auto"/>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促进我市产业投资政策及重大措施的落地生效;其次在协审中</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right="0"/>
        <w:jc w:val="both"/>
        <w:textAlignment w:val="auto"/>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介机构规范性操作上做进一步探索。</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right="0" w:firstLine="643"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shd w:val="clear" w:fill="FFFFFF"/>
          <w14:textFill>
            <w14:solidFill>
              <w14:schemeClr w14:val="tx1"/>
            </w14:solidFill>
          </w14:textFill>
        </w:rPr>
        <w:t>专项审计经费项目自评综述;</w:t>
      </w: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根据年初设定的绩效目标，</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right="0"/>
        <w:jc w:val="both"/>
        <w:textAlignment w:val="auto"/>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项目绩效自评得分100分。项目全年预算200万元，执行数为109.04万元，完成预算的54.52%。项目绩效完成情况:一是</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right="0"/>
        <w:jc w:val="both"/>
        <w:textAlignment w:val="auto"/>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产出指标除成本指标项仅完成年初设定55%，其他项皆完成年初设定，成本项未完成年实设定指标原因为项目跨年度;二是效益指标对推动周边经济发展和促进清廉机关运行作用明显;三是满意度指标达到预期。下一步我们将注重创新审计技术方法，以“金审工程”为依托，搭建审计数据传输视频会商和大数据分析室，提升数据集中和分析力度，提高了信息化条件下审计工作的能力和水平，为落实怀化“三高四新”战略和“三城一区”建设贡献审计力量。</w:t>
      </w:r>
    </w:p>
    <w:p>
      <w:pPr>
        <w:pStyle w:val="5"/>
        <w:keepNext w:val="0"/>
        <w:keepLines w:val="0"/>
        <w:pageBreakBefore w:val="0"/>
        <w:widowControl w:val="0"/>
        <w:numPr>
          <w:ilvl w:val="0"/>
          <w:numId w:val="3"/>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right="0" w:firstLine="643" w:firstLineChars="200"/>
        <w:jc w:val="both"/>
        <w:textAlignment w:val="auto"/>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部门评价项目绩效评价结果。</w:t>
      </w:r>
    </w:p>
    <w:p>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right="0" w:rightChars="0" w:firstLine="640" w:firstLineChars="200"/>
        <w:jc w:val="both"/>
        <w:textAlignment w:val="auto"/>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shd w:val="clear" w:fill="FFFFFF"/>
          <w14:textFill>
            <w14:solidFill>
              <w14:schemeClr w14:val="tx1"/>
            </w14:solidFill>
          </w14:textFill>
        </w:rPr>
        <w:t>本部门预算绩效管理开展情况、绩效目标和绩效评价报告等按照财政绩效部门要求已公开且按其他有关部门要求需随同部门决算一同公开。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640"/>
        <w:jc w:val="both"/>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 </w:t>
      </w:r>
    </w:p>
    <w:p>
      <w:pP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br w:type="page"/>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640"/>
        <w:jc w:val="both"/>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center"/>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黑体" w:hAnsi="宋体" w:eastAsia="黑体" w:cs="黑体"/>
          <w:i w:val="0"/>
          <w:iCs w:val="0"/>
          <w:caps w:val="0"/>
          <w:color w:val="000000" w:themeColor="text1"/>
          <w:spacing w:val="0"/>
          <w:sz w:val="72"/>
          <w:szCs w:val="72"/>
          <w:shd w:val="clear" w:fill="FFFFFF"/>
          <w14:textFill>
            <w14:solidFill>
              <w14:schemeClr w14:val="tx1"/>
            </w14:solidFill>
          </w14:textFill>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center"/>
        <w:rPr>
          <w:rFonts w:hint="eastAsia" w:ascii="方正小标宋简体" w:hAnsi="方正小标宋简体" w:eastAsia="方正小标宋简体" w:cs="方正小标宋简体"/>
          <w:i w:val="0"/>
          <w:iCs w:val="0"/>
          <w:caps w:val="0"/>
          <w:color w:val="000000" w:themeColor="text1"/>
          <w:spacing w:val="0"/>
          <w:sz w:val="24"/>
          <w:szCs w:val="24"/>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72"/>
          <w:szCs w:val="72"/>
          <w:shd w:val="clear" w:fill="FFFFFF"/>
          <w14:textFill>
            <w14:solidFill>
              <w14:schemeClr w14:val="tx1"/>
            </w14:solidFill>
          </w14:textFill>
        </w:rPr>
        <w:t>第四部分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center"/>
        <w:rPr>
          <w:rFonts w:hint="eastAsia" w:ascii="方正小标宋简体" w:hAnsi="方正小标宋简体" w:eastAsia="方正小标宋简体" w:cs="方正小标宋简体"/>
          <w:i w:val="0"/>
          <w:iCs w:val="0"/>
          <w:caps w:val="0"/>
          <w:color w:val="000000" w:themeColor="text1"/>
          <w:spacing w:val="0"/>
          <w:sz w:val="24"/>
          <w:szCs w:val="24"/>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kern w:val="0"/>
          <w:sz w:val="70"/>
          <w:szCs w:val="70"/>
          <w:shd w:val="clear" w:fill="FFFFFF"/>
          <w:lang w:val="en-US" w:eastAsia="zh-CN" w:bidi="ar"/>
          <w14:textFill>
            <w14:solidFill>
              <w14:schemeClr w14:val="tx1"/>
            </w14:solidFill>
          </w14:textFill>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center"/>
        <w:rPr>
          <w:rFonts w:hint="eastAsia" w:ascii="方正小标宋简体" w:hAnsi="方正小标宋简体" w:eastAsia="方正小标宋简体" w:cs="方正小标宋简体"/>
          <w:i w:val="0"/>
          <w:iCs w:val="0"/>
          <w:caps w:val="0"/>
          <w:color w:val="000000" w:themeColor="text1"/>
          <w:spacing w:val="0"/>
          <w:sz w:val="24"/>
          <w:szCs w:val="24"/>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kern w:val="0"/>
          <w:sz w:val="70"/>
          <w:szCs w:val="70"/>
          <w:shd w:val="clear" w:fill="FFFFFF"/>
          <w:lang w:val="en-US" w:eastAsia="zh-CN" w:bidi="ar"/>
          <w14:textFill>
            <w14:solidFill>
              <w14:schemeClr w14:val="tx1"/>
            </w14:solidFill>
          </w14:textFill>
        </w:rPr>
        <w:t>名词解释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640"/>
        <w:jc w:val="left"/>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br w:type="page"/>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left="0" w:right="0" w:firstLine="640"/>
        <w:jc w:val="left"/>
        <w:textAlignment w:val="auto"/>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62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一、机关运行经费：</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left="0" w:right="0" w:firstLine="640" w:firstLineChars="200"/>
        <w:jc w:val="center"/>
        <w:textAlignment w:val="auto"/>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二、“三公”经费：</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20" w:lineRule="exact"/>
        <w:ind w:right="0"/>
        <w:jc w:val="both"/>
        <w:textAlignment w:val="auto"/>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位公务出国（境）的国际差旅费、国外城市间交通费、食宿费等支出。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640"/>
        <w:jc w:val="both"/>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t> </w:t>
      </w:r>
    </w:p>
    <w:p>
      <w:pP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pPr>
      <w:r>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br w:type="page"/>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640"/>
        <w:jc w:val="both"/>
        <w:rPr>
          <w:rFonts w:hint="eastAsia" w:ascii="宋体" w:hAnsi="宋体" w:eastAsia="宋体" w:cs="宋体"/>
          <w:i w:val="0"/>
          <w:iCs w:val="0"/>
          <w:caps w:val="0"/>
          <w:color w:val="000000" w:themeColor="text1"/>
          <w:spacing w:val="0"/>
          <w:sz w:val="32"/>
          <w:szCs w:val="32"/>
          <w:shd w:val="clear" w:fill="FFFFFF"/>
          <w14:textFill>
            <w14:solidFill>
              <w14:schemeClr w14:val="tx1"/>
            </w14:solidFill>
          </w14:textFill>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center"/>
        <w:rPr>
          <w:rFonts w:hint="eastAsia" w:ascii="方正小标宋简体" w:hAnsi="方正小标宋简体" w:eastAsia="方正小标宋简体" w:cs="方正小标宋简体"/>
          <w:i w:val="0"/>
          <w:iCs w:val="0"/>
          <w:caps w:val="0"/>
          <w:color w:val="000000" w:themeColor="text1"/>
          <w:spacing w:val="0"/>
          <w:sz w:val="24"/>
          <w:szCs w:val="24"/>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72"/>
          <w:szCs w:val="72"/>
          <w:shd w:val="clear" w:fill="FFFFFF"/>
          <w14:textFill>
            <w14:solidFill>
              <w14:schemeClr w14:val="tx1"/>
            </w14:solidFill>
          </w14:textFill>
        </w:rPr>
        <w:t>第五部分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center"/>
        <w:rPr>
          <w:rFonts w:hint="eastAsia" w:ascii="方正小标宋简体" w:hAnsi="方正小标宋简体" w:eastAsia="方正小标宋简体" w:cs="方正小标宋简体"/>
          <w:i w:val="0"/>
          <w:iCs w:val="0"/>
          <w:caps w:val="0"/>
          <w:color w:val="000000" w:themeColor="text1"/>
          <w:spacing w:val="0"/>
          <w:sz w:val="24"/>
          <w:szCs w:val="24"/>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kern w:val="0"/>
          <w:sz w:val="70"/>
          <w:szCs w:val="70"/>
          <w:shd w:val="clear" w:fill="FFFFFF"/>
          <w:lang w:val="en-US" w:eastAsia="zh-CN" w:bidi="ar"/>
          <w14:textFill>
            <w14:solidFill>
              <w14:schemeClr w14:val="tx1"/>
            </w14:solidFill>
          </w14:textFill>
        </w:rPr>
        <w:t>附件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48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p>
    <w:p>
      <w:pPr>
        <w:keepNext w:val="0"/>
        <w:keepLines w:val="0"/>
        <w:widowControl/>
        <w:suppressLineNumbers w:val="0"/>
        <w:shd w:val="clear"/>
        <w:jc w:val="left"/>
        <w:rPr>
          <w:color w:val="000000" w:themeColor="text1"/>
          <w14:textFill>
            <w14:solidFill>
              <w14:schemeClr w14:val="tx1"/>
            </w14:solidFill>
          </w14:textFill>
        </w:rPr>
      </w:pPr>
    </w:p>
    <w:p>
      <w:pPr>
        <w:shd w:val="clear"/>
        <w:rPr>
          <w:color w:val="000000" w:themeColor="text1"/>
          <w14:textFill>
            <w14:solidFill>
              <w14:schemeClr w14:val="tx1"/>
            </w14:solidFill>
          </w14:textFill>
        </w:rPr>
      </w:pPr>
    </w:p>
    <w:p>
      <w:pPr>
        <w:rPr>
          <w:rFonts w:hint="eastAsia" w:ascii="方正小标宋简体" w:hAnsi="方正小标宋简体" w:eastAsia="方正小标宋简体" w:cs="方正小标宋简体"/>
          <w:b w:val="0"/>
          <w:bCs w:val="0"/>
          <w:i w:val="0"/>
          <w:iCs w:val="0"/>
          <w:caps w:val="0"/>
          <w:color w:val="000000" w:themeColor="text1"/>
          <w:spacing w:val="0"/>
          <w:sz w:val="72"/>
          <w:szCs w:val="72"/>
          <w:shd w:val="clear" w:fill="FFFFFF"/>
          <w14:textFill>
            <w14:solidFill>
              <w14:schemeClr w14:val="tx1"/>
            </w14:solidFill>
          </w14:textFill>
        </w:rPr>
        <w:sectPr>
          <w:footerReference r:id="rId3" w:type="default"/>
          <w:pgSz w:w="11906" w:h="16838"/>
          <w:pgMar w:top="1701" w:right="1701" w:bottom="1701" w:left="1701" w:header="851" w:footer="1247" w:gutter="0"/>
          <w:pgNumType w:start="0"/>
          <w:cols w:space="0" w:num="1"/>
          <w:rtlGutter w:val="0"/>
          <w:docGrid w:type="lines" w:linePitch="312" w:charSpace="0"/>
        </w:sectPr>
      </w:pPr>
    </w:p>
    <w:p>
      <w:pPr>
        <w:rPr>
          <w:rFonts w:hint="default" w:ascii="Calibri" w:hAnsi="Calibri" w:eastAsia="微软雅黑" w:cs="Calibri"/>
          <w:i w:val="0"/>
          <w:iCs w:val="0"/>
          <w:caps w:val="0"/>
          <w:color w:val="000000" w:themeColor="text1"/>
          <w:spacing w:val="0"/>
          <w:kern w:val="0"/>
          <w:sz w:val="72"/>
          <w:szCs w:val="72"/>
          <w:shd w:val="clear" w:fill="FFFFFF"/>
          <w:lang w:val="en-US" w:eastAsia="zh-CN" w:bidi="ar"/>
          <w14:textFill>
            <w14:solidFill>
              <w14:schemeClr w14:val="tx1"/>
            </w14:solidFill>
          </w14:textFill>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75" w:afterAutospacing="0" w:line="450" w:lineRule="atLeast"/>
        <w:ind w:left="0" w:right="0" w:firstLine="0"/>
        <w:jc w:val="left"/>
        <w:rPr>
          <w:color w:val="000000" w:themeColor="text1"/>
          <w:sz w:val="24"/>
          <w:szCs w:val="24"/>
          <w14:textFill>
            <w14:solidFill>
              <w14:schemeClr w14:val="tx1"/>
            </w14:solidFill>
          </w14:textFill>
        </w:rPr>
      </w:pPr>
      <w:r>
        <w:rPr>
          <w:rFonts w:hint="eastAsia" w:ascii="黑体" w:hAnsi="宋体" w:eastAsia="黑体" w:cs="黑体"/>
          <w:i w:val="0"/>
          <w:iCs w:val="0"/>
          <w:caps w:val="0"/>
          <w:color w:val="000000" w:themeColor="text1"/>
          <w:spacing w:val="0"/>
          <w:sz w:val="32"/>
          <w:szCs w:val="32"/>
          <w:shd w:val="clear" w:fill="FFFFFF"/>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75" w:afterAutospacing="0" w:line="620" w:lineRule="exact"/>
        <w:ind w:left="0" w:right="0"/>
        <w:jc w:val="both"/>
        <w:textAlignment w:val="auto"/>
        <w:rPr>
          <w:rFonts w:hint="eastAsia" w:ascii="黑体" w:hAnsi="宋体" w:eastAsia="黑体" w:cs="黑体"/>
          <w:b/>
          <w:bCs/>
          <w:i w:val="0"/>
          <w:iCs w:val="0"/>
          <w:caps w:val="0"/>
          <w:color w:val="000000" w:themeColor="text1"/>
          <w:spacing w:val="0"/>
          <w:sz w:val="32"/>
          <w:szCs w:val="32"/>
          <w:shd w:val="clear" w:fill="FFFFFF"/>
          <w14:textFill>
            <w14:solidFill>
              <w14:schemeClr w14:val="tx1"/>
            </w14:solidFill>
          </w14:textFill>
        </w:rPr>
      </w:pPr>
    </w:p>
    <w:sectPr>
      <w:footerReference r:id="rId4" w:type="default"/>
      <w:pgSz w:w="11906" w:h="16838"/>
      <w:pgMar w:top="1701" w:right="1701" w:bottom="1701" w:left="1701" w:header="851" w:footer="124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363543"/>
    <w:multiLevelType w:val="singleLevel"/>
    <w:tmpl w:val="B8363543"/>
    <w:lvl w:ilvl="0" w:tentative="0">
      <w:start w:val="9"/>
      <w:numFmt w:val="chineseCounting"/>
      <w:suff w:val="nothing"/>
      <w:lvlText w:val="%1、"/>
      <w:lvlJc w:val="left"/>
      <w:rPr>
        <w:rFonts w:hint="eastAsia"/>
      </w:rPr>
    </w:lvl>
  </w:abstractNum>
  <w:abstractNum w:abstractNumId="1">
    <w:nsid w:val="2CA680AF"/>
    <w:multiLevelType w:val="singleLevel"/>
    <w:tmpl w:val="2CA680AF"/>
    <w:lvl w:ilvl="0" w:tentative="0">
      <w:start w:val="3"/>
      <w:numFmt w:val="decimal"/>
      <w:suff w:val="nothing"/>
      <w:lvlText w:val="（%1）"/>
      <w:lvlJc w:val="left"/>
    </w:lvl>
  </w:abstractNum>
  <w:abstractNum w:abstractNumId="2">
    <w:nsid w:val="7F24D5E5"/>
    <w:multiLevelType w:val="singleLevel"/>
    <w:tmpl w:val="7F24D5E5"/>
    <w:lvl w:ilvl="0" w:tentative="0">
      <w:start w:val="7"/>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370D7964"/>
    <w:rsid w:val="00C02761"/>
    <w:rsid w:val="00C73591"/>
    <w:rsid w:val="071323AD"/>
    <w:rsid w:val="07E82231"/>
    <w:rsid w:val="0D611BD6"/>
    <w:rsid w:val="105C4025"/>
    <w:rsid w:val="10E17DEA"/>
    <w:rsid w:val="13906A68"/>
    <w:rsid w:val="158305A9"/>
    <w:rsid w:val="16184DFC"/>
    <w:rsid w:val="173C2EFA"/>
    <w:rsid w:val="18AB16FC"/>
    <w:rsid w:val="1B637B02"/>
    <w:rsid w:val="1C815BA4"/>
    <w:rsid w:val="1CDA3976"/>
    <w:rsid w:val="21C218E9"/>
    <w:rsid w:val="264E44EE"/>
    <w:rsid w:val="26F91B2C"/>
    <w:rsid w:val="32782A6D"/>
    <w:rsid w:val="33117E3B"/>
    <w:rsid w:val="370D7964"/>
    <w:rsid w:val="3C0E35EA"/>
    <w:rsid w:val="3CA92C2D"/>
    <w:rsid w:val="40FE1A26"/>
    <w:rsid w:val="473300AA"/>
    <w:rsid w:val="4BC02E04"/>
    <w:rsid w:val="55211642"/>
    <w:rsid w:val="5F6E0561"/>
    <w:rsid w:val="64C17ED4"/>
    <w:rsid w:val="69352108"/>
    <w:rsid w:val="6E7A62D7"/>
    <w:rsid w:val="6E7E5DB3"/>
    <w:rsid w:val="72190832"/>
    <w:rsid w:val="77771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6140</Words>
  <Characters>6715</Characters>
  <Lines>0</Lines>
  <Paragraphs>0</Paragraphs>
  <TotalTime>12</TotalTime>
  <ScaleCrop>false</ScaleCrop>
  <LinksUpToDate>false</LinksUpToDate>
  <CharactersWithSpaces>6736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2022-08-23T03:39:00Z</dcterms:created>
  <dc:creator>Administrator</dc:creator>
  <cp:lastModifiedBy>非鱼</cp:lastModifiedBy>
  <cp:lastPrinted>2022-08-24T09:19:00Z</cp:lastPrinted>
  <dcterms:modified xsi:type="dcterms:W3CDTF">2023-09-21T01:54:58Z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2C61898C4A044D2AAE5BECC7367E82E2</vt:lpwstr>
  </property>
</Properties>
</file>