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EE14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highlight w:val="none"/>
        </w:rPr>
      </w:pPr>
    </w:p>
    <w:p w14:paraId="777221E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1"/>
          <w:szCs w:val="21"/>
          <w:highlight w:val="none"/>
        </w:rPr>
        <w:t> </w:t>
      </w:r>
    </w:p>
    <w:p w14:paraId="62F1C0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eastAsia="zh-CN"/>
        </w:rPr>
        <w:t>怀化市财政局</w:t>
      </w:r>
    </w:p>
    <w:p w14:paraId="7C41D3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  <w:t>20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23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  <w:t>年度部门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eastAsia="zh-CN"/>
        </w:rPr>
        <w:t>预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</w:rPr>
        <w:t>算公开</w:t>
      </w:r>
      <w:r>
        <w:rPr>
          <w:rFonts w:hint="eastAsia" w:ascii="黑体" w:hAnsi="黑体" w:eastAsia="黑体" w:cs="Times New Roman"/>
          <w:b/>
          <w:bCs/>
          <w:color w:val="auto"/>
          <w:kern w:val="0"/>
          <w:sz w:val="44"/>
          <w:szCs w:val="44"/>
          <w:highlight w:val="none"/>
          <w:lang w:eastAsia="zh-CN"/>
        </w:rPr>
        <w:t>说明</w:t>
      </w:r>
    </w:p>
    <w:p w14:paraId="46ABEF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</w:pPr>
    </w:p>
    <w:p w14:paraId="151DF8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highlight w:val="none"/>
          <w:lang w:val="en-US" w:eastAsia="zh-CN" w:bidi="ar-SA"/>
        </w:rPr>
        <w:t>目 录</w:t>
      </w:r>
    </w:p>
    <w:p w14:paraId="0DC500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</w:p>
    <w:p w14:paraId="6BB7F6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年部门预算说明</w:t>
      </w:r>
    </w:p>
    <w:p w14:paraId="41FE5A9D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一、部门基本概况</w:t>
      </w:r>
    </w:p>
    <w:p w14:paraId="1EF8D09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二、部门预算单位构成</w:t>
      </w:r>
    </w:p>
    <w:p w14:paraId="4818536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三、部门收支总体情况</w:t>
      </w:r>
    </w:p>
    <w:p w14:paraId="2506664A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四、一般公共预算拨款支出</w:t>
      </w:r>
    </w:p>
    <w:p w14:paraId="2D856B42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五、政府性基金预算支出</w:t>
      </w:r>
    </w:p>
    <w:p w14:paraId="585C958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六、其他重要事项的情况说明</w:t>
      </w:r>
    </w:p>
    <w:p w14:paraId="428BFFA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七、名词解释</w:t>
      </w:r>
    </w:p>
    <w:p w14:paraId="05B7AB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第二部分 202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/>
          <w:kern w:val="0"/>
          <w:sz w:val="32"/>
          <w:szCs w:val="32"/>
          <w:highlight w:val="none"/>
        </w:rPr>
        <w:t>年部门预算表</w:t>
      </w:r>
    </w:p>
    <w:p w14:paraId="57ACD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1、收支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总表</w:t>
      </w:r>
    </w:p>
    <w:p w14:paraId="11BA6A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2、收入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总表</w:t>
      </w:r>
    </w:p>
    <w:p w14:paraId="646C4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3、支出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总表</w:t>
      </w:r>
    </w:p>
    <w:p w14:paraId="182432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4、财政拨款收支总表</w:t>
      </w:r>
    </w:p>
    <w:p w14:paraId="0BEEB6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5、一般公共预算支出表</w:t>
      </w:r>
    </w:p>
    <w:p w14:paraId="7BD508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6、一般公共预算基本支出表</w:t>
      </w:r>
    </w:p>
    <w:p w14:paraId="6C8CD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7、一般公共预算“三公”经费支出表</w:t>
      </w:r>
    </w:p>
    <w:p w14:paraId="3876B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8、政府性基金预算支出表</w:t>
      </w:r>
    </w:p>
    <w:p w14:paraId="7B0D8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9、国有资本经营预算支出表</w:t>
      </w:r>
    </w:p>
    <w:p w14:paraId="0E5276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10、项目支出绩效目标表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 w14:paraId="2BA28C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11、部门整体支出绩效目标表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 w14:paraId="58A2A1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注：以上部门预算报表中，空表表示本部门无相关收支情况。</w:t>
      </w:r>
    </w:p>
    <w:p w14:paraId="6CB2D0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both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</w:pPr>
    </w:p>
    <w:p w14:paraId="1EB041A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  <w:lang w:val="en-US" w:eastAsia="zh-CN"/>
        </w:rPr>
        <w:t>第一部分2023年</w:t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44"/>
          <w:szCs w:val="44"/>
          <w:highlight w:val="none"/>
        </w:rPr>
        <w:t>部门预算说明</w:t>
      </w:r>
    </w:p>
    <w:p w14:paraId="714E07D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left"/>
        <w:rPr>
          <w:rFonts w:hint="default" w:ascii="Times New Roman" w:hAnsi="Times New Roman" w:cs="Times New Roman"/>
          <w:color w:val="3D3D3D"/>
          <w:sz w:val="21"/>
          <w:szCs w:val="21"/>
          <w:highlight w:val="none"/>
        </w:rPr>
      </w:pPr>
    </w:p>
    <w:p w14:paraId="5EA1D2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cs="Times New Roman"/>
          <w:b/>
          <w:bCs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highlight w:val="none"/>
        </w:rPr>
        <w:t>一、部门基本概况</w:t>
      </w:r>
    </w:p>
    <w:p w14:paraId="0F9EE52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eastAsia="仿宋_GB2312" w:asciiTheme="minorHAnsi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（一）部门职责</w:t>
      </w:r>
    </w:p>
    <w:p w14:paraId="4EB4DD5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）组织贯彻执行国家财税方针政策，拟订和执行全市财政政策、改革方案，指导全市财政工作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;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分析预测宏观经济形势，参与制定各项宏观经济政策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;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提出运用财税政策实施宏观调控和综合平衡社会财力的建议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;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拟订和执行政府与企业的分配政策，完善鼓励公益事业发展的财税政策。贯彻执行国家有关金融工作的方针、政策和法律、法规，组织拟订市人民政府金融领域有关规章草案；组织拟订加强全市金融行业服务、促进金融行业发展的意见和政策建议。</w:t>
      </w:r>
    </w:p>
    <w:p w14:paraId="2945F8D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）代政府起草财政、财务、会议管理的制度及办法。</w:t>
      </w:r>
    </w:p>
    <w:p w14:paraId="07B7073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）承担市本级各项财政收支管理的责任；负责编制年度市本级预决算草案并组织执行；代编全市财政收支预算，汇总全市财政总决算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;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受市人民政府委托，向市人民代表大会报告市本级、全市预算及其执行情况，向市人大常委会报告决算；组织制订市本级经费开支标准、定额，负责审核批复部门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(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单位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)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的年度预决算。完善转移支付制度，推进省直管县财政体制改革。</w:t>
      </w:r>
    </w:p>
    <w:p w14:paraId="1E632EF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4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）负责政府非税收入管理；负责政府性基金管理，按规定管理行政事业性收费；负责管理财政票据；负责制定彩票管理政策，管理彩票市场，按规定管理彩票资金。</w:t>
      </w:r>
    </w:p>
    <w:p w14:paraId="3A8405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）组织制定国库管理制度、国库集中收付制度，指导和监督市本级国库业务，按规定开展国库现金管理工作。负责制定政府采购制度并监督管理。</w:t>
      </w:r>
    </w:p>
    <w:p w14:paraId="792BE1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）贯彻执行国家财税法律、法规和税收调整政策，反馈政策执行情况，提出调整建议；参与市管理权限内有关税收政策及税收政策调整方案的调查研究，提出对策建议。</w:t>
      </w:r>
    </w:p>
    <w:p w14:paraId="187F79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）负责制定全市行政事业单位国有资产管理规章制度，按规定管理行政事业单位国有资产，制定需要全市统一规定的开支标准和支出政策，负责财政预算内行政、事业单位和社会团体的非贸易外汇管理。</w:t>
      </w:r>
    </w:p>
    <w:p w14:paraId="0471EE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8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负责审核和汇总编制全市国有资本经营预决算草案，制定国有资本经营预算的制度和办法，收取市本级企业国有资本收益，组织实施企业财务制度，按规定管理地方金嘈类企业国有资产，参与拟订企业国有资产管理相关制度，负责未纳入市国资委监管企业的国有资产管理，管理资产评估工作。</w:t>
      </w:r>
    </w:p>
    <w:p w14:paraId="6FCA86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9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）负责办理和监督市级财政的经济发展支出、市级政府性投资项目的财政拨款，参与拟订市建设投资的有关政策，组织实施基本建设财务制度，负责有关政策性补贴和专项储备资金财政管理工作。</w:t>
      </w:r>
    </w:p>
    <w:p w14:paraId="5ECD10C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10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）会同有关部门管理市级财政社会保障和就业及医疗卫生支出，组织实施社会保障资金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(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基金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)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的财务管理制度，编制市社会保障预决算草案。</w:t>
      </w:r>
    </w:p>
    <w:p w14:paraId="452424F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11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）贯彻执行政府内外债务管理的政策、制度和办法，防范财政风险；负责统一管理市政府外债，制定基本管理制度，按规定管理外国政府和国外金融组织贷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(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赠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)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款；承担财税领域交流与合作的具体工作。</w:t>
      </w:r>
    </w:p>
    <w:p w14:paraId="6CBA6B3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）负责管理全市的会计工作，监督和规范会计行为，组织实施国家统一的会计制度，组织实施全省会计行政法规规章，指导和监督注册会计师和会计师事务所的业务，指导和管理社会审计。</w:t>
      </w:r>
    </w:p>
    <w:p w14:paraId="2EDB7C0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13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）监督检查财税法规、政策的执行情况，反映财政收支管理中的重大问题，提出加强财政管理的政策和建议。</w:t>
      </w:r>
    </w:p>
    <w:p w14:paraId="0EE00BC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14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）研究分析国家金融政策、宏观金融形势和全市金融运行情况，会同有关部门推进全市金融市场体系建设。</w:t>
      </w:r>
    </w:p>
    <w:p w14:paraId="0DF3C39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 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15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）负责联系省驻怀金融管理部门、各类金额融机构；组织开展政府与金融机构合作、金融机构和企业对接，引导、协调和鼓励金融机构加大对全市经济社会发展的支持力度。</w:t>
      </w:r>
    </w:p>
    <w:p w14:paraId="3D9F192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 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16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）指导全市村镇银行、小额贷款公司、融资性担保机构等地方金融机构的改革、发展、监管和重组；会同有关部门推进全市社会信用体系建设和金融安全区创建，推进改善金融生态环境。</w:t>
      </w:r>
    </w:p>
    <w:p w14:paraId="0C1482A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17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）指导、协调发行地方政府债券工作。</w:t>
      </w:r>
    </w:p>
    <w:p w14:paraId="3549C9C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18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履行国有金融资本管理，起草年度国有资产管理综合报告及行政事业性国有资产（含行政事业单位经管资产）和金融企业国有资产专项报告，负责全面实施预算绩效管理相关工作，研究拟定政府购买服务制度和政策并组织实施并组织实施职责。</w:t>
      </w:r>
    </w:p>
    <w:p w14:paraId="039FB59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19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）承办市委、市人民政府交办的其他事项。</w:t>
      </w:r>
    </w:p>
    <w:p w14:paraId="13AA48D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eastAsia="仿宋_GB2312" w:asciiTheme="minorHAnsi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（二）机构设置情况</w:t>
      </w:r>
    </w:p>
    <w:p w14:paraId="368AA0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怀化市财政局作为一级部门预算单位，内设科室为：办公室、综合计划科（市津贴补贴工作办公室）、税政法规科、预算科、行政政法科、教科文科、经济建设科、城市建设管理科、农业科、社会保障科、企业科、对外经济贸易科、金融与债务科、融资管理科（市政府和社会资本合作</w:t>
      </w:r>
      <w:r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&lt;PPP&gt;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办公室）、资产管理科、绩效评价科、行政审批服务科、人事科（退休人员管理服务科）、会计科、财政监督检查科、乡镇财政管理科，另设机关党委。采购办、评审办、财政信息网络中心、税改办、预算审核中心、票据监管中心、财政经济研究中心、函校。下辖怀化市国库集中支付核算中心、财政事务中心、城市建设投资管理中心三个副处级单位。</w:t>
      </w:r>
    </w:p>
    <w:p w14:paraId="21DC941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highlight w:val="none"/>
          <w:lang w:val="en-US" w:eastAsia="zh-CN"/>
        </w:rPr>
        <w:t>二、部门预算单位构成</w:t>
      </w:r>
    </w:p>
    <w:p w14:paraId="096F509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怀化市财政局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只有本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级，没有其他二级预算单位，因此，纳入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2023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年部门预算编制范围的只有怀化市财政局本级。</w:t>
      </w:r>
    </w:p>
    <w:p w14:paraId="613BD55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宋体" w:hAnsi="Times New Roman" w:eastAsia="黑体" w:cs="宋体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Times New Roman" w:eastAsia="黑体" w:cs="宋体"/>
          <w:sz w:val="32"/>
          <w:szCs w:val="32"/>
          <w:highlight w:val="none"/>
          <w:lang w:val="en-US" w:eastAsia="zh-CN" w:bidi="ar-SA"/>
        </w:rPr>
        <w:t>三、部门收支总体情况</w:t>
      </w:r>
    </w:p>
    <w:p w14:paraId="1222220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023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年部门预算包括本单位预算内的收支情况。</w:t>
      </w:r>
    </w:p>
    <w:p w14:paraId="6030927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（一）收入预算：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括一般公共预算、政府性基金、国有资本经营预算等财政拨款收入，以及经营收入、事业收入等单位资金。2023年本部门收入预算数5107.20万元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，其中，一般公共预算拨款5095.50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万元，纳入财政专户管理的非税收入拨款11.70万元。收入较上年增加692.44万元，增长15.68%。主要原因是工资正常增长及绩效奖金纳入年初预算。</w:t>
      </w:r>
    </w:p>
    <w:p w14:paraId="7A4425A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val="en-US" w:eastAsia="zh-CN"/>
        </w:rPr>
        <w:t>（二）支出预算：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本部门支出预算数5107.20万元，其中，一般公共服务支出4045.48万元，社会保障和就业支出678.58万元，卫生健康支134.20万元，住房保障支出248.95万元。收入较上年增加692.44万元，增长15.68%。主要原因是工资正常增长及绩效奖金纳入年初预算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3A9D741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宋体" w:hAnsi="Times New Roman" w:eastAsia="黑体" w:cs="宋体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Times New Roman" w:eastAsia="黑体" w:cs="宋体"/>
          <w:sz w:val="32"/>
          <w:szCs w:val="32"/>
          <w:highlight w:val="none"/>
          <w:lang w:val="en-US" w:eastAsia="zh-CN" w:bidi="ar-SA"/>
        </w:rPr>
        <w:t>四、</w:t>
      </w:r>
      <w:r>
        <w:rPr>
          <w:rFonts w:hint="default" w:ascii="宋体" w:hAnsi="Times New Roman" w:eastAsia="黑体" w:cs="宋体"/>
          <w:sz w:val="32"/>
          <w:szCs w:val="32"/>
          <w:highlight w:val="none"/>
          <w:lang w:val="en-US" w:eastAsia="zh-CN" w:bidi="ar-SA"/>
        </w:rPr>
        <w:t>一般公共预算拨款支出</w:t>
      </w:r>
    </w:p>
    <w:p w14:paraId="2855F94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本部门一般公共预算拨款支出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5107.20万元，其中，一般公共服务支出4045.48万元，占79.21%，社会保障和就业支出678.58万元，占13.29%，卫生健康支134.20万元，占2.63%，住房保障支出248.95万元，占4.87%。具体安排情况如下：</w:t>
      </w:r>
    </w:p>
    <w:p w14:paraId="177CAC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基本支出：2023年本部门基本支出预算数3572.50万元，是指为保障单位机构正常运转、完成日常工作任务而发生的各项支出，包括用于基本工资福利津贴2733.55万元、商品和服务支出490.88万元、补助348.07万元等。</w:t>
      </w:r>
    </w:p>
    <w:p w14:paraId="5DC2990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（二）项目支出：2023年本部门项目支出预算数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534.70万元，是指单位为完成特定行政工作任务或事业发展目标而发生的支出，包括有关事业发展专项、专项业务费、基本建设支出等。其中：非税票据工本费支出70万元，主要用于支付印制非税票据费用；政府投审分离专项经费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万元，主要用于财政投资评审聘用人员劳务费；收入征管经费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万元，主要用于财政收入征收管理。专项业务（工作）经费498万元，主要用于专项业务工作运行经费；注会考试考务费11.70万元，主要用于举行注册会计师考试考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务费。</w:t>
      </w:r>
    </w:p>
    <w:p w14:paraId="79372BD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宋体" w:hAnsi="Times New Roman" w:eastAsia="黑体" w:cs="宋体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Times New Roman" w:eastAsia="黑体" w:cs="宋体"/>
          <w:sz w:val="32"/>
          <w:szCs w:val="32"/>
          <w:highlight w:val="none"/>
          <w:lang w:val="en-US" w:eastAsia="zh-CN" w:bidi="ar-SA"/>
        </w:rPr>
        <w:t>五、政府性基金预算支出情况</w:t>
      </w:r>
    </w:p>
    <w:p w14:paraId="6A66708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无政府性基金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安排的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支出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0882C5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宋体" w:hAnsi="Times New Roman" w:eastAsia="黑体" w:cs="宋体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Times New Roman" w:eastAsia="黑体" w:cs="宋体"/>
          <w:sz w:val="32"/>
          <w:szCs w:val="32"/>
          <w:highlight w:val="none"/>
          <w:lang w:val="en-US" w:eastAsia="zh-CN" w:bidi="ar-SA"/>
        </w:rPr>
        <w:t>六、其他重要事项的情况说明</w:t>
      </w:r>
    </w:p>
    <w:p w14:paraId="71A9AA3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eastAsia="仿宋_GB2312" w:asciiTheme="minorHAnsi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（一）“三公”经费预算</w:t>
      </w:r>
    </w:p>
    <w:p w14:paraId="0883DCA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 2023年怀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化市财政局一般公共预算拨款安排“三公”经费预算数为36万元，其中，公务接待费6万元，公务用车购置及运行费30万元（其中，公务用车购置费</w:t>
      </w:r>
      <w:bookmarkStart w:id="0" w:name="THERR_AMT_30913_31013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0.00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万元，公务用车运行费30万元），因公出国（境）费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万元。2023年“三公”经费预算较上年预算数减少8万元，下降18.18%，主要因为按照“三公”经费“只减不增”原则，从严从紧安排“三公”经费预算。</w:t>
      </w:r>
    </w:p>
    <w:p w14:paraId="2240D0D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（二）机关运行经费</w:t>
      </w:r>
    </w:p>
    <w:p w14:paraId="684FD7C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 2023年怀化市财政局机关运行经费一般公共预算拨款288万元，（公开表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公用经费安排的商品和服务支出），压减公用经费后安排230.40万元（公开表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公用经费安排的商品和服务支出的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），同口径对比，比上年预算数减少225.61万元，下降43.93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，主要因为收入征管经费由基本支出转为运转其他类项目支出。主要用于：公务接待费支出6万元；公</w:t>
      </w: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务用车运行维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护费，30万元；工会经费支出，210万元；其他商品服务支出42万元等。</w:t>
      </w:r>
    </w:p>
    <w:p w14:paraId="76D63F8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仿宋_GB2312" w:asciiTheme="minorHAnsi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（三）政府采购情况</w:t>
      </w:r>
    </w:p>
    <w:p w14:paraId="6F3B4B5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2023年怀化市财政局政府采购预算总额为253.48万元。其中，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政府采购货物预算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万元、政府采购工程预算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万元、政府采购服务预算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153.48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万元。</w:t>
      </w:r>
      <w:bookmarkStart w:id="21" w:name="_GoBack"/>
      <w:bookmarkEnd w:id="21"/>
    </w:p>
    <w:p w14:paraId="31469DD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（四）预算绩效管理情况</w:t>
      </w:r>
    </w:p>
    <w:p w14:paraId="25B105F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按照市本级预算绩效管理工作的总体要求，2023年我单位整体支出5107.20万元，全部实行整体支出绩效目标管理，基本支出3572.50万元，编报绩效目标的项目5个，涉及项目支出1534.70万元，其中专项业务（工作）经费498万元，票据专项经费70万元，收入征管经费540万元，政府投审分离专项经费415万元，注会考试考务费11.70万元，全部实行项目支出绩效目标管理。</w:t>
      </w:r>
    </w:p>
    <w:p w14:paraId="5BC46F8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（五） 国有资产占用情况</w:t>
      </w:r>
    </w:p>
    <w:p w14:paraId="4941902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截至2022年12月底，本</w:t>
      </w:r>
      <w:bookmarkStart w:id="1" w:name="DIS_MARK_DEPT8"/>
      <w:bookmarkEnd w:id="1"/>
      <w:bookmarkStart w:id="2" w:name="END_DEPT8"/>
      <w:bookmarkEnd w:id="2"/>
      <w:bookmarkStart w:id="3" w:name="IS_DEPT8"/>
      <w:bookmarkEnd w:id="3"/>
      <w:bookmarkStart w:id="4" w:name="START_DEPT8"/>
      <w:bookmarkEnd w:id="4"/>
      <w:bookmarkStart w:id="5" w:name="START_DIV8"/>
      <w:bookmarkEnd w:id="5"/>
      <w:bookmarkStart w:id="6" w:name="DIS_MARK_DIV8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单位</w:t>
      </w:r>
      <w:bookmarkEnd w:id="6"/>
      <w:bookmarkStart w:id="7" w:name="END_DIV8"/>
      <w:bookmarkEnd w:id="7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共有公务用车5辆，其中，机要通信用车</w:t>
      </w:r>
      <w:bookmarkStart w:id="8" w:name="GYZC_TOTAL_JYTX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8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辆，应急保障用车</w:t>
      </w:r>
      <w:bookmarkStart w:id="9" w:name="GYZC_TOTAL_YJBZ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9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辆，执法执勤用车</w:t>
      </w:r>
      <w:bookmarkStart w:id="10" w:name="GYZC_TOTAL_ZFZQ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0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辆，特种专业技术用车</w:t>
      </w:r>
      <w:bookmarkStart w:id="11" w:name="GYZC_TOTAL_TZZYJS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1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辆，其他按照规定配备的公务用车5辆；单位价值50万元以上通用设备7台，单位价值100万元以上专用设备</w:t>
      </w:r>
      <w:bookmarkStart w:id="12" w:name="GYZC_TOTAL_DJ_100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2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台。</w:t>
      </w:r>
    </w:p>
    <w:p w14:paraId="35739A6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2023年拟新增配置公务用车</w:t>
      </w:r>
      <w:bookmarkStart w:id="13" w:name="GYZC_NEW_GW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3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辆，其中，机要通信用车</w:t>
      </w:r>
      <w:bookmarkStart w:id="14" w:name="GYZC_NEW_JYTX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4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辆，应急保障用车</w:t>
      </w:r>
      <w:bookmarkStart w:id="15" w:name="GYZC_NEW_YJBZ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5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辆，执法执勤用车</w:t>
      </w:r>
      <w:bookmarkStart w:id="16" w:name="GYZC_NEW_ZFZQ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6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辆，特种专业技术用车</w:t>
      </w:r>
      <w:bookmarkStart w:id="17" w:name="GYZC_NEW_TZZYJS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7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辆，其他按照规定配备的公务用车</w:t>
      </w:r>
      <w:bookmarkStart w:id="18" w:name="GYZC_NEW_QTYC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8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辆；新增配备单位价值50万元以上通用设备</w:t>
      </w:r>
      <w:bookmarkStart w:id="19" w:name="GYZC_NEW_DJ_50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19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台，单位价值100万元以上专用设备</w:t>
      </w:r>
      <w:bookmarkStart w:id="20" w:name="GYZC_NEW_DJ_100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bookmarkEnd w:id="20"/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台。</w:t>
      </w:r>
    </w:p>
    <w:p w14:paraId="42C2886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（六）一般性支出情况</w:t>
      </w:r>
    </w:p>
    <w:p w14:paraId="4543B93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1.2023年，本部门会议费预算10万元，具体为：全市财政工作会议，内容为总结2022年部署2023年财政工作，预计参会人数120人，预算4万元；全市部门预算编制布置会议，内容为布置部门预算编制工作及预算编制业务培训，预计参会人数180人，预算6万元。</w:t>
      </w:r>
    </w:p>
    <w:p w14:paraId="0DB89C0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2.2023年，本部门培训费预算10万元，具体为：全市财政资金绩效自评培训，内容为全市财政奖金绩效自评报告培训，预计人数180人，预算6万元。全市政府财务报告编报培训，内容为2022年度政府财务报告编制，预计人数125人，预算4万元。</w:t>
      </w:r>
    </w:p>
    <w:p w14:paraId="7FBBF4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3.2023年本部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门未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举办节庆、晚会、论坛、赛事等预算。</w:t>
      </w:r>
    </w:p>
    <w:p w14:paraId="25612E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七、专业名词解释</w:t>
      </w:r>
    </w:p>
    <w:p w14:paraId="485C0C5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1.机关运行经费：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1B80180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2.“三公”经费：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3262395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F9FFCF6">
      <w:pPr>
        <w:spacing w:line="240" w:lineRule="auto"/>
        <w:ind w:firstLine="0" w:firstLineChars="0"/>
        <w:jc w:val="center"/>
        <w:rPr>
          <w:rStyle w:val="8"/>
          <w:rFonts w:hint="default" w:ascii="黑体" w:hAnsi="黑体" w:eastAsia="黑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Style w:val="8"/>
          <w:rFonts w:hint="default" w:ascii="黑体" w:hAnsi="黑体" w:eastAsia="黑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第二部分2023年部门预算表</w:t>
      </w:r>
    </w:p>
    <w:p w14:paraId="3CA4487D">
      <w:pPr>
        <w:spacing w:line="240" w:lineRule="auto"/>
        <w:ind w:firstLine="0" w:firstLineChars="0"/>
        <w:jc w:val="center"/>
        <w:rPr>
          <w:rStyle w:val="8"/>
          <w:rFonts w:hint="default" w:ascii="黑体" w:hAnsi="黑体" w:eastAsia="黑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Style w:val="8"/>
          <w:rFonts w:hint="default" w:ascii="黑体" w:hAnsi="黑体" w:eastAsia="黑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（详情见公开附表）</w:t>
      </w:r>
    </w:p>
    <w:p w14:paraId="34DA4EA8">
      <w:pPr>
        <w:spacing w:line="240" w:lineRule="auto"/>
        <w:ind w:firstLine="0" w:firstLineChars="0"/>
        <w:jc w:val="center"/>
        <w:rPr>
          <w:rStyle w:val="8"/>
          <w:rFonts w:hint="eastAsia" w:ascii="黑体" w:hAnsi="黑体" w:eastAsia="黑体" w:cs="Times New Roman"/>
          <w:b/>
          <w:bCs/>
          <w:color w:val="auto"/>
          <w:sz w:val="44"/>
          <w:szCs w:val="44"/>
          <w:highlight w:val="none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AB54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xZWQzNzRiNjJlNjljMTFjZTFlMzk5NWE5ZDcxMjcifQ=="/>
  </w:docVars>
  <w:rsids>
    <w:rsidRoot w:val="4A0A2513"/>
    <w:rsid w:val="00145DAE"/>
    <w:rsid w:val="01440CF8"/>
    <w:rsid w:val="01CD5FC4"/>
    <w:rsid w:val="035675C6"/>
    <w:rsid w:val="049804D4"/>
    <w:rsid w:val="04B36EE7"/>
    <w:rsid w:val="0BD34311"/>
    <w:rsid w:val="0CB81AC1"/>
    <w:rsid w:val="0D837D9E"/>
    <w:rsid w:val="0F8D6340"/>
    <w:rsid w:val="131E7C21"/>
    <w:rsid w:val="16D22D09"/>
    <w:rsid w:val="16DF591A"/>
    <w:rsid w:val="19A32E57"/>
    <w:rsid w:val="1B461815"/>
    <w:rsid w:val="1BCC0B62"/>
    <w:rsid w:val="1D5A0F3C"/>
    <w:rsid w:val="25AB5393"/>
    <w:rsid w:val="27E20BF3"/>
    <w:rsid w:val="2C277453"/>
    <w:rsid w:val="2D287B69"/>
    <w:rsid w:val="2EFF57F6"/>
    <w:rsid w:val="35C96A03"/>
    <w:rsid w:val="36754B64"/>
    <w:rsid w:val="38DA1986"/>
    <w:rsid w:val="3E353EED"/>
    <w:rsid w:val="3EEC5D6F"/>
    <w:rsid w:val="3F813922"/>
    <w:rsid w:val="3FD027ED"/>
    <w:rsid w:val="40B74969"/>
    <w:rsid w:val="4346081A"/>
    <w:rsid w:val="461C36E8"/>
    <w:rsid w:val="48726B6E"/>
    <w:rsid w:val="4A0A2513"/>
    <w:rsid w:val="4C5648F9"/>
    <w:rsid w:val="4CCC1EC1"/>
    <w:rsid w:val="4F4C38B4"/>
    <w:rsid w:val="52EC6156"/>
    <w:rsid w:val="551C150B"/>
    <w:rsid w:val="552473B9"/>
    <w:rsid w:val="5719767B"/>
    <w:rsid w:val="5D431D17"/>
    <w:rsid w:val="66012818"/>
    <w:rsid w:val="669C388F"/>
    <w:rsid w:val="66C13318"/>
    <w:rsid w:val="682902D4"/>
    <w:rsid w:val="6C9A3B76"/>
    <w:rsid w:val="6CBC6AD7"/>
    <w:rsid w:val="72D21712"/>
    <w:rsid w:val="747168AB"/>
    <w:rsid w:val="75824D9D"/>
    <w:rsid w:val="75A157E5"/>
    <w:rsid w:val="7C2D3E7B"/>
    <w:rsid w:val="7CDD303E"/>
    <w:rsid w:val="7DF94843"/>
    <w:rsid w:val="7FA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4378</Words>
  <Characters>4714</Characters>
  <Lines>0</Lines>
  <Paragraphs>0</Paragraphs>
  <TotalTime>18</TotalTime>
  <ScaleCrop>false</ScaleCrop>
  <LinksUpToDate>false</LinksUpToDate>
  <CharactersWithSpaces>4717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2023-02-17T03:07:00Z</dcterms:created>
  <dc:creator>漂泊的湖</dc:creator>
  <cp:lastModifiedBy>梦琪～妈妈</cp:lastModifiedBy>
  <dcterms:modified xsi:type="dcterms:W3CDTF">2024-10-17T16:34:11Z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074B7DE72C684708B318B2A492CE5DC1</vt:lpwstr>
  </property>
</Properties>
</file>