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CA1F04">
      <w:pPr>
        <w:widowControl/>
        <w:shd w:val="clear" w:color="auto" w:fill="FFFFFF"/>
        <w:spacing w:line="600" w:lineRule="atLeast"/>
        <w:ind w:left="0" w:leftChars="0" w:firstLine="0" w:firstLineChars="0"/>
        <w:jc w:val="center"/>
        <w:rPr>
          <w:rFonts w:hint="eastAsia" w:eastAsia="仿宋_GB2312"/>
          <w:b/>
          <w:spacing w:val="-2"/>
          <w:sz w:val="36"/>
          <w:szCs w:val="36"/>
        </w:rPr>
      </w:pPr>
      <w:bookmarkStart w:id="0" w:name="_GoBack"/>
      <w:r>
        <w:rPr>
          <w:rFonts w:hint="eastAsia" w:ascii="黑体" w:hAnsi="黑体" w:eastAsia="黑体" w:cs="黑体"/>
          <w:b/>
          <w:spacing w:val="-2"/>
          <w:sz w:val="36"/>
          <w:szCs w:val="36"/>
          <w:lang w:eastAsia="zh-CN"/>
        </w:rPr>
        <w:t>怀化市财政局</w:t>
      </w:r>
      <w:r>
        <w:rPr>
          <w:rFonts w:hint="eastAsia" w:ascii="黑体" w:hAnsi="黑体" w:eastAsia="黑体" w:cs="黑体"/>
          <w:b/>
          <w:spacing w:val="-2"/>
          <w:sz w:val="36"/>
          <w:szCs w:val="36"/>
          <w:lang w:val="en-US" w:eastAsia="zh-CN"/>
        </w:rPr>
        <w:t>2022年</w:t>
      </w:r>
      <w:r>
        <w:rPr>
          <w:rFonts w:hint="eastAsia" w:ascii="黑体" w:hAnsi="黑体" w:eastAsia="黑体" w:cs="黑体"/>
          <w:b/>
          <w:spacing w:val="-2"/>
          <w:sz w:val="36"/>
          <w:szCs w:val="36"/>
        </w:rPr>
        <w:t>部门整体支出绩效</w:t>
      </w:r>
      <w:r>
        <w:rPr>
          <w:rFonts w:hint="eastAsia" w:ascii="黑体" w:hAnsi="黑体" w:eastAsia="黑体" w:cs="黑体"/>
          <w:b/>
          <w:spacing w:val="-2"/>
          <w:sz w:val="36"/>
          <w:szCs w:val="36"/>
          <w:lang w:eastAsia="zh-CN"/>
        </w:rPr>
        <w:t>自</w:t>
      </w:r>
      <w:r>
        <w:rPr>
          <w:rFonts w:hint="eastAsia" w:ascii="黑体" w:hAnsi="黑体" w:eastAsia="黑体" w:cs="黑体"/>
          <w:b/>
          <w:spacing w:val="-2"/>
          <w:sz w:val="36"/>
          <w:szCs w:val="36"/>
        </w:rPr>
        <w:t>评报告</w:t>
      </w:r>
    </w:p>
    <w:bookmarkEnd w:id="0"/>
    <w:p w14:paraId="268D04AD">
      <w:pPr>
        <w:pStyle w:val="2"/>
        <w:keepNext w:val="0"/>
        <w:keepLines w:val="0"/>
        <w:widowControl/>
        <w:suppressLineNumbers w:val="0"/>
        <w:spacing w:before="0" w:beforeAutospacing="0" w:after="0" w:afterAutospacing="0" w:line="375" w:lineRule="atLeast"/>
        <w:ind w:right="0"/>
        <w:jc w:val="left"/>
        <w:rPr>
          <w:sz w:val="30"/>
          <w:szCs w:val="30"/>
        </w:rPr>
      </w:pPr>
      <w:r>
        <w:rPr>
          <w:rFonts w:ascii="黑体" w:hAnsi="微软雅黑" w:eastAsia="黑体" w:cs="黑体"/>
          <w:color w:val="313131"/>
          <w:sz w:val="30"/>
          <w:szCs w:val="30"/>
        </w:rPr>
        <w:t>一、</w:t>
      </w:r>
      <w:r>
        <w:rPr>
          <w:rFonts w:hint="eastAsia" w:ascii="黑体" w:hAnsi="微软雅黑" w:eastAsia="黑体" w:cs="黑体"/>
          <w:color w:val="313131"/>
          <w:sz w:val="30"/>
          <w:szCs w:val="30"/>
        </w:rPr>
        <w:t> 部门概况</w:t>
      </w:r>
    </w:p>
    <w:p w14:paraId="28ABD385">
      <w:pPr>
        <w:pStyle w:val="2"/>
        <w:keepNext w:val="0"/>
        <w:keepLines w:val="0"/>
        <w:widowControl/>
        <w:suppressLineNumbers w:val="0"/>
        <w:spacing w:before="0" w:beforeAutospacing="0" w:after="0" w:afterAutospacing="0" w:line="375" w:lineRule="atLeast"/>
        <w:ind w:left="0" w:right="0" w:firstLine="480"/>
        <w:jc w:val="left"/>
        <w:rPr>
          <w:sz w:val="30"/>
          <w:szCs w:val="30"/>
        </w:rPr>
      </w:pPr>
      <w:r>
        <w:rPr>
          <w:rFonts w:ascii="楷体" w:hAnsi="楷体" w:eastAsia="楷体" w:cs="楷体"/>
          <w:color w:val="313131"/>
          <w:sz w:val="30"/>
          <w:szCs w:val="30"/>
        </w:rPr>
        <w:t>（一）部门基本情况</w:t>
      </w:r>
    </w:p>
    <w:p w14:paraId="030227F9">
      <w:pPr>
        <w:pStyle w:val="2"/>
        <w:keepNext w:val="0"/>
        <w:keepLines w:val="0"/>
        <w:widowControl/>
        <w:suppressLineNumbers w:val="0"/>
        <w:spacing w:before="0" w:beforeAutospacing="0" w:after="0" w:afterAutospacing="0" w:line="375" w:lineRule="atLeast"/>
        <w:ind w:left="0" w:right="0" w:firstLine="640"/>
        <w:jc w:val="left"/>
        <w:rPr>
          <w:rFonts w:hint="eastAsia" w:ascii="仿宋_GB2312" w:hAnsi="仿宋_GB2312" w:eastAsia="仿宋_GB2312" w:cs="仿宋_GB2312"/>
          <w:sz w:val="30"/>
          <w:szCs w:val="30"/>
        </w:rPr>
      </w:pPr>
      <w:r>
        <w:rPr>
          <w:rFonts w:hint="eastAsia" w:ascii="仿宋_GB2312" w:hAnsi="仿宋_GB2312" w:eastAsia="仿宋_GB2312" w:cs="仿宋_GB2312"/>
          <w:b/>
          <w:color w:val="313131"/>
          <w:sz w:val="30"/>
          <w:szCs w:val="30"/>
        </w:rPr>
        <w:t>1、人员机构情况</w:t>
      </w:r>
    </w:p>
    <w:p w14:paraId="07885013">
      <w:pPr>
        <w:pStyle w:val="2"/>
        <w:keepNext w:val="0"/>
        <w:keepLines w:val="0"/>
        <w:widowControl/>
        <w:suppressLineNumbers w:val="0"/>
        <w:spacing w:before="0" w:beforeAutospacing="0" w:after="0" w:afterAutospacing="0" w:line="375" w:lineRule="atLeast"/>
        <w:ind w:left="0" w:right="0" w:firstLine="640"/>
        <w:jc w:val="both"/>
        <w:rPr>
          <w:rFonts w:hint="eastAsia" w:ascii="仿宋_GB2312" w:hAnsi="仿宋_GB2312" w:eastAsia="仿宋_GB2312" w:cs="仿宋_GB2312"/>
          <w:sz w:val="30"/>
          <w:szCs w:val="30"/>
        </w:rPr>
      </w:pPr>
      <w:r>
        <w:rPr>
          <w:rFonts w:hint="eastAsia" w:ascii="仿宋_GB2312" w:hAnsi="仿宋_GB2312" w:eastAsia="仿宋_GB2312" w:cs="仿宋_GB2312"/>
          <w:color w:val="313131"/>
          <w:sz w:val="30"/>
          <w:szCs w:val="30"/>
        </w:rPr>
        <w:t>怀化市财政局属依法设立的怀化市人民政府工作部门，属全额拨款的行政事业单位，行政级别正处级。下设2</w:t>
      </w:r>
      <w:r>
        <w:rPr>
          <w:rFonts w:hint="eastAsia" w:ascii="仿宋_GB2312" w:hAnsi="仿宋_GB2312" w:eastAsia="仿宋_GB2312" w:cs="仿宋_GB2312"/>
          <w:color w:val="313131"/>
          <w:sz w:val="30"/>
          <w:szCs w:val="30"/>
          <w:lang w:val="en-US" w:eastAsia="zh-CN"/>
        </w:rPr>
        <w:t>1</w:t>
      </w:r>
      <w:r>
        <w:rPr>
          <w:rFonts w:hint="eastAsia" w:ascii="仿宋_GB2312" w:hAnsi="仿宋_GB2312" w:eastAsia="仿宋_GB2312" w:cs="仿宋_GB2312"/>
          <w:color w:val="313131"/>
          <w:sz w:val="30"/>
          <w:szCs w:val="30"/>
        </w:rPr>
        <w:t>个内设机构、</w:t>
      </w:r>
      <w:r>
        <w:rPr>
          <w:rFonts w:hint="eastAsia" w:ascii="仿宋_GB2312" w:hAnsi="仿宋_GB2312" w:eastAsia="仿宋_GB2312" w:cs="仿宋_GB2312"/>
          <w:color w:val="313131"/>
          <w:sz w:val="30"/>
          <w:szCs w:val="30"/>
          <w:lang w:val="en-US" w:eastAsia="zh-CN"/>
        </w:rPr>
        <w:t>2</w:t>
      </w:r>
      <w:r>
        <w:rPr>
          <w:rFonts w:hint="eastAsia" w:ascii="仿宋_GB2312" w:hAnsi="仿宋_GB2312" w:eastAsia="仿宋_GB2312" w:cs="仿宋_GB2312"/>
          <w:color w:val="313131"/>
          <w:sz w:val="30"/>
          <w:szCs w:val="30"/>
        </w:rPr>
        <w:t>个副处级参公管理</w:t>
      </w:r>
      <w:r>
        <w:rPr>
          <w:rFonts w:hint="eastAsia" w:ascii="仿宋_GB2312" w:hAnsi="仿宋_GB2312" w:eastAsia="仿宋_GB2312" w:cs="仿宋_GB2312"/>
          <w:color w:val="313131"/>
          <w:sz w:val="30"/>
          <w:szCs w:val="30"/>
          <w:lang w:eastAsia="zh-CN"/>
        </w:rPr>
        <w:t>事业</w:t>
      </w:r>
      <w:r>
        <w:rPr>
          <w:rFonts w:hint="eastAsia" w:ascii="仿宋_GB2312" w:hAnsi="仿宋_GB2312" w:eastAsia="仿宋_GB2312" w:cs="仿宋_GB2312"/>
          <w:color w:val="313131"/>
          <w:sz w:val="30"/>
          <w:szCs w:val="30"/>
        </w:rPr>
        <w:t>单位</w:t>
      </w:r>
      <w:r>
        <w:rPr>
          <w:rFonts w:hint="eastAsia" w:ascii="仿宋_GB2312" w:hAnsi="仿宋_GB2312" w:eastAsia="仿宋_GB2312" w:cs="仿宋_GB2312"/>
          <w:color w:val="313131"/>
          <w:sz w:val="30"/>
          <w:szCs w:val="30"/>
          <w:lang w:eastAsia="zh-CN"/>
        </w:rPr>
        <w:t>、</w:t>
      </w:r>
      <w:r>
        <w:rPr>
          <w:rFonts w:hint="eastAsia" w:ascii="仿宋_GB2312" w:hAnsi="仿宋_GB2312" w:eastAsia="仿宋_GB2312" w:cs="仿宋_GB2312"/>
          <w:color w:val="313131"/>
          <w:sz w:val="30"/>
          <w:szCs w:val="30"/>
          <w:lang w:val="en-US" w:eastAsia="zh-CN"/>
        </w:rPr>
        <w:t>1个副处级公益一类事业单位</w:t>
      </w:r>
      <w:r>
        <w:rPr>
          <w:rFonts w:hint="eastAsia" w:ascii="仿宋_GB2312" w:hAnsi="仿宋_GB2312" w:eastAsia="仿宋_GB2312" w:cs="仿宋_GB2312"/>
          <w:color w:val="313131"/>
          <w:sz w:val="30"/>
          <w:szCs w:val="30"/>
        </w:rPr>
        <w:t>及</w:t>
      </w:r>
      <w:r>
        <w:rPr>
          <w:rFonts w:hint="eastAsia" w:ascii="仿宋_GB2312" w:hAnsi="仿宋_GB2312" w:eastAsia="仿宋_GB2312" w:cs="仿宋_GB2312"/>
          <w:color w:val="313131"/>
          <w:sz w:val="30"/>
          <w:szCs w:val="30"/>
          <w:lang w:val="en-US" w:eastAsia="zh-CN"/>
        </w:rPr>
        <w:t>5</w:t>
      </w:r>
      <w:r>
        <w:rPr>
          <w:rFonts w:hint="eastAsia" w:ascii="仿宋_GB2312" w:hAnsi="仿宋_GB2312" w:eastAsia="仿宋_GB2312" w:cs="仿宋_GB2312"/>
          <w:color w:val="313131"/>
          <w:sz w:val="30"/>
          <w:szCs w:val="30"/>
        </w:rPr>
        <w:t>个事业科室，现有在职干部职工</w:t>
      </w:r>
      <w:r>
        <w:rPr>
          <w:rFonts w:hint="eastAsia" w:ascii="仿宋_GB2312" w:hAnsi="仿宋_GB2312" w:eastAsia="仿宋_GB2312" w:cs="仿宋_GB2312"/>
          <w:color w:val="313131"/>
          <w:sz w:val="30"/>
          <w:szCs w:val="30"/>
          <w:lang w:val="en-US" w:eastAsia="zh-CN"/>
        </w:rPr>
        <w:t>195</w:t>
      </w:r>
      <w:r>
        <w:rPr>
          <w:rFonts w:hint="eastAsia" w:ascii="仿宋_GB2312" w:hAnsi="仿宋_GB2312" w:eastAsia="仿宋_GB2312" w:cs="仿宋_GB2312"/>
          <w:color w:val="313131"/>
          <w:sz w:val="30"/>
          <w:szCs w:val="30"/>
        </w:rPr>
        <w:t>人</w:t>
      </w:r>
      <w:r>
        <w:rPr>
          <w:rFonts w:hint="eastAsia" w:ascii="仿宋_GB2312" w:hAnsi="仿宋_GB2312" w:eastAsia="仿宋_GB2312" w:cs="仿宋_GB2312"/>
          <w:color w:val="313131"/>
          <w:sz w:val="30"/>
          <w:szCs w:val="30"/>
          <w:lang w:val="en-US" w:eastAsia="zh-CN"/>
        </w:rPr>
        <w:t>,</w:t>
      </w:r>
      <w:r>
        <w:rPr>
          <w:rFonts w:hint="eastAsia" w:ascii="仿宋_GB2312" w:hAnsi="仿宋" w:eastAsia="仿宋_GB2312"/>
          <w:sz w:val="30"/>
          <w:szCs w:val="30"/>
        </w:rPr>
        <w:t>离休人员</w:t>
      </w:r>
      <w:r>
        <w:rPr>
          <w:rFonts w:hint="eastAsia" w:ascii="仿宋_GB2312" w:hAnsi="仿宋" w:eastAsia="仿宋_GB2312"/>
          <w:sz w:val="30"/>
          <w:szCs w:val="30"/>
          <w:lang w:val="en-US" w:eastAsia="zh-CN"/>
        </w:rPr>
        <w:t>1</w:t>
      </w:r>
      <w:r>
        <w:rPr>
          <w:rFonts w:hint="eastAsia" w:ascii="仿宋_GB2312" w:hAnsi="仿宋" w:eastAsia="仿宋_GB2312"/>
          <w:sz w:val="30"/>
          <w:szCs w:val="30"/>
        </w:rPr>
        <w:t>人</w:t>
      </w:r>
      <w:r>
        <w:rPr>
          <w:rFonts w:hint="eastAsia" w:ascii="仿宋_GB2312" w:hAnsi="仿宋_GB2312" w:eastAsia="仿宋_GB2312" w:cs="仿宋_GB2312"/>
          <w:color w:val="313131"/>
          <w:sz w:val="30"/>
          <w:szCs w:val="30"/>
        </w:rPr>
        <w:t>。</w:t>
      </w:r>
    </w:p>
    <w:p w14:paraId="36B1098B">
      <w:pPr>
        <w:pStyle w:val="2"/>
        <w:keepNext w:val="0"/>
        <w:keepLines w:val="0"/>
        <w:widowControl/>
        <w:suppressLineNumbers w:val="0"/>
        <w:spacing w:before="0" w:beforeAutospacing="0" w:after="0" w:afterAutospacing="0" w:line="375" w:lineRule="atLeast"/>
        <w:ind w:left="0" w:right="0" w:firstLine="640"/>
        <w:jc w:val="both"/>
        <w:rPr>
          <w:rFonts w:hint="eastAsia" w:ascii="仿宋_GB2312" w:hAnsi="仿宋_GB2312" w:eastAsia="仿宋_GB2312" w:cs="仿宋_GB2312"/>
          <w:sz w:val="30"/>
          <w:szCs w:val="30"/>
        </w:rPr>
      </w:pPr>
      <w:r>
        <w:rPr>
          <w:rFonts w:hint="eastAsia" w:ascii="仿宋_GB2312" w:hAnsi="仿宋_GB2312" w:eastAsia="仿宋_GB2312" w:cs="仿宋_GB2312"/>
          <w:b/>
          <w:color w:val="313131"/>
          <w:sz w:val="30"/>
          <w:szCs w:val="30"/>
        </w:rPr>
        <w:t>2、主要职责</w:t>
      </w:r>
    </w:p>
    <w:p w14:paraId="05300621">
      <w:pPr>
        <w:widowControl/>
        <w:spacing w:line="500" w:lineRule="auto"/>
        <w:ind w:firstLine="588" w:firstLineChars="196"/>
        <w:rPr>
          <w:rFonts w:hint="eastAsia" w:eastAsia="仿宋_GB2312"/>
          <w:sz w:val="30"/>
          <w:szCs w:val="30"/>
        </w:rPr>
      </w:pPr>
      <w:r>
        <w:rPr>
          <w:rFonts w:hint="eastAsia" w:eastAsia="仿宋_GB2312"/>
          <w:sz w:val="30"/>
          <w:szCs w:val="30"/>
        </w:rPr>
        <w:t>（1）组织贯彻执行国家财税方针政策，拟订和执行全市财政政策、改革方案，指导全市财政工作;分析预测宏观经济形势，参与制定各项宏观经济政策;提出运用财税政策实施宏观调控和综合平衡社会财力的建议;拟订和执行政府与企业的分配政策，完善鼓励公益事业发展的财税政策。贯彻执行国家有关金融工作的方针、政策和法律、法规，组织拟订市人民政府金融领域有关规章草案；组织拟订加强全市金融行业服务、促进金融行业发展的意见和政策建议。</w:t>
      </w:r>
    </w:p>
    <w:p w14:paraId="1E0ADFFE">
      <w:pPr>
        <w:widowControl/>
        <w:spacing w:line="500" w:lineRule="auto"/>
        <w:ind w:firstLine="588" w:firstLineChars="196"/>
        <w:rPr>
          <w:rFonts w:hint="eastAsia" w:eastAsia="仿宋_GB2312"/>
          <w:sz w:val="30"/>
          <w:szCs w:val="30"/>
        </w:rPr>
      </w:pPr>
      <w:r>
        <w:rPr>
          <w:rFonts w:hint="eastAsia" w:eastAsia="仿宋_GB2312"/>
          <w:sz w:val="30"/>
          <w:szCs w:val="30"/>
        </w:rPr>
        <w:t>（2）代政府起草财政、财务、会议管理的制度及办法。</w:t>
      </w:r>
    </w:p>
    <w:p w14:paraId="40F92367">
      <w:pPr>
        <w:widowControl/>
        <w:spacing w:line="500" w:lineRule="auto"/>
        <w:ind w:firstLine="588" w:firstLineChars="196"/>
        <w:rPr>
          <w:rFonts w:hint="eastAsia" w:eastAsia="仿宋_GB2312"/>
          <w:sz w:val="30"/>
          <w:szCs w:val="30"/>
        </w:rPr>
      </w:pPr>
      <w:r>
        <w:rPr>
          <w:rFonts w:hint="eastAsia" w:eastAsia="仿宋_GB2312"/>
          <w:sz w:val="30"/>
          <w:szCs w:val="30"/>
        </w:rPr>
        <w:t>（3）承担市本级各项财政收支管理的责任；负责编制年度市本级预决算草案并组织执行；代编全市财政收支预算，汇总全市财政总决算;受市人民政府委托，向市人民代表大会报告市本级、全市预算及其执行情况，向市人大常委会报告决算；组织制订市本级经费开支标准、定额，负责审核批复部门(单位)的年度预决算。完善转移支付制度，推进省直管县财政体制改革。</w:t>
      </w:r>
    </w:p>
    <w:p w14:paraId="71CFDEA9">
      <w:pPr>
        <w:widowControl/>
        <w:spacing w:line="500" w:lineRule="auto"/>
        <w:ind w:firstLine="588" w:firstLineChars="196"/>
        <w:rPr>
          <w:rFonts w:hint="eastAsia" w:eastAsia="仿宋_GB2312"/>
          <w:sz w:val="30"/>
          <w:szCs w:val="30"/>
        </w:rPr>
      </w:pPr>
      <w:r>
        <w:rPr>
          <w:rFonts w:hint="eastAsia" w:eastAsia="仿宋_GB2312"/>
          <w:sz w:val="30"/>
          <w:szCs w:val="30"/>
        </w:rPr>
        <w:t>（4）负责政府非税收入管理；负责政府性基金管理，按规定管理行政事业性收费；负责管理财政票据；负责制定彩票管理政策，管理彩票市场，按规定管理彩票资金。</w:t>
      </w:r>
    </w:p>
    <w:p w14:paraId="2B9231E0">
      <w:pPr>
        <w:widowControl/>
        <w:spacing w:line="500" w:lineRule="auto"/>
        <w:ind w:firstLine="588" w:firstLineChars="196"/>
        <w:rPr>
          <w:rFonts w:hint="eastAsia" w:eastAsia="仿宋_GB2312"/>
          <w:sz w:val="30"/>
          <w:szCs w:val="30"/>
        </w:rPr>
      </w:pPr>
      <w:r>
        <w:rPr>
          <w:rFonts w:hint="eastAsia" w:eastAsia="仿宋_GB2312"/>
          <w:sz w:val="30"/>
          <w:szCs w:val="30"/>
        </w:rPr>
        <w:t>（5）组织制定国库管理制度、国库集中收付制度，指导和监督市本级国库业务，按规定开展国库现金管理工作。负责制定政府采购制度并监督管理。</w:t>
      </w:r>
    </w:p>
    <w:p w14:paraId="43ADB9CE">
      <w:pPr>
        <w:widowControl/>
        <w:spacing w:line="500" w:lineRule="auto"/>
        <w:ind w:firstLine="588" w:firstLineChars="196"/>
        <w:rPr>
          <w:rFonts w:hint="eastAsia" w:eastAsia="仿宋_GB2312"/>
          <w:sz w:val="30"/>
          <w:szCs w:val="30"/>
        </w:rPr>
      </w:pPr>
      <w:r>
        <w:rPr>
          <w:rFonts w:hint="eastAsia" w:eastAsia="仿宋_GB2312"/>
          <w:sz w:val="30"/>
          <w:szCs w:val="30"/>
        </w:rPr>
        <w:t>（6）贯彻执行国家财税法律、法规和税收调整政策，反馈政策执行情况，提出调整建议；参与市管理权限内有关税收政策及税收政策调整方案的调查研究，提出对策建议。</w:t>
      </w:r>
    </w:p>
    <w:p w14:paraId="21EA6997">
      <w:pPr>
        <w:widowControl/>
        <w:spacing w:line="500" w:lineRule="auto"/>
        <w:ind w:firstLine="588" w:firstLineChars="196"/>
        <w:rPr>
          <w:rFonts w:hint="eastAsia" w:eastAsia="仿宋_GB2312"/>
          <w:sz w:val="30"/>
          <w:szCs w:val="30"/>
        </w:rPr>
      </w:pPr>
      <w:r>
        <w:rPr>
          <w:rFonts w:hint="eastAsia" w:eastAsia="仿宋_GB2312"/>
          <w:sz w:val="30"/>
          <w:szCs w:val="30"/>
        </w:rPr>
        <w:t>（7）负责制定全市行政事业单位国有资产管理规章制度，按规定管理行政事业单位国有资产，制定需要全市统一规定的开支标准和支出政策，负责财政预算内行政、事业单位和社会团体的非贸易外汇管理。</w:t>
      </w:r>
    </w:p>
    <w:p w14:paraId="3BAF7C82">
      <w:pPr>
        <w:widowControl/>
        <w:spacing w:line="500" w:lineRule="auto"/>
        <w:ind w:firstLine="588" w:firstLineChars="196"/>
        <w:rPr>
          <w:rFonts w:hint="eastAsia" w:eastAsia="仿宋_GB2312"/>
          <w:sz w:val="30"/>
          <w:szCs w:val="30"/>
        </w:rPr>
      </w:pPr>
      <w:r>
        <w:rPr>
          <w:rFonts w:hint="eastAsia" w:eastAsia="仿宋_GB2312"/>
          <w:sz w:val="30"/>
          <w:szCs w:val="30"/>
        </w:rPr>
        <w:t>（8）负责审核和汇总编制全市国有资本经营预决算草案，制定国有资本经营预算的制度和办法，收取市本级企业国有资本收益，组织实施企业财务制度，按规定管理地方金嘈类企业国有资产，参与拟订企业国有资产管理相关制度，负责未纳入市国资委监管企业的国有资产管理，管理资产评估工作。</w:t>
      </w:r>
    </w:p>
    <w:p w14:paraId="10A2AFBB">
      <w:pPr>
        <w:widowControl/>
        <w:spacing w:line="500" w:lineRule="auto"/>
        <w:ind w:firstLine="588" w:firstLineChars="196"/>
        <w:rPr>
          <w:rFonts w:hint="eastAsia" w:eastAsia="仿宋_GB2312"/>
          <w:sz w:val="30"/>
          <w:szCs w:val="30"/>
        </w:rPr>
      </w:pPr>
      <w:r>
        <w:rPr>
          <w:rFonts w:hint="eastAsia" w:eastAsia="仿宋_GB2312"/>
          <w:sz w:val="30"/>
          <w:szCs w:val="30"/>
        </w:rPr>
        <w:t>（9）负责办理和监督市级财政的经济发展支出、市级政府性投资项目的财政拨款，参与拟订市建设投资的有关政策，组织实施基本建设财务制度，负责有关政策性补贴和专项储备资金财政管理工作。</w:t>
      </w:r>
    </w:p>
    <w:p w14:paraId="6DCEF5FC">
      <w:pPr>
        <w:widowControl/>
        <w:spacing w:line="500" w:lineRule="auto"/>
        <w:ind w:firstLine="588" w:firstLineChars="196"/>
        <w:rPr>
          <w:rFonts w:hint="eastAsia" w:eastAsia="仿宋_GB2312"/>
          <w:sz w:val="30"/>
          <w:szCs w:val="30"/>
        </w:rPr>
      </w:pPr>
      <w:r>
        <w:rPr>
          <w:rFonts w:hint="eastAsia" w:eastAsia="仿宋_GB2312"/>
          <w:sz w:val="30"/>
          <w:szCs w:val="30"/>
        </w:rPr>
        <w:t>（10）会同有关部门管理市级财政社会保障和就业及医疗卫生支出，组织实施社会保障资金(基金)的财务管理制度，编制市社会保障预决算草案。</w:t>
      </w:r>
    </w:p>
    <w:p w14:paraId="540B585B">
      <w:pPr>
        <w:widowControl/>
        <w:spacing w:line="500" w:lineRule="auto"/>
        <w:ind w:firstLine="588" w:firstLineChars="196"/>
        <w:rPr>
          <w:rFonts w:hint="eastAsia" w:eastAsia="仿宋_GB2312"/>
          <w:sz w:val="30"/>
          <w:szCs w:val="30"/>
        </w:rPr>
      </w:pPr>
      <w:r>
        <w:rPr>
          <w:rFonts w:hint="eastAsia" w:eastAsia="仿宋_GB2312"/>
          <w:sz w:val="30"/>
          <w:szCs w:val="30"/>
        </w:rPr>
        <w:t>（11）贯彻执行政府内外债务管理的政策、制度和办法，防范财政风险；负责统一管理市政府外债，制定基本管理制度，按规定管理外国政府和国外金融组织贷(赠)款；承担财税领域交流与合作的具体工作。</w:t>
      </w:r>
    </w:p>
    <w:p w14:paraId="32143FDA">
      <w:pPr>
        <w:widowControl/>
        <w:spacing w:line="500" w:lineRule="auto"/>
        <w:ind w:firstLine="588" w:firstLineChars="196"/>
        <w:rPr>
          <w:rFonts w:hint="eastAsia" w:eastAsia="仿宋_GB2312"/>
          <w:sz w:val="30"/>
          <w:szCs w:val="30"/>
        </w:rPr>
      </w:pPr>
      <w:r>
        <w:rPr>
          <w:rFonts w:hint="eastAsia" w:eastAsia="仿宋_GB2312"/>
          <w:sz w:val="30"/>
          <w:szCs w:val="30"/>
        </w:rPr>
        <w:t>（12）负责管理全市的会计工作，监督和规范会计行为，组织实施国家统一的会计制度，组织实施全省会计行政法规规章，指导和监督注册会计师和会计师事务所的业务，指导和管理社会审计。</w:t>
      </w:r>
    </w:p>
    <w:p w14:paraId="4DD0B8D9">
      <w:pPr>
        <w:widowControl/>
        <w:spacing w:line="500" w:lineRule="auto"/>
        <w:ind w:firstLine="588" w:firstLineChars="196"/>
        <w:rPr>
          <w:rFonts w:hint="eastAsia" w:eastAsia="仿宋_GB2312"/>
          <w:sz w:val="30"/>
          <w:szCs w:val="30"/>
        </w:rPr>
      </w:pPr>
      <w:r>
        <w:rPr>
          <w:rFonts w:hint="eastAsia" w:eastAsia="仿宋_GB2312"/>
          <w:sz w:val="30"/>
          <w:szCs w:val="30"/>
        </w:rPr>
        <w:t>（13）监督检查财税法规、政策的执行情况，反映财政收支管理中的重大问题，提出加强财政管理的政策和建议。</w:t>
      </w:r>
    </w:p>
    <w:p w14:paraId="27EEF228">
      <w:pPr>
        <w:widowControl/>
        <w:spacing w:line="500" w:lineRule="auto"/>
        <w:ind w:firstLine="588" w:firstLineChars="196"/>
        <w:rPr>
          <w:rFonts w:hint="eastAsia" w:eastAsia="仿宋_GB2312"/>
          <w:sz w:val="30"/>
          <w:szCs w:val="30"/>
        </w:rPr>
      </w:pPr>
      <w:r>
        <w:rPr>
          <w:rFonts w:hint="eastAsia" w:eastAsia="仿宋_GB2312"/>
          <w:sz w:val="30"/>
          <w:szCs w:val="30"/>
        </w:rPr>
        <w:t>（14）研究分析国家金融政策、宏观金融形势和全市金融运行情况，会同有关部门推进全市金融市场体系建设。</w:t>
      </w:r>
    </w:p>
    <w:p w14:paraId="2EE66167">
      <w:pPr>
        <w:widowControl/>
        <w:spacing w:line="500" w:lineRule="auto"/>
        <w:ind w:firstLine="588" w:firstLineChars="196"/>
        <w:rPr>
          <w:rFonts w:hint="eastAsia" w:eastAsia="仿宋_GB2312"/>
          <w:sz w:val="30"/>
          <w:szCs w:val="30"/>
        </w:rPr>
      </w:pPr>
      <w:r>
        <w:rPr>
          <w:rFonts w:hint="eastAsia" w:eastAsia="仿宋_GB2312"/>
          <w:sz w:val="30"/>
          <w:szCs w:val="30"/>
        </w:rPr>
        <w:t> （15）负责联系省驻怀金融管理部门、各类金额融机构；组织开展政府与金融机构合作、金融机构和企业对接，引导、协调和鼓励金融机构加大对全市经济社会发展的支持力度。</w:t>
      </w:r>
    </w:p>
    <w:p w14:paraId="351CB3C4">
      <w:pPr>
        <w:widowControl/>
        <w:spacing w:line="500" w:lineRule="auto"/>
        <w:ind w:firstLine="588" w:firstLineChars="196"/>
        <w:rPr>
          <w:rFonts w:hint="eastAsia" w:eastAsia="仿宋_GB2312"/>
          <w:sz w:val="30"/>
          <w:szCs w:val="30"/>
        </w:rPr>
      </w:pPr>
      <w:r>
        <w:rPr>
          <w:rFonts w:hint="eastAsia" w:eastAsia="仿宋_GB2312"/>
          <w:sz w:val="30"/>
          <w:szCs w:val="30"/>
        </w:rPr>
        <w:t> （16）指导全市村镇银行、小额贷款公司、融资性担保机构等地方金融机构的改革、发展、监管和重组；会同有关部门推进全市社会信用体系建设和金融安全区创建，推进改善金融生态环境。</w:t>
      </w:r>
    </w:p>
    <w:p w14:paraId="539ABE6D">
      <w:pPr>
        <w:widowControl/>
        <w:spacing w:line="500" w:lineRule="auto"/>
        <w:ind w:firstLine="588" w:firstLineChars="196"/>
        <w:rPr>
          <w:rFonts w:hint="eastAsia" w:eastAsia="仿宋_GB2312"/>
          <w:sz w:val="30"/>
          <w:szCs w:val="30"/>
        </w:rPr>
      </w:pPr>
      <w:r>
        <w:rPr>
          <w:rFonts w:hint="eastAsia" w:eastAsia="仿宋_GB2312"/>
          <w:sz w:val="30"/>
          <w:szCs w:val="30"/>
        </w:rPr>
        <w:t>（1</w:t>
      </w:r>
      <w:r>
        <w:rPr>
          <w:rFonts w:hint="eastAsia" w:eastAsia="仿宋_GB2312"/>
          <w:sz w:val="30"/>
          <w:szCs w:val="30"/>
          <w:lang w:val="en-US" w:eastAsia="zh-CN"/>
        </w:rPr>
        <w:t>7</w:t>
      </w:r>
      <w:r>
        <w:rPr>
          <w:rFonts w:hint="eastAsia" w:eastAsia="仿宋_GB2312"/>
          <w:sz w:val="30"/>
          <w:szCs w:val="30"/>
        </w:rPr>
        <w:t>）指导、协调发行地方政府债券工作。</w:t>
      </w:r>
    </w:p>
    <w:p w14:paraId="38474A75">
      <w:pPr>
        <w:widowControl/>
        <w:spacing w:line="500" w:lineRule="auto"/>
        <w:ind w:firstLine="588" w:firstLineChars="196"/>
        <w:rPr>
          <w:rFonts w:hint="eastAsia" w:eastAsia="仿宋_GB2312"/>
          <w:sz w:val="30"/>
          <w:szCs w:val="30"/>
        </w:rPr>
      </w:pPr>
      <w:r>
        <w:rPr>
          <w:rFonts w:hint="eastAsia" w:eastAsia="仿宋_GB2312"/>
          <w:sz w:val="30"/>
          <w:szCs w:val="30"/>
        </w:rPr>
        <w:t>（</w:t>
      </w:r>
      <w:r>
        <w:rPr>
          <w:rFonts w:hint="eastAsia" w:eastAsia="仿宋_GB2312"/>
          <w:sz w:val="30"/>
          <w:szCs w:val="30"/>
          <w:lang w:val="en-US" w:eastAsia="zh-CN"/>
        </w:rPr>
        <w:t>18</w:t>
      </w:r>
      <w:r>
        <w:rPr>
          <w:rFonts w:hint="eastAsia" w:eastAsia="仿宋_GB2312"/>
          <w:sz w:val="30"/>
          <w:szCs w:val="30"/>
        </w:rPr>
        <w:t>）</w:t>
      </w:r>
      <w:r>
        <w:rPr>
          <w:rFonts w:hint="eastAsia" w:eastAsia="仿宋_GB2312"/>
          <w:sz w:val="30"/>
          <w:szCs w:val="30"/>
          <w:lang w:eastAsia="zh-CN"/>
        </w:rPr>
        <w:t>履行国有金融资本管理，起草年度国有资产管理综合报告及行政事业性国有资产（含行政事业单位经管资产）和金融企业国有资产专项报告，负责全面实施预算绩效管理相关工作，研究拟定政府购买服务制度和政策并组织实施并组织实施职责。</w:t>
      </w:r>
    </w:p>
    <w:p w14:paraId="577B15BF">
      <w:pPr>
        <w:widowControl/>
        <w:spacing w:line="500" w:lineRule="auto"/>
        <w:ind w:firstLine="588" w:firstLineChars="196"/>
        <w:rPr>
          <w:rFonts w:hint="eastAsia" w:eastAsia="仿宋_GB2312"/>
          <w:sz w:val="30"/>
          <w:szCs w:val="30"/>
        </w:rPr>
      </w:pPr>
      <w:r>
        <w:rPr>
          <w:rFonts w:hint="eastAsia" w:eastAsia="仿宋_GB2312"/>
          <w:sz w:val="30"/>
          <w:szCs w:val="30"/>
          <w:lang w:val="en-US" w:eastAsia="zh-CN"/>
        </w:rPr>
        <w:t>（19）</w:t>
      </w:r>
      <w:r>
        <w:rPr>
          <w:rFonts w:hint="eastAsia" w:eastAsia="仿宋_GB2312"/>
          <w:sz w:val="30"/>
          <w:szCs w:val="30"/>
        </w:rPr>
        <w:t>承办市委、市人民政府交办的其他事项。</w:t>
      </w:r>
    </w:p>
    <w:p w14:paraId="6785F795">
      <w:pPr>
        <w:pStyle w:val="2"/>
        <w:keepNext w:val="0"/>
        <w:keepLines w:val="0"/>
        <w:widowControl/>
        <w:suppressLineNumbers w:val="0"/>
        <w:spacing w:before="0" w:beforeAutospacing="0" w:after="0" w:afterAutospacing="0" w:line="375" w:lineRule="atLeast"/>
        <w:ind w:left="440" w:right="0" w:firstLine="160"/>
        <w:jc w:val="both"/>
        <w:rPr>
          <w:sz w:val="30"/>
          <w:szCs w:val="30"/>
        </w:rPr>
      </w:pPr>
      <w:r>
        <w:rPr>
          <w:rFonts w:hint="default" w:ascii="楷体" w:hAnsi="楷体" w:eastAsia="楷体" w:cs="楷体"/>
          <w:color w:val="313131"/>
          <w:sz w:val="30"/>
          <w:szCs w:val="30"/>
        </w:rPr>
        <w:t>（二）部门整体支出规模、使用方向和主要内容</w:t>
      </w:r>
    </w:p>
    <w:p w14:paraId="7337F010">
      <w:pPr>
        <w:pStyle w:val="2"/>
        <w:keepNext w:val="0"/>
        <w:keepLines w:val="0"/>
        <w:widowControl/>
        <w:suppressLineNumbers w:val="0"/>
        <w:spacing w:before="0" w:beforeAutospacing="0" w:after="0" w:afterAutospacing="0" w:line="375" w:lineRule="atLeast"/>
        <w:ind w:left="0" w:right="0" w:firstLine="640"/>
        <w:jc w:val="both"/>
        <w:rPr>
          <w:rFonts w:hint="eastAsia" w:eastAsia="仿宋_GB2312"/>
          <w:sz w:val="30"/>
          <w:szCs w:val="30"/>
          <w:lang w:eastAsia="zh-CN"/>
        </w:rPr>
      </w:pPr>
      <w:r>
        <w:rPr>
          <w:rFonts w:hint="eastAsia" w:ascii="仿宋_GB2312" w:hAnsi="仿宋_GB2312" w:eastAsia="仿宋_GB2312" w:cs="仿宋_GB2312"/>
          <w:color w:val="313131"/>
          <w:sz w:val="30"/>
          <w:szCs w:val="30"/>
          <w:lang w:val="en-US" w:eastAsia="zh-CN"/>
        </w:rPr>
        <w:t>2022</w:t>
      </w:r>
      <w:r>
        <w:rPr>
          <w:rFonts w:hint="eastAsia" w:ascii="仿宋_GB2312" w:hAnsi="仿宋_GB2312" w:eastAsia="仿宋_GB2312" w:cs="仿宋_GB2312"/>
          <w:color w:val="313131"/>
          <w:sz w:val="30"/>
          <w:szCs w:val="30"/>
        </w:rPr>
        <w:t>年怀化市财政局总支出为</w:t>
      </w:r>
      <w:r>
        <w:rPr>
          <w:rFonts w:hint="eastAsia" w:ascii="仿宋_GB2312" w:hAnsi="仿宋_GB2312" w:eastAsia="仿宋_GB2312" w:cs="仿宋_GB2312"/>
          <w:color w:val="313131"/>
          <w:sz w:val="30"/>
          <w:szCs w:val="30"/>
          <w:lang w:val="en-US" w:eastAsia="zh-CN"/>
        </w:rPr>
        <w:t>5093.37</w:t>
      </w:r>
      <w:r>
        <w:rPr>
          <w:rFonts w:hint="eastAsia" w:ascii="仿宋_GB2312" w:hAnsi="仿宋_GB2312" w:eastAsia="仿宋_GB2312" w:cs="仿宋_GB2312"/>
          <w:color w:val="313131"/>
          <w:sz w:val="30"/>
          <w:szCs w:val="30"/>
        </w:rPr>
        <w:t>万元，</w:t>
      </w:r>
      <w:r>
        <w:rPr>
          <w:rFonts w:hint="eastAsia" w:ascii="仿宋_GB2312" w:hAnsi="仿宋_GB2312" w:eastAsia="仿宋_GB2312" w:cs="仿宋_GB2312"/>
          <w:color w:val="313131"/>
          <w:sz w:val="30"/>
          <w:szCs w:val="30"/>
          <w:lang w:eastAsia="zh-CN"/>
        </w:rPr>
        <w:t>其中：</w:t>
      </w:r>
      <w:r>
        <w:rPr>
          <w:rFonts w:hint="eastAsia" w:ascii="仿宋_GB2312" w:hAnsi="仿宋_GB2312" w:eastAsia="仿宋_GB2312" w:cs="仿宋_GB2312"/>
          <w:color w:val="313131"/>
          <w:sz w:val="30"/>
          <w:szCs w:val="30"/>
        </w:rPr>
        <w:t>基本支出</w:t>
      </w:r>
      <w:r>
        <w:rPr>
          <w:rFonts w:hint="eastAsia" w:ascii="仿宋_GB2312" w:hAnsi="仿宋_GB2312" w:eastAsia="仿宋_GB2312" w:cs="仿宋_GB2312"/>
          <w:color w:val="313131"/>
          <w:sz w:val="30"/>
          <w:szCs w:val="30"/>
          <w:lang w:val="en-US" w:eastAsia="zh-CN"/>
        </w:rPr>
        <w:t>3669.94万元，项目支出1423.43万元</w:t>
      </w:r>
      <w:r>
        <w:rPr>
          <w:rFonts w:hint="eastAsia" w:ascii="仿宋_GB2312" w:hAnsi="仿宋_GB2312" w:eastAsia="仿宋_GB2312" w:cs="仿宋_GB2312"/>
          <w:color w:val="313131"/>
          <w:sz w:val="30"/>
          <w:szCs w:val="30"/>
        </w:rPr>
        <w:t>。基本支出核算的主要内容是为保障财政局机关正常运转、完成日常工作任务而发生的人员支出和公用支出，涉及范围为局机关在职及离退休人员。</w:t>
      </w:r>
      <w:r>
        <w:rPr>
          <w:rFonts w:hint="eastAsia" w:ascii="仿宋_GB2312" w:hAnsi="仿宋_GB2312" w:eastAsia="仿宋_GB2312" w:cs="仿宋_GB2312"/>
          <w:color w:val="313131"/>
          <w:sz w:val="30"/>
          <w:szCs w:val="30"/>
          <w:lang w:eastAsia="zh-CN"/>
        </w:rPr>
        <w:t>项目支出核算的主要内容是财政局完成特定的工作任务或事业发展目标，在基本的预算支出以外，财政预算专款安排的支出。</w:t>
      </w:r>
    </w:p>
    <w:p w14:paraId="7281545F">
      <w:pPr>
        <w:pStyle w:val="2"/>
        <w:keepNext w:val="0"/>
        <w:keepLines w:val="0"/>
        <w:widowControl/>
        <w:suppressLineNumbers w:val="0"/>
        <w:spacing w:before="0" w:beforeAutospacing="0" w:after="0" w:afterAutospacing="0" w:line="375" w:lineRule="atLeast"/>
        <w:ind w:left="1440" w:right="0" w:hanging="720"/>
        <w:jc w:val="both"/>
        <w:rPr>
          <w:sz w:val="30"/>
          <w:szCs w:val="30"/>
        </w:rPr>
      </w:pPr>
      <w:r>
        <w:rPr>
          <w:rFonts w:hint="eastAsia" w:ascii="黑体" w:hAnsi="微软雅黑" w:eastAsia="黑体" w:cs="黑体"/>
          <w:color w:val="313131"/>
          <w:sz w:val="30"/>
          <w:szCs w:val="30"/>
        </w:rPr>
        <w:t>二、 部门整体支出管理及使用情况</w:t>
      </w:r>
    </w:p>
    <w:p w14:paraId="2EDA8FAE">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629"/>
        <w:jc w:val="left"/>
        <w:textAlignment w:val="auto"/>
        <w:outlineLvl w:val="9"/>
        <w:rPr>
          <w:rFonts w:hint="eastAsia" w:ascii="仿宋_GB2312" w:hAnsi="仿宋_GB2312" w:eastAsia="仿宋_GB2312" w:cs="仿宋_GB2312"/>
          <w:color w:val="313131"/>
          <w:sz w:val="30"/>
          <w:szCs w:val="30"/>
        </w:rPr>
      </w:pPr>
      <w:r>
        <w:rPr>
          <w:rFonts w:ascii="仿宋" w:hAnsi="仿宋" w:eastAsia="仿宋"/>
          <w:b/>
          <w:spacing w:val="-2"/>
          <w:sz w:val="32"/>
          <w:szCs w:val="32"/>
        </w:rPr>
        <w:t>（一）基本支出</w:t>
      </w:r>
    </w:p>
    <w:p w14:paraId="7AB8CAC7">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629"/>
        <w:jc w:val="left"/>
        <w:textAlignment w:val="auto"/>
        <w:outlineLvl w:val="9"/>
        <w:rPr>
          <w:rFonts w:hint="eastAsia" w:ascii="仿宋_GB2312" w:hAnsi="仿宋_GB2312" w:eastAsia="仿宋_GB2312" w:cs="仿宋_GB2312"/>
          <w:color w:val="313131"/>
          <w:sz w:val="30"/>
          <w:szCs w:val="30"/>
          <w:lang w:eastAsia="zh-CN"/>
        </w:rPr>
      </w:pPr>
      <w:r>
        <w:rPr>
          <w:rFonts w:hint="eastAsia" w:ascii="仿宋_GB2312" w:hAnsi="仿宋_GB2312" w:eastAsia="仿宋_GB2312" w:cs="仿宋_GB2312"/>
          <w:color w:val="313131"/>
          <w:sz w:val="30"/>
          <w:szCs w:val="30"/>
        </w:rPr>
        <w:t>市财政局经费支出是为保障机关正常运转和完成日</w:t>
      </w:r>
      <w:r>
        <w:rPr>
          <w:rFonts w:hint="eastAsia" w:ascii="仿宋_GB2312" w:hAnsi="仿宋_GB2312" w:eastAsia="仿宋_GB2312" w:cs="仿宋_GB2312"/>
          <w:color w:val="313131"/>
          <w:sz w:val="30"/>
          <w:szCs w:val="30"/>
          <w:lang w:eastAsia="zh-CN"/>
        </w:rPr>
        <w:t>常工</w:t>
      </w:r>
      <w:r>
        <w:rPr>
          <w:rFonts w:hint="eastAsia" w:ascii="仿宋_GB2312" w:hAnsi="仿宋_GB2312" w:eastAsia="仿宋_GB2312" w:cs="仿宋_GB2312"/>
          <w:color w:val="313131"/>
          <w:sz w:val="30"/>
          <w:szCs w:val="30"/>
        </w:rPr>
        <w:t>作任务而产生的支出，包括基本工资、津贴补贴、退休费等人员经费以及办公费、印刷费、水电费、办公设备购置费、差旅费、公务用车运行等日常公用经费。</w:t>
      </w:r>
      <w:r>
        <w:rPr>
          <w:rFonts w:hint="eastAsia" w:ascii="仿宋_GB2312" w:hAnsi="仿宋_GB2312" w:eastAsia="仿宋_GB2312" w:cs="仿宋_GB2312"/>
          <w:color w:val="313131"/>
          <w:sz w:val="30"/>
          <w:szCs w:val="30"/>
          <w:lang w:val="en-US" w:eastAsia="zh-CN"/>
        </w:rPr>
        <w:t>2022</w:t>
      </w:r>
      <w:r>
        <w:rPr>
          <w:rFonts w:hint="eastAsia" w:ascii="仿宋_GB2312" w:hAnsi="仿宋_GB2312" w:eastAsia="仿宋_GB2312" w:cs="仿宋_GB2312"/>
          <w:color w:val="313131"/>
          <w:sz w:val="30"/>
          <w:szCs w:val="30"/>
        </w:rPr>
        <w:t>年市财政局基本支出为</w:t>
      </w:r>
      <w:r>
        <w:rPr>
          <w:rFonts w:hint="eastAsia" w:ascii="仿宋_GB2312" w:hAnsi="仿宋_GB2312" w:eastAsia="仿宋_GB2312" w:cs="仿宋_GB2312"/>
          <w:color w:val="313131"/>
          <w:sz w:val="30"/>
          <w:szCs w:val="30"/>
          <w:lang w:val="en-US" w:eastAsia="zh-CN"/>
        </w:rPr>
        <w:t>3669.94</w:t>
      </w:r>
      <w:r>
        <w:rPr>
          <w:rFonts w:hint="eastAsia" w:ascii="仿宋_GB2312" w:hAnsi="仿宋_GB2312" w:eastAsia="仿宋_GB2312" w:cs="仿宋_GB2312"/>
          <w:color w:val="313131"/>
          <w:sz w:val="30"/>
          <w:szCs w:val="30"/>
        </w:rPr>
        <w:t>万元，较上年同比</w:t>
      </w:r>
      <w:r>
        <w:rPr>
          <w:rFonts w:hint="eastAsia" w:ascii="仿宋_GB2312" w:hAnsi="仿宋_GB2312" w:eastAsia="仿宋_GB2312" w:cs="仿宋_GB2312"/>
          <w:color w:val="313131"/>
          <w:sz w:val="30"/>
          <w:szCs w:val="30"/>
          <w:lang w:val="en-US" w:eastAsia="zh-CN"/>
        </w:rPr>
        <w:t>下降20.06%</w:t>
      </w:r>
      <w:r>
        <w:rPr>
          <w:rFonts w:hint="eastAsia" w:ascii="仿宋_GB2312" w:hAnsi="仿宋_GB2312" w:eastAsia="仿宋_GB2312" w:cs="仿宋_GB2312"/>
          <w:color w:val="313131"/>
          <w:sz w:val="30"/>
          <w:szCs w:val="30"/>
        </w:rPr>
        <w:t>。其中：“三公经费”支出</w:t>
      </w:r>
      <w:r>
        <w:rPr>
          <w:rFonts w:hint="eastAsia" w:ascii="仿宋_GB2312" w:hAnsi="仿宋_GB2312" w:eastAsia="仿宋_GB2312" w:cs="仿宋_GB2312"/>
          <w:color w:val="313131"/>
          <w:sz w:val="30"/>
          <w:szCs w:val="30"/>
          <w:lang w:val="en-US" w:eastAsia="zh-CN"/>
        </w:rPr>
        <w:t>22.27</w:t>
      </w:r>
      <w:r>
        <w:rPr>
          <w:rFonts w:hint="eastAsia" w:ascii="仿宋_GB2312" w:hAnsi="仿宋_GB2312" w:eastAsia="仿宋_GB2312" w:cs="仿宋_GB2312"/>
          <w:color w:val="313131"/>
          <w:sz w:val="30"/>
          <w:szCs w:val="30"/>
        </w:rPr>
        <w:t>万元（公车运行维护费用</w:t>
      </w:r>
      <w:r>
        <w:rPr>
          <w:rFonts w:hint="eastAsia" w:ascii="仿宋_GB2312" w:hAnsi="仿宋_GB2312" w:eastAsia="仿宋_GB2312" w:cs="仿宋_GB2312"/>
          <w:color w:val="313131"/>
          <w:sz w:val="30"/>
          <w:szCs w:val="30"/>
          <w:lang w:val="en-US" w:eastAsia="zh-CN"/>
        </w:rPr>
        <w:t>20.06</w:t>
      </w:r>
      <w:r>
        <w:rPr>
          <w:rFonts w:hint="eastAsia" w:ascii="仿宋_GB2312" w:hAnsi="仿宋_GB2312" w:eastAsia="仿宋_GB2312" w:cs="仿宋_GB2312"/>
          <w:color w:val="313131"/>
          <w:sz w:val="30"/>
          <w:szCs w:val="30"/>
        </w:rPr>
        <w:t>万元，公务接待费</w:t>
      </w:r>
      <w:r>
        <w:rPr>
          <w:rFonts w:hint="eastAsia" w:ascii="仿宋_GB2312" w:hAnsi="仿宋_GB2312" w:eastAsia="仿宋_GB2312" w:cs="仿宋_GB2312"/>
          <w:color w:val="313131"/>
          <w:sz w:val="30"/>
          <w:szCs w:val="30"/>
          <w:lang w:val="en-US" w:eastAsia="zh-CN"/>
        </w:rPr>
        <w:t>2.21</w:t>
      </w:r>
      <w:r>
        <w:rPr>
          <w:rFonts w:hint="eastAsia" w:ascii="仿宋_GB2312" w:hAnsi="仿宋_GB2312" w:eastAsia="仿宋_GB2312" w:cs="仿宋_GB2312"/>
          <w:color w:val="313131"/>
          <w:sz w:val="30"/>
          <w:szCs w:val="30"/>
        </w:rPr>
        <w:t>万元），较上年同比</w:t>
      </w:r>
      <w:r>
        <w:rPr>
          <w:rFonts w:hint="eastAsia" w:ascii="仿宋_GB2312" w:hAnsi="仿宋_GB2312" w:eastAsia="仿宋_GB2312" w:cs="仿宋_GB2312"/>
          <w:color w:val="313131"/>
          <w:sz w:val="30"/>
          <w:szCs w:val="30"/>
          <w:lang w:eastAsia="zh-CN"/>
        </w:rPr>
        <w:t>增长</w:t>
      </w:r>
      <w:r>
        <w:rPr>
          <w:rFonts w:hint="eastAsia" w:ascii="仿宋_GB2312" w:hAnsi="仿宋_GB2312" w:eastAsia="仿宋_GB2312" w:cs="仿宋_GB2312"/>
          <w:color w:val="313131"/>
          <w:sz w:val="30"/>
          <w:szCs w:val="30"/>
          <w:lang w:val="en-US" w:eastAsia="zh-CN"/>
        </w:rPr>
        <w:t>2.96</w:t>
      </w:r>
      <w:r>
        <w:rPr>
          <w:rFonts w:hint="eastAsia" w:ascii="仿宋_GB2312" w:hAnsi="仿宋_GB2312" w:eastAsia="仿宋_GB2312" w:cs="仿宋_GB2312"/>
          <w:color w:val="313131"/>
          <w:sz w:val="30"/>
          <w:szCs w:val="30"/>
        </w:rPr>
        <w:t>%，完成预算指标数的</w:t>
      </w:r>
      <w:r>
        <w:rPr>
          <w:rFonts w:hint="eastAsia" w:ascii="仿宋_GB2312" w:hAnsi="仿宋_GB2312" w:eastAsia="仿宋_GB2312" w:cs="仿宋_GB2312"/>
          <w:color w:val="313131"/>
          <w:sz w:val="30"/>
          <w:szCs w:val="30"/>
          <w:lang w:val="en-US" w:eastAsia="zh-CN"/>
        </w:rPr>
        <w:t>14</w:t>
      </w:r>
      <w:r>
        <w:rPr>
          <w:rFonts w:hint="eastAsia" w:ascii="仿宋_GB2312" w:hAnsi="仿宋_GB2312" w:eastAsia="仿宋_GB2312" w:cs="仿宋_GB2312"/>
          <w:color w:val="313131"/>
          <w:sz w:val="30"/>
          <w:szCs w:val="30"/>
        </w:rPr>
        <w:t>%</w:t>
      </w:r>
      <w:r>
        <w:rPr>
          <w:rFonts w:hint="eastAsia" w:ascii="仿宋_GB2312" w:hAnsi="仿宋_GB2312" w:eastAsia="仿宋_GB2312" w:cs="仿宋_GB2312"/>
          <w:color w:val="313131"/>
          <w:sz w:val="30"/>
          <w:szCs w:val="30"/>
          <w:lang w:eastAsia="zh-CN"/>
        </w:rPr>
        <w:t>。</w:t>
      </w:r>
    </w:p>
    <w:p w14:paraId="70309033">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629"/>
        <w:jc w:val="both"/>
        <w:textAlignment w:val="auto"/>
        <w:outlineLvl w:val="9"/>
        <w:rPr>
          <w:rFonts w:hint="eastAsia" w:ascii="仿宋_GB2312" w:hAnsi="仿宋_GB2312" w:eastAsia="仿宋_GB2312" w:cs="仿宋_GB2312"/>
        </w:rPr>
      </w:pPr>
      <w:r>
        <w:rPr>
          <w:rFonts w:hint="eastAsia" w:ascii="仿宋_GB2312" w:hAnsi="仿宋_GB2312" w:eastAsia="仿宋_GB2312" w:cs="仿宋_GB2312"/>
          <w:color w:val="313131"/>
          <w:sz w:val="32"/>
          <w:szCs w:val="32"/>
        </w:rPr>
        <w:t>  </w:t>
      </w:r>
      <w:r>
        <w:rPr>
          <w:rFonts w:hint="eastAsia" w:eastAsia="宋体" w:cs="宋体"/>
          <w:b/>
          <w:bCs/>
          <w:color w:val="313131"/>
          <w:sz w:val="30"/>
          <w:szCs w:val="30"/>
          <w:lang w:eastAsia="zh-CN"/>
        </w:rPr>
        <w:t>2022</w:t>
      </w:r>
      <w:r>
        <w:rPr>
          <w:rFonts w:hint="eastAsia" w:ascii="宋体" w:hAnsi="宋体" w:eastAsia="宋体" w:cs="宋体"/>
          <w:b/>
          <w:bCs/>
          <w:color w:val="313131"/>
          <w:sz w:val="30"/>
          <w:szCs w:val="30"/>
        </w:rPr>
        <w:t>年“三公”经费执行情况表（单位：万元）</w:t>
      </w:r>
    </w:p>
    <w:tbl>
      <w:tblPr>
        <w:tblStyle w:val="3"/>
        <w:tblW w:w="840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733"/>
        <w:gridCol w:w="1567"/>
        <w:gridCol w:w="1642"/>
        <w:gridCol w:w="1611"/>
        <w:gridCol w:w="1850"/>
      </w:tblGrid>
      <w:tr w14:paraId="18DB0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733"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14:paraId="76C281E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jc w:val="both"/>
              <w:textAlignment w:val="auto"/>
              <w:outlineLvl w:val="9"/>
              <w:rPr>
                <w:rFonts w:hint="eastAsia" w:ascii="仿宋_GB2312" w:hAnsi="仿宋_GB2312" w:eastAsia="仿宋_GB2312" w:cs="仿宋_GB2312"/>
              </w:rPr>
            </w:pPr>
            <w:r>
              <w:rPr>
                <w:rFonts w:hint="eastAsia" w:ascii="仿宋_GB2312" w:hAnsi="仿宋_GB2312" w:eastAsia="仿宋_GB2312" w:cs="仿宋_GB2312"/>
                <w:sz w:val="30"/>
                <w:szCs w:val="30"/>
              </w:rPr>
              <w:t>费用项目</w:t>
            </w:r>
          </w:p>
        </w:tc>
        <w:tc>
          <w:tcPr>
            <w:tcW w:w="1567"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14:paraId="57BD0B5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firstLine="300" w:firstLineChars="100"/>
              <w:jc w:val="both"/>
              <w:textAlignment w:val="auto"/>
              <w:outlineLvl w:val="9"/>
              <w:rPr>
                <w:rFonts w:hint="eastAsia" w:ascii="仿宋_GB2312" w:hAnsi="仿宋_GB2312" w:eastAsia="仿宋_GB2312" w:cs="仿宋_GB2312"/>
              </w:rPr>
            </w:pPr>
            <w:r>
              <w:rPr>
                <w:rFonts w:hint="eastAsia" w:ascii="仿宋_GB2312" w:hAnsi="仿宋_GB2312" w:eastAsia="仿宋_GB2312" w:cs="仿宋_GB2312"/>
                <w:sz w:val="30"/>
                <w:szCs w:val="30"/>
                <w:lang w:val="en-US" w:eastAsia="zh-CN"/>
              </w:rPr>
              <w:t>2022</w:t>
            </w:r>
            <w:r>
              <w:rPr>
                <w:rFonts w:hint="eastAsia" w:ascii="仿宋_GB2312" w:hAnsi="仿宋_GB2312" w:eastAsia="仿宋_GB2312" w:cs="仿宋_GB2312"/>
                <w:sz w:val="30"/>
                <w:szCs w:val="30"/>
              </w:rPr>
              <w:t>年</w:t>
            </w:r>
          </w:p>
          <w:p w14:paraId="6E68521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firstLine="300" w:firstLineChars="100"/>
              <w:jc w:val="both"/>
              <w:textAlignment w:val="auto"/>
              <w:outlineLvl w:val="9"/>
              <w:rPr>
                <w:rFonts w:hint="eastAsia" w:ascii="仿宋_GB2312" w:hAnsi="仿宋_GB2312" w:eastAsia="仿宋_GB2312" w:cs="仿宋_GB2312"/>
              </w:rPr>
            </w:pPr>
            <w:r>
              <w:rPr>
                <w:rFonts w:hint="eastAsia" w:ascii="仿宋_GB2312" w:hAnsi="仿宋_GB2312" w:eastAsia="仿宋_GB2312" w:cs="仿宋_GB2312"/>
                <w:sz w:val="30"/>
                <w:szCs w:val="30"/>
              </w:rPr>
              <w:t>实际数</w:t>
            </w:r>
          </w:p>
        </w:tc>
        <w:tc>
          <w:tcPr>
            <w:tcW w:w="1642"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14:paraId="5D4B6B6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firstLine="300" w:firstLineChars="100"/>
              <w:jc w:val="both"/>
              <w:textAlignment w:val="auto"/>
              <w:outlineLvl w:val="9"/>
              <w:rPr>
                <w:rFonts w:hint="eastAsia" w:ascii="仿宋_GB2312" w:hAnsi="仿宋_GB2312" w:eastAsia="仿宋_GB2312" w:cs="仿宋_GB2312"/>
              </w:rPr>
            </w:pPr>
            <w:r>
              <w:rPr>
                <w:rFonts w:hint="eastAsia" w:ascii="仿宋_GB2312" w:hAnsi="仿宋_GB2312" w:eastAsia="仿宋_GB2312" w:cs="仿宋_GB2312"/>
                <w:sz w:val="30"/>
                <w:szCs w:val="30"/>
                <w:lang w:val="en-US" w:eastAsia="zh-CN"/>
              </w:rPr>
              <w:t>2022</w:t>
            </w:r>
            <w:r>
              <w:rPr>
                <w:rFonts w:hint="eastAsia" w:ascii="仿宋_GB2312" w:hAnsi="仿宋_GB2312" w:eastAsia="仿宋_GB2312" w:cs="仿宋_GB2312"/>
                <w:sz w:val="30"/>
                <w:szCs w:val="30"/>
              </w:rPr>
              <w:t>年</w:t>
            </w:r>
          </w:p>
          <w:p w14:paraId="56AA292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firstLine="300" w:firstLineChars="100"/>
              <w:jc w:val="both"/>
              <w:textAlignment w:val="auto"/>
              <w:outlineLvl w:val="9"/>
              <w:rPr>
                <w:rFonts w:hint="eastAsia" w:ascii="仿宋_GB2312" w:hAnsi="仿宋_GB2312" w:eastAsia="仿宋_GB2312" w:cs="仿宋_GB2312"/>
              </w:rPr>
            </w:pPr>
            <w:r>
              <w:rPr>
                <w:rFonts w:hint="eastAsia" w:ascii="仿宋_GB2312" w:hAnsi="仿宋_GB2312" w:eastAsia="仿宋_GB2312" w:cs="仿宋_GB2312"/>
                <w:sz w:val="30"/>
                <w:szCs w:val="30"/>
              </w:rPr>
              <w:t>控制数</w:t>
            </w:r>
          </w:p>
        </w:tc>
        <w:tc>
          <w:tcPr>
            <w:tcW w:w="1611"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14:paraId="4A162A7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firstLine="300" w:firstLineChars="100"/>
              <w:jc w:val="both"/>
              <w:textAlignment w:val="auto"/>
              <w:outlineLvl w:val="9"/>
              <w:rPr>
                <w:rFonts w:hint="eastAsia" w:ascii="仿宋_GB2312" w:hAnsi="仿宋_GB2312" w:eastAsia="仿宋_GB2312" w:cs="仿宋_GB2312"/>
              </w:rPr>
            </w:pPr>
            <w:r>
              <w:rPr>
                <w:rFonts w:hint="eastAsia" w:ascii="仿宋_GB2312" w:hAnsi="仿宋_GB2312" w:eastAsia="仿宋_GB2312" w:cs="仿宋_GB2312"/>
                <w:sz w:val="30"/>
                <w:szCs w:val="30"/>
                <w:lang w:val="en-US" w:eastAsia="zh-CN"/>
              </w:rPr>
              <w:t>2021</w:t>
            </w:r>
            <w:r>
              <w:rPr>
                <w:rFonts w:hint="eastAsia" w:ascii="仿宋_GB2312" w:hAnsi="仿宋_GB2312" w:eastAsia="仿宋_GB2312" w:cs="仿宋_GB2312"/>
                <w:sz w:val="30"/>
                <w:szCs w:val="30"/>
              </w:rPr>
              <w:t>年</w:t>
            </w:r>
          </w:p>
          <w:p w14:paraId="679784C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firstLine="300" w:firstLineChars="100"/>
              <w:jc w:val="both"/>
              <w:textAlignment w:val="auto"/>
              <w:outlineLvl w:val="9"/>
              <w:rPr>
                <w:rFonts w:hint="eastAsia" w:ascii="仿宋_GB2312" w:hAnsi="仿宋_GB2312" w:eastAsia="仿宋_GB2312" w:cs="仿宋_GB2312"/>
              </w:rPr>
            </w:pPr>
            <w:r>
              <w:rPr>
                <w:rFonts w:hint="eastAsia" w:ascii="仿宋_GB2312" w:hAnsi="仿宋_GB2312" w:eastAsia="仿宋_GB2312" w:cs="仿宋_GB2312"/>
                <w:sz w:val="30"/>
                <w:szCs w:val="30"/>
              </w:rPr>
              <w:t>实际数</w:t>
            </w:r>
          </w:p>
        </w:tc>
        <w:tc>
          <w:tcPr>
            <w:tcW w:w="1850"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14:paraId="442D919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firstLine="600" w:firstLineChars="20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增减</w:t>
            </w:r>
          </w:p>
          <w:p w14:paraId="79DF91C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firstLine="600" w:firstLineChars="200"/>
              <w:jc w:val="both"/>
              <w:textAlignment w:val="auto"/>
              <w:outlineLvl w:val="9"/>
              <w:rPr>
                <w:rFonts w:hint="eastAsia" w:ascii="仿宋_GB2312" w:hAnsi="仿宋_GB2312" w:eastAsia="仿宋_GB2312" w:cs="仿宋_GB2312"/>
              </w:rPr>
            </w:pPr>
            <w:r>
              <w:rPr>
                <w:rFonts w:hint="eastAsia" w:ascii="仿宋_GB2312" w:hAnsi="仿宋_GB2312" w:eastAsia="仿宋_GB2312" w:cs="仿宋_GB2312"/>
                <w:sz w:val="30"/>
                <w:szCs w:val="30"/>
              </w:rPr>
              <w:t>情况</w:t>
            </w:r>
          </w:p>
        </w:tc>
      </w:tr>
      <w:tr w14:paraId="4E301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733"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14:paraId="678CADE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jc w:val="both"/>
              <w:textAlignment w:val="auto"/>
              <w:outlineLvl w:val="9"/>
              <w:rPr>
                <w:rFonts w:hint="eastAsia" w:ascii="仿宋_GB2312" w:hAnsi="仿宋_GB2312" w:eastAsia="仿宋_GB2312" w:cs="仿宋_GB2312"/>
              </w:rPr>
            </w:pPr>
            <w:r>
              <w:rPr>
                <w:rFonts w:hint="eastAsia" w:ascii="仿宋_GB2312" w:hAnsi="仿宋_GB2312" w:eastAsia="仿宋_GB2312" w:cs="仿宋_GB2312"/>
                <w:sz w:val="30"/>
                <w:szCs w:val="30"/>
              </w:rPr>
              <w:t>公车运行费</w:t>
            </w:r>
          </w:p>
        </w:tc>
        <w:tc>
          <w:tcPr>
            <w:tcW w:w="1567"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14:paraId="64A0A43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firstLine="300" w:firstLineChars="100"/>
              <w:jc w:val="both"/>
              <w:textAlignment w:val="auto"/>
              <w:outlineLvl w:val="9"/>
              <w:rPr>
                <w:rFonts w:hint="default" w:ascii="仿宋_GB2312" w:hAnsi="仿宋_GB2312" w:eastAsia="仿宋_GB2312" w:cs="仿宋_GB2312"/>
                <w:lang w:val="en-US" w:eastAsia="zh-CN"/>
              </w:rPr>
            </w:pPr>
            <w:r>
              <w:rPr>
                <w:rFonts w:hint="eastAsia" w:ascii="仿宋_GB2312" w:hAnsi="仿宋_GB2312" w:eastAsia="仿宋_GB2312" w:cs="仿宋_GB2312"/>
                <w:sz w:val="30"/>
                <w:szCs w:val="30"/>
                <w:lang w:val="en-US" w:eastAsia="zh-CN"/>
              </w:rPr>
              <w:t>20.06</w:t>
            </w:r>
          </w:p>
        </w:tc>
        <w:tc>
          <w:tcPr>
            <w:tcW w:w="1642"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14:paraId="4E24649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firstLine="300" w:firstLineChars="100"/>
              <w:jc w:val="both"/>
              <w:textAlignment w:val="auto"/>
              <w:outlineLvl w:val="9"/>
              <w:rPr>
                <w:rFonts w:hint="default" w:ascii="仿宋_GB2312" w:hAnsi="仿宋_GB2312" w:eastAsia="仿宋_GB2312" w:cs="仿宋_GB2312"/>
                <w:lang w:val="en-US" w:eastAsia="zh-CN"/>
              </w:rPr>
            </w:pPr>
            <w:r>
              <w:rPr>
                <w:rFonts w:hint="eastAsia" w:ascii="仿宋_GB2312" w:hAnsi="仿宋_GB2312" w:eastAsia="仿宋_GB2312" w:cs="仿宋_GB2312"/>
                <w:sz w:val="30"/>
                <w:szCs w:val="30"/>
                <w:lang w:val="en-US" w:eastAsia="zh-CN"/>
              </w:rPr>
              <w:t>37.80</w:t>
            </w:r>
          </w:p>
        </w:tc>
        <w:tc>
          <w:tcPr>
            <w:tcW w:w="1611"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14:paraId="047D979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firstLine="300" w:firstLineChars="100"/>
              <w:jc w:val="both"/>
              <w:textAlignment w:val="auto"/>
              <w:outlineLvl w:val="9"/>
              <w:rPr>
                <w:rFonts w:hint="default" w:ascii="仿宋_GB2312" w:hAnsi="仿宋_GB2312" w:eastAsia="仿宋_GB2312" w:cs="仿宋_GB2312"/>
                <w:lang w:val="en-US" w:eastAsia="zh-CN"/>
              </w:rPr>
            </w:pPr>
            <w:r>
              <w:rPr>
                <w:rFonts w:hint="eastAsia" w:ascii="仿宋_GB2312" w:hAnsi="仿宋_GB2312" w:eastAsia="仿宋_GB2312" w:cs="仿宋_GB2312"/>
                <w:sz w:val="30"/>
                <w:szCs w:val="30"/>
                <w:lang w:val="en-US" w:eastAsia="zh-CN"/>
              </w:rPr>
              <w:t>17.34</w:t>
            </w:r>
          </w:p>
        </w:tc>
        <w:tc>
          <w:tcPr>
            <w:tcW w:w="1850"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14:paraId="09B651F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firstLine="600" w:firstLineChars="200"/>
              <w:jc w:val="both"/>
              <w:textAlignment w:val="auto"/>
              <w:outlineLvl w:val="9"/>
              <w:rPr>
                <w:rFonts w:hint="eastAsia" w:ascii="仿宋_GB2312" w:hAnsi="仿宋_GB2312" w:eastAsia="仿宋_GB2312" w:cs="仿宋_GB2312"/>
              </w:rPr>
            </w:pPr>
            <w:r>
              <w:rPr>
                <w:rFonts w:hint="eastAsia" w:ascii="仿宋_GB2312" w:hAnsi="仿宋_GB2312" w:eastAsia="仿宋_GB2312" w:cs="仿宋_GB2312"/>
                <w:sz w:val="30"/>
                <w:szCs w:val="30"/>
                <w:lang w:val="en-US" w:eastAsia="zh-CN"/>
              </w:rPr>
              <w:t>16</w:t>
            </w:r>
            <w:r>
              <w:rPr>
                <w:rFonts w:hint="eastAsia" w:ascii="仿宋_GB2312" w:hAnsi="仿宋_GB2312" w:eastAsia="仿宋_GB2312" w:cs="仿宋_GB2312"/>
                <w:sz w:val="30"/>
                <w:szCs w:val="30"/>
              </w:rPr>
              <w:t>%</w:t>
            </w:r>
          </w:p>
        </w:tc>
      </w:tr>
      <w:tr w14:paraId="60031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733"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14:paraId="3E26594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jc w:val="both"/>
              <w:textAlignment w:val="auto"/>
              <w:outlineLvl w:val="9"/>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公务接待费</w:t>
            </w:r>
          </w:p>
        </w:tc>
        <w:tc>
          <w:tcPr>
            <w:tcW w:w="1567"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14:paraId="4EA7765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firstLine="300" w:firstLineChars="100"/>
              <w:jc w:val="both"/>
              <w:textAlignment w:val="auto"/>
              <w:outlineLvl w:val="9"/>
              <w:rPr>
                <w:rFonts w:hint="default"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2.21</w:t>
            </w:r>
          </w:p>
        </w:tc>
        <w:tc>
          <w:tcPr>
            <w:tcW w:w="1642"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14:paraId="078460D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firstLine="300" w:firstLineChars="100"/>
              <w:jc w:val="both"/>
              <w:textAlignment w:val="auto"/>
              <w:outlineLvl w:val="9"/>
              <w:rPr>
                <w:rFonts w:hint="default" w:ascii="仿宋_GB2312" w:hAnsi="仿宋_GB2312" w:eastAsia="仿宋_GB2312" w:cs="仿宋_GB2312"/>
                <w:lang w:val="en-US" w:eastAsia="zh-CN"/>
              </w:rPr>
            </w:pPr>
            <w:r>
              <w:rPr>
                <w:rFonts w:hint="eastAsia" w:ascii="仿宋_GB2312" w:hAnsi="仿宋_GB2312" w:eastAsia="仿宋_GB2312" w:cs="仿宋_GB2312"/>
                <w:sz w:val="30"/>
                <w:szCs w:val="30"/>
                <w:lang w:val="en-US" w:eastAsia="zh-CN"/>
              </w:rPr>
              <w:t>116.74</w:t>
            </w:r>
          </w:p>
        </w:tc>
        <w:tc>
          <w:tcPr>
            <w:tcW w:w="1611"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14:paraId="14DFC80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firstLine="300" w:firstLineChars="100"/>
              <w:jc w:val="both"/>
              <w:textAlignment w:val="auto"/>
              <w:outlineLvl w:val="9"/>
              <w:rPr>
                <w:rFonts w:hint="default" w:ascii="仿宋_GB2312" w:hAnsi="仿宋_GB2312" w:eastAsia="仿宋_GB2312" w:cs="仿宋_GB2312"/>
                <w:lang w:val="en-US" w:eastAsia="zh-CN"/>
              </w:rPr>
            </w:pPr>
            <w:r>
              <w:rPr>
                <w:rFonts w:hint="eastAsia" w:ascii="仿宋_GB2312" w:hAnsi="仿宋_GB2312" w:eastAsia="仿宋_GB2312" w:cs="仿宋_GB2312"/>
                <w:sz w:val="30"/>
                <w:szCs w:val="30"/>
                <w:lang w:val="en-US" w:eastAsia="zh-CN"/>
              </w:rPr>
              <w:t>4.29</w:t>
            </w:r>
          </w:p>
        </w:tc>
        <w:tc>
          <w:tcPr>
            <w:tcW w:w="1850"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14:paraId="5B4F6B9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firstLine="600" w:firstLineChars="200"/>
              <w:jc w:val="both"/>
              <w:textAlignment w:val="auto"/>
              <w:outlineLvl w:val="9"/>
              <w:rPr>
                <w:rFonts w:hint="eastAsia" w:ascii="仿宋_GB2312" w:hAnsi="仿宋_GB2312" w:eastAsia="仿宋_GB2312" w:cs="仿宋_GB2312"/>
              </w:rPr>
            </w:pPr>
            <w:r>
              <w:rPr>
                <w:rFonts w:hint="eastAsia" w:ascii="仿宋_GB2312" w:hAnsi="仿宋_GB2312" w:eastAsia="仿宋_GB2312" w:cs="仿宋_GB2312"/>
                <w:sz w:val="30"/>
                <w:szCs w:val="30"/>
                <w:lang w:val="en-US" w:eastAsia="zh-CN"/>
              </w:rPr>
              <w:t>-48</w:t>
            </w:r>
            <w:r>
              <w:rPr>
                <w:rFonts w:hint="eastAsia" w:ascii="仿宋_GB2312" w:hAnsi="仿宋_GB2312" w:eastAsia="仿宋_GB2312" w:cs="仿宋_GB2312"/>
                <w:sz w:val="30"/>
                <w:szCs w:val="30"/>
              </w:rPr>
              <w:t>%</w:t>
            </w:r>
          </w:p>
        </w:tc>
      </w:tr>
      <w:tr w14:paraId="26E4C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733"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14:paraId="1A8939B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jc w:val="both"/>
              <w:textAlignment w:val="auto"/>
              <w:outlineLvl w:val="9"/>
              <w:rPr>
                <w:rFonts w:hint="eastAsia" w:ascii="仿宋_GB2312" w:hAnsi="仿宋_GB2312" w:eastAsia="仿宋_GB2312" w:cs="仿宋_GB2312"/>
              </w:rPr>
            </w:pPr>
            <w:r>
              <w:rPr>
                <w:rFonts w:hint="eastAsia" w:ascii="仿宋_GB2312" w:hAnsi="仿宋_GB2312" w:eastAsia="仿宋_GB2312" w:cs="仿宋_GB2312"/>
                <w:sz w:val="30"/>
                <w:szCs w:val="30"/>
              </w:rPr>
              <w:t>出国费</w:t>
            </w:r>
          </w:p>
        </w:tc>
        <w:tc>
          <w:tcPr>
            <w:tcW w:w="1567"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14:paraId="259F0F4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jc w:val="both"/>
              <w:textAlignment w:val="auto"/>
              <w:outlineLvl w:val="9"/>
              <w:rPr>
                <w:rFonts w:hint="eastAsia" w:ascii="仿宋_GB2312" w:hAnsi="仿宋_GB2312" w:eastAsia="仿宋_GB2312" w:cs="仿宋_GB2312"/>
              </w:rPr>
            </w:pPr>
            <w:r>
              <w:rPr>
                <w:rFonts w:hint="eastAsia" w:ascii="仿宋_GB2312" w:hAnsi="仿宋_GB2312" w:eastAsia="仿宋_GB2312" w:cs="仿宋_GB2312"/>
                <w:sz w:val="30"/>
                <w:szCs w:val="30"/>
              </w:rPr>
              <w:t> </w:t>
            </w:r>
          </w:p>
        </w:tc>
        <w:tc>
          <w:tcPr>
            <w:tcW w:w="1642"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14:paraId="0F31978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jc w:val="both"/>
              <w:textAlignment w:val="auto"/>
              <w:outlineLvl w:val="9"/>
              <w:rPr>
                <w:rFonts w:hint="eastAsia" w:ascii="仿宋_GB2312" w:hAnsi="仿宋_GB2312" w:eastAsia="仿宋_GB2312" w:cs="仿宋_GB2312"/>
              </w:rPr>
            </w:pPr>
            <w:r>
              <w:rPr>
                <w:rFonts w:hint="eastAsia" w:ascii="仿宋_GB2312" w:hAnsi="仿宋_GB2312" w:eastAsia="仿宋_GB2312" w:cs="仿宋_GB2312"/>
                <w:sz w:val="30"/>
                <w:szCs w:val="30"/>
              </w:rPr>
              <w:t> </w:t>
            </w:r>
          </w:p>
        </w:tc>
        <w:tc>
          <w:tcPr>
            <w:tcW w:w="1611"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14:paraId="2702137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jc w:val="both"/>
              <w:textAlignment w:val="auto"/>
              <w:outlineLvl w:val="9"/>
              <w:rPr>
                <w:rFonts w:hint="eastAsia" w:ascii="仿宋_GB2312" w:hAnsi="仿宋_GB2312" w:eastAsia="仿宋_GB2312" w:cs="仿宋_GB2312"/>
              </w:rPr>
            </w:pPr>
            <w:r>
              <w:rPr>
                <w:rFonts w:hint="eastAsia" w:ascii="仿宋_GB2312" w:hAnsi="仿宋_GB2312" w:eastAsia="仿宋_GB2312" w:cs="仿宋_GB2312"/>
                <w:sz w:val="30"/>
                <w:szCs w:val="30"/>
              </w:rPr>
              <w:t> </w:t>
            </w:r>
          </w:p>
        </w:tc>
        <w:tc>
          <w:tcPr>
            <w:tcW w:w="1850"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14:paraId="54BAE0B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jc w:val="both"/>
              <w:textAlignment w:val="auto"/>
              <w:outlineLvl w:val="9"/>
              <w:rPr>
                <w:rFonts w:hint="eastAsia" w:ascii="仿宋_GB2312" w:hAnsi="仿宋_GB2312" w:eastAsia="仿宋_GB2312" w:cs="仿宋_GB2312"/>
              </w:rPr>
            </w:pPr>
            <w:r>
              <w:rPr>
                <w:rFonts w:hint="eastAsia" w:ascii="仿宋_GB2312" w:hAnsi="仿宋_GB2312" w:eastAsia="仿宋_GB2312" w:cs="仿宋_GB2312"/>
                <w:sz w:val="30"/>
                <w:szCs w:val="30"/>
              </w:rPr>
              <w:t> </w:t>
            </w:r>
          </w:p>
        </w:tc>
      </w:tr>
      <w:tr w14:paraId="510D2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733"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14:paraId="06319EE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jc w:val="both"/>
              <w:textAlignment w:val="auto"/>
              <w:outlineLvl w:val="9"/>
              <w:rPr>
                <w:rFonts w:hint="eastAsia" w:ascii="仿宋_GB2312" w:hAnsi="仿宋_GB2312" w:eastAsia="仿宋_GB2312" w:cs="仿宋_GB2312"/>
              </w:rPr>
            </w:pPr>
            <w:r>
              <w:rPr>
                <w:rFonts w:hint="eastAsia" w:ascii="仿宋_GB2312" w:hAnsi="仿宋_GB2312" w:eastAsia="仿宋_GB2312" w:cs="仿宋_GB2312"/>
                <w:sz w:val="30"/>
                <w:szCs w:val="30"/>
              </w:rPr>
              <w:t>公车购置费</w:t>
            </w:r>
          </w:p>
        </w:tc>
        <w:tc>
          <w:tcPr>
            <w:tcW w:w="1567"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14:paraId="0888CBF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jc w:val="both"/>
              <w:textAlignment w:val="auto"/>
              <w:outlineLvl w:val="9"/>
              <w:rPr>
                <w:rFonts w:hint="eastAsia" w:ascii="仿宋_GB2312" w:hAnsi="仿宋_GB2312" w:eastAsia="仿宋_GB2312" w:cs="仿宋_GB2312"/>
              </w:rPr>
            </w:pPr>
            <w:r>
              <w:rPr>
                <w:rFonts w:hint="eastAsia" w:ascii="仿宋_GB2312" w:hAnsi="仿宋_GB2312" w:eastAsia="仿宋_GB2312" w:cs="仿宋_GB2312"/>
                <w:sz w:val="30"/>
                <w:szCs w:val="30"/>
              </w:rPr>
              <w:t> </w:t>
            </w:r>
          </w:p>
        </w:tc>
        <w:tc>
          <w:tcPr>
            <w:tcW w:w="1642"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14:paraId="59470F9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jc w:val="both"/>
              <w:textAlignment w:val="auto"/>
              <w:outlineLvl w:val="9"/>
              <w:rPr>
                <w:rFonts w:hint="eastAsia" w:ascii="仿宋_GB2312" w:hAnsi="仿宋_GB2312" w:eastAsia="仿宋_GB2312" w:cs="仿宋_GB2312"/>
              </w:rPr>
            </w:pPr>
            <w:r>
              <w:rPr>
                <w:rFonts w:hint="eastAsia" w:ascii="仿宋_GB2312" w:hAnsi="仿宋_GB2312" w:eastAsia="仿宋_GB2312" w:cs="仿宋_GB2312"/>
                <w:sz w:val="30"/>
                <w:szCs w:val="30"/>
              </w:rPr>
              <w:t> </w:t>
            </w:r>
          </w:p>
        </w:tc>
        <w:tc>
          <w:tcPr>
            <w:tcW w:w="1611"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14:paraId="1F6C384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jc w:val="both"/>
              <w:textAlignment w:val="auto"/>
              <w:outlineLvl w:val="9"/>
              <w:rPr>
                <w:rFonts w:hint="eastAsia" w:ascii="仿宋_GB2312" w:hAnsi="仿宋_GB2312" w:eastAsia="仿宋_GB2312" w:cs="仿宋_GB2312"/>
              </w:rPr>
            </w:pPr>
            <w:r>
              <w:rPr>
                <w:rFonts w:hint="eastAsia" w:ascii="仿宋_GB2312" w:hAnsi="仿宋_GB2312" w:eastAsia="仿宋_GB2312" w:cs="仿宋_GB2312"/>
                <w:sz w:val="30"/>
                <w:szCs w:val="30"/>
              </w:rPr>
              <w:t> </w:t>
            </w:r>
          </w:p>
        </w:tc>
        <w:tc>
          <w:tcPr>
            <w:tcW w:w="1850"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14:paraId="128B0F5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jc w:val="both"/>
              <w:textAlignment w:val="auto"/>
              <w:outlineLvl w:val="9"/>
              <w:rPr>
                <w:rFonts w:hint="eastAsia" w:ascii="仿宋_GB2312" w:hAnsi="仿宋_GB2312" w:eastAsia="仿宋_GB2312" w:cs="仿宋_GB2312"/>
              </w:rPr>
            </w:pPr>
            <w:r>
              <w:rPr>
                <w:rFonts w:hint="eastAsia" w:ascii="仿宋_GB2312" w:hAnsi="仿宋_GB2312" w:eastAsia="仿宋_GB2312" w:cs="仿宋_GB2312"/>
                <w:sz w:val="30"/>
                <w:szCs w:val="30"/>
              </w:rPr>
              <w:t> </w:t>
            </w:r>
          </w:p>
        </w:tc>
      </w:tr>
    </w:tbl>
    <w:p w14:paraId="729AE67F">
      <w:pPr>
        <w:pStyle w:val="2"/>
        <w:keepNext w:val="0"/>
        <w:keepLines w:val="0"/>
        <w:widowControl/>
        <w:suppressLineNumbers w:val="0"/>
        <w:spacing w:before="0" w:beforeAutospacing="0" w:after="0" w:afterAutospacing="0" w:line="375" w:lineRule="atLeast"/>
        <w:ind w:left="0" w:leftChars="0" w:right="0" w:firstLine="640" w:firstLineChars="200"/>
        <w:jc w:val="both"/>
        <w:rPr>
          <w:rFonts w:hint="eastAsia" w:ascii="仿宋_GB2312" w:hAnsi="仿宋_GB2312" w:eastAsia="仿宋_GB2312" w:cs="仿宋_GB2312"/>
          <w:sz w:val="30"/>
          <w:szCs w:val="30"/>
        </w:rPr>
      </w:pPr>
      <w:r>
        <w:rPr>
          <w:rFonts w:hint="eastAsia" w:ascii="仿宋_GB2312" w:hAnsi="仿宋_GB2312" w:eastAsia="仿宋_GB2312" w:cs="仿宋_GB2312"/>
          <w:color w:val="313131"/>
          <w:sz w:val="32"/>
          <w:szCs w:val="32"/>
        </w:rPr>
        <w:t> </w:t>
      </w:r>
      <w:r>
        <w:rPr>
          <w:rFonts w:hint="eastAsia" w:ascii="仿宋_GB2312" w:hAnsi="仿宋_GB2312" w:eastAsia="仿宋_GB2312" w:cs="仿宋_GB2312"/>
          <w:color w:val="313131"/>
          <w:sz w:val="30"/>
          <w:szCs w:val="30"/>
        </w:rPr>
        <w:t> 在支出管理方面，</w:t>
      </w:r>
      <w:r>
        <w:rPr>
          <w:rFonts w:hint="eastAsia" w:ascii="仿宋_GB2312" w:hAnsi="仿宋_GB2312" w:eastAsia="仿宋_GB2312" w:cs="仿宋_GB2312"/>
          <w:b/>
          <w:color w:val="313131"/>
          <w:sz w:val="30"/>
          <w:szCs w:val="30"/>
        </w:rPr>
        <w:t>一是完善制度，规范管理。</w:t>
      </w:r>
      <w:r>
        <w:rPr>
          <w:rFonts w:hint="eastAsia" w:ascii="仿宋_GB2312" w:hAnsi="仿宋_GB2312" w:eastAsia="仿宋_GB2312" w:cs="仿宋_GB2312"/>
          <w:color w:val="313131"/>
          <w:sz w:val="30"/>
          <w:szCs w:val="30"/>
        </w:rPr>
        <w:t>坚决贯彻落实省委省政府关于党政机关厉行节约工作的有关精神，</w:t>
      </w:r>
      <w:r>
        <w:rPr>
          <w:rFonts w:hint="eastAsia" w:ascii="仿宋_GB2312" w:hAnsi="仿宋_GB2312" w:eastAsia="仿宋_GB2312" w:cs="仿宋_GB2312"/>
          <w:color w:val="313131"/>
          <w:sz w:val="30"/>
          <w:szCs w:val="30"/>
          <w:lang w:eastAsia="zh-CN"/>
        </w:rPr>
        <w:t>认真</w:t>
      </w:r>
      <w:r>
        <w:rPr>
          <w:rFonts w:hint="eastAsia" w:ascii="仿宋_GB2312" w:hAnsi="仿宋_GB2312" w:eastAsia="仿宋_GB2312" w:cs="仿宋_GB2312"/>
          <w:color w:val="313131"/>
          <w:sz w:val="30"/>
          <w:szCs w:val="30"/>
        </w:rPr>
        <w:t>执行中央“八项规定”、省委“九项规定”的要求，加强机关财务管理，严格控制单位行政运行支出；</w:t>
      </w:r>
      <w:r>
        <w:rPr>
          <w:rFonts w:hint="eastAsia" w:ascii="仿宋_GB2312" w:hAnsi="仿宋_GB2312" w:eastAsia="仿宋_GB2312" w:cs="仿宋_GB2312"/>
          <w:b/>
          <w:color w:val="313131"/>
          <w:sz w:val="30"/>
          <w:szCs w:val="30"/>
        </w:rPr>
        <w:t>二是严格执行预算，控制各项支出。</w:t>
      </w:r>
      <w:r>
        <w:rPr>
          <w:rFonts w:hint="eastAsia" w:ascii="仿宋_GB2312" w:hAnsi="仿宋_GB2312" w:eastAsia="仿宋_GB2312" w:cs="仿宋_GB2312"/>
          <w:color w:val="313131"/>
          <w:sz w:val="30"/>
          <w:szCs w:val="30"/>
        </w:rPr>
        <w:t>公务支出执行公务卡结算制度，做到全覆盖；出国费全年支出为0；车辆管理方面，所有公车实行定点维修、统一加油和统一报废制度，公车使用执行派车单制度，节假日公车统一停放在指定位置；公务接待执行公函</w:t>
      </w:r>
      <w:r>
        <w:rPr>
          <w:rFonts w:hint="eastAsia" w:ascii="仿宋_GB2312" w:hAnsi="仿宋_GB2312" w:eastAsia="仿宋_GB2312" w:cs="仿宋_GB2312"/>
          <w:color w:val="313131"/>
          <w:sz w:val="30"/>
          <w:szCs w:val="30"/>
          <w:lang w:eastAsia="zh-CN"/>
        </w:rPr>
        <w:t>、</w:t>
      </w:r>
      <w:r>
        <w:rPr>
          <w:rFonts w:hint="eastAsia" w:ascii="仿宋_GB2312" w:hAnsi="仿宋_GB2312" w:eastAsia="仿宋_GB2312" w:cs="仿宋_GB2312"/>
          <w:color w:val="313131"/>
          <w:sz w:val="30"/>
          <w:szCs w:val="30"/>
        </w:rPr>
        <w:t>菜单、接待清单和审批制度，严格控制接待指标、范围和次数，严禁大吃大喝、铺张浪费；机关大宗商品购置一律按政府采购规定实施，耗材及办公用品实行</w:t>
      </w:r>
      <w:r>
        <w:rPr>
          <w:rFonts w:hint="eastAsia" w:ascii="仿宋_GB2312" w:hAnsi="仿宋_GB2312" w:eastAsia="仿宋_GB2312" w:cs="仿宋_GB2312"/>
          <w:color w:val="313131"/>
          <w:sz w:val="30"/>
          <w:szCs w:val="30"/>
          <w:lang w:eastAsia="zh-CN"/>
        </w:rPr>
        <w:t>政彩云</w:t>
      </w:r>
      <w:r>
        <w:rPr>
          <w:rFonts w:hint="eastAsia" w:ascii="仿宋_GB2312" w:hAnsi="仿宋_GB2312" w:eastAsia="仿宋_GB2312" w:cs="仿宋_GB2312"/>
          <w:color w:val="313131"/>
          <w:sz w:val="30"/>
          <w:szCs w:val="30"/>
        </w:rPr>
        <w:t>采购；加强差旅费的管理，实行出差申报审批制度，控制出差人数和天数，严禁无明确公务目的的差旅活动。</w:t>
      </w:r>
    </w:p>
    <w:p w14:paraId="11C5ABDC">
      <w:pPr>
        <w:widowControl/>
        <w:shd w:val="clear" w:color="auto" w:fill="FFFFFF"/>
        <w:spacing w:line="600" w:lineRule="atLeast"/>
        <w:ind w:firstLine="643"/>
        <w:rPr>
          <w:rFonts w:ascii="楷体" w:hAnsi="楷体" w:eastAsia="楷体"/>
          <w:b/>
          <w:spacing w:val="-2"/>
          <w:sz w:val="32"/>
          <w:szCs w:val="21"/>
        </w:rPr>
      </w:pPr>
      <w:r>
        <w:rPr>
          <w:rFonts w:ascii="楷体" w:hAnsi="楷体" w:eastAsia="楷体"/>
          <w:b/>
          <w:spacing w:val="-2"/>
          <w:sz w:val="32"/>
          <w:szCs w:val="32"/>
        </w:rPr>
        <w:t>（二）专项支出</w:t>
      </w:r>
    </w:p>
    <w:p w14:paraId="3A93CB78">
      <w:pPr>
        <w:widowControl/>
        <w:shd w:val="clear" w:color="auto" w:fill="FFFFFF"/>
        <w:spacing w:line="600" w:lineRule="atLeast"/>
        <w:ind w:firstLine="640"/>
        <w:rPr>
          <w:rFonts w:ascii="仿宋" w:hAnsi="仿宋" w:eastAsia="仿宋"/>
          <w:spacing w:val="-2"/>
          <w:sz w:val="32"/>
          <w:szCs w:val="21"/>
        </w:rPr>
      </w:pPr>
      <w:r>
        <w:rPr>
          <w:rFonts w:hint="eastAsia" w:ascii="仿宋_GB2312" w:hAnsi="仿宋_GB2312" w:eastAsia="仿宋_GB2312" w:cs="仿宋_GB2312"/>
          <w:color w:val="313131"/>
          <w:kern w:val="0"/>
          <w:sz w:val="30"/>
          <w:szCs w:val="30"/>
          <w:lang w:val="en-US" w:eastAsia="zh-CN" w:bidi="ar-SA"/>
        </w:rPr>
        <w:t>1、2022年项目支出预算共计1754.60万元，其中：专项业务（工作）经费531.6万元，政府投审分离专项经费415万元，非税票据专项经费120万元，市本级电子财政建设运行维护经费100万元，财源综合信息平台综合治理经费48万元，收入征管经费540万元。</w:t>
      </w:r>
    </w:p>
    <w:p w14:paraId="3A884F6D">
      <w:pPr>
        <w:widowControl/>
        <w:shd w:val="clear" w:color="auto" w:fill="FFFFFF"/>
        <w:spacing w:line="600" w:lineRule="atLeast"/>
        <w:ind w:firstLine="640"/>
        <w:rPr>
          <w:rFonts w:hint="default" w:ascii="仿宋_GB2312" w:hAnsi="仿宋_GB2312" w:eastAsia="仿宋_GB2312" w:cs="仿宋_GB2312"/>
          <w:color w:val="313131"/>
          <w:kern w:val="0"/>
          <w:sz w:val="30"/>
          <w:szCs w:val="30"/>
          <w:lang w:val="en-US" w:eastAsia="zh-CN" w:bidi="ar-SA"/>
        </w:rPr>
      </w:pPr>
      <w:r>
        <w:rPr>
          <w:rFonts w:ascii="仿宋" w:hAnsi="仿宋" w:eastAsia="仿宋"/>
          <w:spacing w:val="-2"/>
          <w:sz w:val="32"/>
          <w:szCs w:val="32"/>
        </w:rPr>
        <w:t>2、</w:t>
      </w:r>
      <w:r>
        <w:rPr>
          <w:rFonts w:hint="eastAsia" w:ascii="仿宋_GB2312" w:hAnsi="仿宋_GB2312" w:eastAsia="仿宋_GB2312" w:cs="仿宋_GB2312"/>
          <w:color w:val="313131"/>
          <w:kern w:val="0"/>
          <w:sz w:val="30"/>
          <w:szCs w:val="30"/>
          <w:lang w:val="en-US" w:eastAsia="zh-CN" w:bidi="ar-SA"/>
        </w:rPr>
        <w:t>2022年项目支出共计1423.43万元，其中：专项业务（工作）经费246.28万元，为2022年新增项目支出；收入征管经费621.68万元，为2022年新增项目支出；政府投审分离专项经费259.51万元，较上年下降21.27%；非税票据专项经费119.31万元，较上年增长12.85%；市本级电子财政建设运行维护经费58.33万元，较上年增长26.09%；财源综合信息平台综合治理经费4.35万元，较上年增长256.56%。</w:t>
      </w:r>
    </w:p>
    <w:p w14:paraId="00EA7326">
      <w:pPr>
        <w:widowControl/>
        <w:shd w:val="clear" w:color="auto" w:fill="FFFFFF"/>
        <w:spacing w:line="600" w:lineRule="atLeast"/>
        <w:ind w:firstLine="640"/>
        <w:rPr>
          <w:rFonts w:ascii="仿宋" w:hAnsi="仿宋" w:eastAsia="仿宋"/>
          <w:spacing w:val="-2"/>
          <w:sz w:val="32"/>
          <w:szCs w:val="21"/>
        </w:rPr>
      </w:pPr>
      <w:r>
        <w:rPr>
          <w:rFonts w:ascii="仿宋" w:hAnsi="仿宋" w:eastAsia="仿宋"/>
          <w:spacing w:val="-2"/>
          <w:sz w:val="32"/>
          <w:szCs w:val="32"/>
        </w:rPr>
        <w:t>3、</w:t>
      </w:r>
      <w:r>
        <w:rPr>
          <w:rFonts w:hint="eastAsia" w:ascii="仿宋_GB2312" w:hAnsi="仿宋_GB2312" w:eastAsia="仿宋_GB2312" w:cs="仿宋_GB2312"/>
          <w:color w:val="313131"/>
          <w:kern w:val="0"/>
          <w:sz w:val="30"/>
          <w:szCs w:val="30"/>
          <w:lang w:val="en-US" w:eastAsia="zh-CN" w:bidi="ar-SA"/>
        </w:rPr>
        <w:t>项目支出资金的使用按照《怀化市财政投资评审管理办公室评审聘用人员管理办法》的通知、《湖南省财政厅关于取消财政票据工本费的通知》等相关文件规定。严格执行机关财务制度，控制项目支出的使用范围。</w:t>
      </w:r>
    </w:p>
    <w:p w14:paraId="3BD1C95A">
      <w:pPr>
        <w:pStyle w:val="2"/>
        <w:keepNext w:val="0"/>
        <w:keepLines w:val="0"/>
        <w:widowControl/>
        <w:suppressLineNumbers w:val="0"/>
        <w:spacing w:before="0" w:beforeAutospacing="0" w:after="0" w:afterAutospacing="0" w:line="375" w:lineRule="atLeast"/>
        <w:ind w:left="0" w:right="0" w:firstLine="640"/>
        <w:jc w:val="both"/>
        <w:rPr>
          <w:rFonts w:hint="eastAsia" w:ascii="仿宋_GB2312" w:hAnsi="仿宋_GB2312" w:eastAsia="仿宋_GB2312" w:cs="仿宋_GB2312"/>
          <w:sz w:val="30"/>
          <w:szCs w:val="30"/>
        </w:rPr>
      </w:pPr>
      <w:r>
        <w:rPr>
          <w:rFonts w:hint="eastAsia" w:ascii="黑体" w:hAnsi="微软雅黑" w:eastAsia="黑体" w:cs="黑体"/>
          <w:color w:val="313131"/>
          <w:sz w:val="30"/>
          <w:szCs w:val="30"/>
        </w:rPr>
        <w:t>三、资产管理情况</w:t>
      </w:r>
    </w:p>
    <w:p w14:paraId="51827E8C">
      <w:pPr>
        <w:pStyle w:val="2"/>
        <w:keepNext w:val="0"/>
        <w:keepLines w:val="0"/>
        <w:widowControl/>
        <w:suppressLineNumbers w:val="0"/>
        <w:spacing w:before="0" w:beforeAutospacing="0" w:after="0" w:afterAutospacing="0" w:line="375" w:lineRule="atLeast"/>
        <w:ind w:left="0" w:right="0" w:firstLine="640"/>
        <w:jc w:val="both"/>
        <w:rPr>
          <w:rFonts w:hint="eastAsia" w:ascii="仿宋_GB2312" w:hAnsi="仿宋_GB2312" w:eastAsia="仿宋_GB2312" w:cs="仿宋_GB2312"/>
          <w:sz w:val="30"/>
          <w:szCs w:val="30"/>
        </w:rPr>
      </w:pPr>
      <w:r>
        <w:rPr>
          <w:rFonts w:hint="eastAsia" w:ascii="仿宋_GB2312" w:hAnsi="仿宋_GB2312" w:eastAsia="仿宋_GB2312" w:cs="仿宋_GB2312"/>
          <w:color w:val="313131"/>
          <w:sz w:val="30"/>
          <w:szCs w:val="30"/>
        </w:rPr>
        <w:t>制定了详细的资产管理办法，对资产采购、保管、处置都有详细的规定，做到资产统一采购、专人管理、定期盘点、集中处置，确保资产账账相符、账实相符。</w:t>
      </w:r>
    </w:p>
    <w:p w14:paraId="5B38229C">
      <w:pPr>
        <w:widowControl/>
        <w:shd w:val="clear" w:color="auto" w:fill="FFFFFF"/>
        <w:spacing w:line="600" w:lineRule="atLeast"/>
        <w:ind w:firstLine="640"/>
        <w:rPr>
          <w:rFonts w:ascii="楷体" w:hAnsi="楷体" w:eastAsia="楷体"/>
          <w:b/>
          <w:spacing w:val="-2"/>
          <w:sz w:val="32"/>
          <w:szCs w:val="21"/>
        </w:rPr>
      </w:pPr>
      <w:r>
        <w:rPr>
          <w:rFonts w:hint="eastAsia" w:ascii="楷体" w:hAnsi="楷体" w:eastAsia="楷体"/>
          <w:b/>
          <w:spacing w:val="-2"/>
          <w:sz w:val="32"/>
          <w:szCs w:val="32"/>
          <w:lang w:eastAsia="zh-CN"/>
        </w:rPr>
        <w:t>四</w:t>
      </w:r>
      <w:r>
        <w:rPr>
          <w:rFonts w:ascii="楷体" w:hAnsi="楷体" w:eastAsia="楷体"/>
          <w:b/>
          <w:spacing w:val="-2"/>
          <w:sz w:val="32"/>
          <w:szCs w:val="32"/>
        </w:rPr>
        <w:t>、部门整体支出绩效情况</w:t>
      </w:r>
    </w:p>
    <w:p w14:paraId="0DC8CB4A">
      <w:pPr>
        <w:pStyle w:val="2"/>
        <w:keepNext w:val="0"/>
        <w:keepLines w:val="0"/>
        <w:widowControl/>
        <w:suppressLineNumbers w:val="0"/>
        <w:spacing w:before="0" w:beforeAutospacing="0" w:after="0" w:afterAutospacing="0" w:line="375" w:lineRule="atLeast"/>
        <w:ind w:left="0" w:right="0" w:firstLine="640"/>
        <w:jc w:val="both"/>
        <w:rPr>
          <w:rFonts w:hint="eastAsia" w:ascii="仿宋_GB2312" w:hAnsi="仿宋_GB2312" w:eastAsia="仿宋_GB2312" w:cs="仿宋_GB2312"/>
          <w:color w:val="313131"/>
          <w:kern w:val="0"/>
          <w:sz w:val="30"/>
          <w:szCs w:val="30"/>
          <w:lang w:val="en-US" w:eastAsia="zh-CN" w:bidi="ar-SA"/>
        </w:rPr>
      </w:pPr>
      <w:r>
        <w:rPr>
          <w:rFonts w:hint="eastAsia" w:ascii="仿宋_GB2312" w:hAnsi="仿宋_GB2312" w:eastAsia="仿宋_GB2312" w:cs="仿宋_GB2312"/>
          <w:color w:val="313131"/>
          <w:kern w:val="0"/>
          <w:sz w:val="30"/>
          <w:szCs w:val="30"/>
          <w:lang w:val="en-US" w:eastAsia="zh-CN" w:bidi="ar-SA"/>
        </w:rPr>
        <w:t>（1）</w:t>
      </w:r>
      <w:r>
        <w:rPr>
          <w:rFonts w:hint="default" w:ascii="仿宋_GB2312" w:hAnsi="仿宋_GB2312" w:eastAsia="仿宋_GB2312" w:cs="仿宋_GB2312"/>
          <w:color w:val="313131"/>
          <w:kern w:val="0"/>
          <w:sz w:val="30"/>
          <w:szCs w:val="30"/>
          <w:lang w:val="en-US" w:eastAsia="zh-CN" w:bidi="ar-SA"/>
        </w:rPr>
        <w:t>效率分析</w:t>
      </w:r>
    </w:p>
    <w:p w14:paraId="3AC7ABAC">
      <w:pPr>
        <w:pStyle w:val="2"/>
        <w:keepNext w:val="0"/>
        <w:keepLines w:val="0"/>
        <w:widowControl/>
        <w:suppressLineNumbers w:val="0"/>
        <w:spacing w:before="0" w:beforeAutospacing="0" w:after="0" w:afterAutospacing="0" w:line="375" w:lineRule="atLeast"/>
        <w:ind w:left="0" w:right="0" w:firstLine="640"/>
        <w:jc w:val="both"/>
        <w:rPr>
          <w:rFonts w:hint="eastAsia" w:ascii="仿宋_GB2312" w:hAnsi="仿宋_GB2312" w:eastAsia="仿宋_GB2312" w:cs="仿宋_GB2312"/>
          <w:color w:val="313131"/>
          <w:sz w:val="30"/>
          <w:szCs w:val="30"/>
        </w:rPr>
      </w:pPr>
      <w:r>
        <w:rPr>
          <w:rFonts w:hint="eastAsia" w:ascii="仿宋_GB2312" w:hAnsi="仿宋_GB2312" w:eastAsia="仿宋_GB2312" w:cs="仿宋_GB2312"/>
          <w:color w:val="313131"/>
          <w:sz w:val="30"/>
          <w:szCs w:val="30"/>
          <w:lang w:val="en-US" w:eastAsia="zh-CN"/>
        </w:rPr>
        <w:t>圆满完成</w:t>
      </w:r>
      <w:r>
        <w:rPr>
          <w:rFonts w:hint="default" w:ascii="仿宋_GB2312" w:hAnsi="仿宋_GB2312" w:eastAsia="仿宋_GB2312" w:cs="仿宋_GB2312"/>
          <w:color w:val="313131"/>
          <w:sz w:val="30"/>
          <w:szCs w:val="30"/>
          <w:lang w:val="en-US" w:eastAsia="zh-CN"/>
        </w:rPr>
        <w:t>收入</w:t>
      </w:r>
      <w:r>
        <w:rPr>
          <w:rFonts w:hint="eastAsia" w:ascii="仿宋_GB2312" w:hAnsi="仿宋_GB2312" w:eastAsia="仿宋_GB2312" w:cs="仿宋_GB2312"/>
          <w:color w:val="313131"/>
          <w:sz w:val="30"/>
          <w:szCs w:val="30"/>
          <w:lang w:val="en-US" w:eastAsia="zh-CN"/>
        </w:rPr>
        <w:t>任务</w:t>
      </w:r>
      <w:r>
        <w:rPr>
          <w:rFonts w:hint="default" w:ascii="仿宋_GB2312" w:hAnsi="仿宋_GB2312" w:eastAsia="仿宋_GB2312" w:cs="仿宋_GB2312"/>
          <w:color w:val="313131"/>
          <w:sz w:val="30"/>
          <w:szCs w:val="30"/>
          <w:lang w:val="en-US" w:eastAsia="zh-CN"/>
        </w:rPr>
        <w:t>。</w:t>
      </w:r>
      <w:r>
        <w:rPr>
          <w:rFonts w:hint="eastAsia" w:ascii="仿宋_GB2312" w:hAnsi="仿宋_GB2312" w:eastAsia="仿宋_GB2312" w:cs="仿宋_GB2312"/>
          <w:color w:val="313131"/>
          <w:sz w:val="30"/>
          <w:szCs w:val="30"/>
          <w:lang w:val="en-US" w:eastAsia="zh-CN"/>
        </w:rPr>
        <w:t>2022年，</w:t>
      </w:r>
      <w:r>
        <w:rPr>
          <w:rFonts w:hint="eastAsia" w:ascii="仿宋_GB2312" w:hAnsi="仿宋_GB2312" w:eastAsia="仿宋_GB2312" w:cs="仿宋_GB2312"/>
          <w:color w:val="313131"/>
          <w:sz w:val="30"/>
          <w:szCs w:val="30"/>
        </w:rPr>
        <w:t>全市完成地方一般公共预算收入119.56亿元，同比增长6.77%，增幅</w:t>
      </w:r>
      <w:r>
        <w:rPr>
          <w:rFonts w:hint="eastAsia" w:ascii="仿宋_GB2312" w:hAnsi="仿宋_GB2312" w:eastAsia="仿宋_GB2312" w:cs="仿宋_GB2312"/>
          <w:color w:val="313131"/>
          <w:sz w:val="30"/>
          <w:szCs w:val="30"/>
          <w:lang w:eastAsia="zh-CN"/>
        </w:rPr>
        <w:t>居</w:t>
      </w:r>
      <w:r>
        <w:rPr>
          <w:rFonts w:hint="eastAsia" w:ascii="仿宋_GB2312" w:hAnsi="仿宋_GB2312" w:eastAsia="仿宋_GB2312" w:cs="仿宋_GB2312"/>
          <w:color w:val="313131"/>
          <w:sz w:val="30"/>
          <w:szCs w:val="30"/>
        </w:rPr>
        <w:t>全省第6位；完成地方税收83.74亿元，同比增长5.95%，增幅</w:t>
      </w:r>
      <w:r>
        <w:rPr>
          <w:rFonts w:hint="eastAsia" w:ascii="仿宋_GB2312" w:hAnsi="仿宋_GB2312" w:eastAsia="仿宋_GB2312" w:cs="仿宋_GB2312"/>
          <w:color w:val="313131"/>
          <w:sz w:val="30"/>
          <w:szCs w:val="30"/>
          <w:lang w:eastAsia="zh-CN"/>
        </w:rPr>
        <w:t>居</w:t>
      </w:r>
      <w:r>
        <w:rPr>
          <w:rFonts w:hint="eastAsia" w:ascii="仿宋_GB2312" w:hAnsi="仿宋_GB2312" w:eastAsia="仿宋_GB2312" w:cs="仿宋_GB2312"/>
          <w:color w:val="313131"/>
          <w:sz w:val="30"/>
          <w:szCs w:val="30"/>
        </w:rPr>
        <w:t>全省第7位；非税占比29.96%，居全省第3</w:t>
      </w:r>
      <w:r>
        <w:rPr>
          <w:rFonts w:hint="eastAsia" w:ascii="仿宋_GB2312" w:hAnsi="仿宋_GB2312" w:eastAsia="仿宋_GB2312" w:cs="仿宋_GB2312"/>
          <w:color w:val="313131"/>
          <w:sz w:val="30"/>
          <w:szCs w:val="30"/>
          <w:lang w:eastAsia="zh-CN"/>
        </w:rPr>
        <w:t>位</w:t>
      </w:r>
      <w:r>
        <w:rPr>
          <w:rFonts w:hint="eastAsia" w:ascii="仿宋_GB2312" w:hAnsi="仿宋_GB2312" w:eastAsia="仿宋_GB2312" w:cs="仿宋_GB2312"/>
          <w:color w:val="313131"/>
          <w:sz w:val="30"/>
          <w:szCs w:val="30"/>
        </w:rPr>
        <w:t>。完成一般公共预算支出507.43亿元，同比增长8.04%。</w:t>
      </w:r>
      <w:r>
        <w:rPr>
          <w:rFonts w:hint="eastAsia" w:ascii="仿宋_GB2312" w:hAnsi="仿宋_GB2312" w:eastAsia="仿宋_GB2312" w:cs="仿宋_GB2312"/>
          <w:color w:val="313131"/>
          <w:sz w:val="30"/>
          <w:szCs w:val="30"/>
          <w:lang w:eastAsia="zh-CN"/>
        </w:rPr>
        <w:t>财政各项工作取得新亮点，财政部中国财经报社授予党报党刊宣传先进单位，怀化</w:t>
      </w:r>
      <w:r>
        <w:rPr>
          <w:rFonts w:hint="eastAsia" w:ascii="仿宋_GB2312" w:hAnsi="仿宋_GB2312" w:eastAsia="仿宋_GB2312" w:cs="仿宋_GB2312"/>
          <w:color w:val="313131"/>
          <w:sz w:val="30"/>
          <w:szCs w:val="30"/>
          <w:lang w:val="en-US" w:eastAsia="zh-CN"/>
        </w:rPr>
        <w:t>清查处置盘活国有资产工作</w:t>
      </w:r>
      <w:r>
        <w:rPr>
          <w:rFonts w:hint="eastAsia" w:ascii="仿宋_GB2312" w:hAnsi="仿宋_GB2312" w:eastAsia="仿宋_GB2312" w:cs="仿宋_GB2312"/>
          <w:color w:val="313131"/>
          <w:sz w:val="30"/>
          <w:szCs w:val="30"/>
          <w:lang w:eastAsia="zh-CN"/>
        </w:rPr>
        <w:t>获批</w:t>
      </w:r>
      <w:r>
        <w:rPr>
          <w:rFonts w:hint="eastAsia" w:ascii="仿宋_GB2312" w:hAnsi="仿宋_GB2312" w:eastAsia="仿宋_GB2312" w:cs="仿宋_GB2312"/>
          <w:color w:val="313131"/>
          <w:sz w:val="30"/>
          <w:szCs w:val="30"/>
          <w:lang w:val="en-US" w:eastAsia="zh-CN"/>
        </w:rPr>
        <w:t>全省先进市州表彰，荣获2022年度全</w:t>
      </w:r>
      <w:r>
        <w:rPr>
          <w:rFonts w:hint="eastAsia" w:ascii="仿宋_GB2312" w:hAnsi="仿宋_GB2312" w:eastAsia="仿宋_GB2312" w:cs="仿宋_GB2312"/>
          <w:color w:val="313131"/>
          <w:sz w:val="30"/>
          <w:szCs w:val="30"/>
          <w:lang w:eastAsia="zh-CN"/>
        </w:rPr>
        <w:t>市安全生产、平安建设先进单位等荣誉。初评</w:t>
      </w:r>
      <w:r>
        <w:rPr>
          <w:rFonts w:hint="eastAsia" w:ascii="仿宋_GB2312" w:hAnsi="仿宋_GB2312" w:eastAsia="仿宋_GB2312" w:cs="仿宋_GB2312"/>
          <w:color w:val="313131"/>
          <w:sz w:val="30"/>
          <w:szCs w:val="30"/>
        </w:rPr>
        <w:t>通过“清廉机关”考核验收，</w:t>
      </w:r>
      <w:r>
        <w:rPr>
          <w:rFonts w:hint="eastAsia" w:ascii="仿宋_GB2312" w:hAnsi="仿宋_GB2312" w:eastAsia="仿宋_GB2312" w:cs="仿宋_GB2312"/>
          <w:color w:val="313131"/>
          <w:sz w:val="30"/>
          <w:szCs w:val="30"/>
          <w:lang w:eastAsia="zh-CN"/>
        </w:rPr>
        <w:t>有望成为全市</w:t>
      </w:r>
      <w:r>
        <w:rPr>
          <w:rFonts w:hint="eastAsia" w:ascii="仿宋_GB2312" w:hAnsi="仿宋_GB2312" w:eastAsia="仿宋_GB2312" w:cs="仿宋_GB2312"/>
          <w:color w:val="313131"/>
          <w:sz w:val="30"/>
          <w:szCs w:val="30"/>
        </w:rPr>
        <w:t>第一批挂牌</w:t>
      </w:r>
      <w:r>
        <w:rPr>
          <w:rFonts w:hint="eastAsia" w:ascii="仿宋_GB2312" w:hAnsi="仿宋_GB2312" w:eastAsia="仿宋_GB2312" w:cs="仿宋_GB2312"/>
          <w:color w:val="313131"/>
          <w:sz w:val="30"/>
          <w:szCs w:val="30"/>
          <w:lang w:eastAsia="zh-CN"/>
        </w:rPr>
        <w:t>单位</w:t>
      </w:r>
      <w:r>
        <w:rPr>
          <w:rFonts w:hint="eastAsia" w:ascii="仿宋_GB2312" w:hAnsi="仿宋_GB2312" w:eastAsia="仿宋_GB2312" w:cs="仿宋_GB2312"/>
          <w:color w:val="313131"/>
          <w:sz w:val="30"/>
          <w:szCs w:val="30"/>
        </w:rPr>
        <w:t>。</w:t>
      </w:r>
      <w:r>
        <w:rPr>
          <w:rFonts w:hint="eastAsia" w:ascii="仿宋_GB2312" w:hAnsi="仿宋_GB2312" w:eastAsia="仿宋_GB2312" w:cs="仿宋_GB2312"/>
          <w:color w:val="313131"/>
          <w:sz w:val="30"/>
          <w:szCs w:val="30"/>
          <w:lang w:eastAsia="zh-CN"/>
        </w:rPr>
        <w:t>继续</w:t>
      </w:r>
      <w:r>
        <w:rPr>
          <w:rFonts w:hint="eastAsia" w:ascii="仿宋_GB2312" w:hAnsi="仿宋_GB2312" w:eastAsia="仿宋_GB2312" w:cs="仿宋_GB2312"/>
          <w:color w:val="313131"/>
          <w:sz w:val="30"/>
          <w:szCs w:val="30"/>
        </w:rPr>
        <w:t>保持了“全国文明单位”荣誉称号</w:t>
      </w:r>
      <w:r>
        <w:rPr>
          <w:rFonts w:hint="eastAsia" w:ascii="仿宋_GB2312" w:hAnsi="仿宋_GB2312" w:eastAsia="仿宋_GB2312" w:cs="仿宋_GB2312"/>
          <w:color w:val="313131"/>
          <w:sz w:val="30"/>
          <w:szCs w:val="30"/>
          <w:lang w:eastAsia="zh-CN"/>
        </w:rPr>
        <w:t>。今年，市委、市人大、市政府、市纪委监委主要领导先后来我局调研指导，给予较高评价。</w:t>
      </w:r>
    </w:p>
    <w:p w14:paraId="5F7ABEDE">
      <w:pPr>
        <w:pStyle w:val="2"/>
        <w:keepNext w:val="0"/>
        <w:keepLines w:val="0"/>
        <w:widowControl/>
        <w:suppressLineNumbers w:val="0"/>
        <w:spacing w:before="0" w:beforeAutospacing="0" w:after="0" w:afterAutospacing="0" w:line="375" w:lineRule="atLeast"/>
        <w:ind w:right="0" w:firstLine="300" w:firstLineChars="100"/>
        <w:jc w:val="both"/>
        <w:rPr>
          <w:rFonts w:hint="eastAsia" w:ascii="仿宋_GB2312" w:hAnsi="仿宋_GB2312" w:eastAsia="仿宋_GB2312" w:cs="仿宋_GB2312"/>
          <w:color w:val="313131"/>
          <w:sz w:val="30"/>
          <w:szCs w:val="30"/>
          <w:lang w:val="en-US" w:eastAsia="zh-CN"/>
        </w:rPr>
      </w:pPr>
      <w:r>
        <w:rPr>
          <w:rFonts w:hint="default" w:ascii="仿宋_GB2312" w:hAnsi="仿宋_GB2312" w:eastAsia="仿宋_GB2312" w:cs="仿宋_GB2312"/>
          <w:color w:val="313131"/>
          <w:sz w:val="30"/>
          <w:szCs w:val="30"/>
          <w:lang w:val="en-US" w:eastAsia="zh-CN"/>
        </w:rPr>
        <w:t>（</w:t>
      </w:r>
      <w:r>
        <w:rPr>
          <w:rFonts w:hint="eastAsia" w:ascii="仿宋_GB2312" w:hAnsi="仿宋_GB2312" w:eastAsia="仿宋_GB2312" w:cs="仿宋_GB2312"/>
          <w:color w:val="313131"/>
          <w:sz w:val="30"/>
          <w:szCs w:val="30"/>
          <w:lang w:val="en-US" w:eastAsia="zh-CN"/>
        </w:rPr>
        <w:t>2</w:t>
      </w:r>
      <w:r>
        <w:rPr>
          <w:rFonts w:hint="default" w:ascii="仿宋_GB2312" w:hAnsi="仿宋_GB2312" w:eastAsia="仿宋_GB2312" w:cs="仿宋_GB2312"/>
          <w:color w:val="313131"/>
          <w:sz w:val="30"/>
          <w:szCs w:val="30"/>
          <w:lang w:val="en-US" w:eastAsia="zh-CN"/>
        </w:rPr>
        <w:t>）经济效益分析</w:t>
      </w:r>
    </w:p>
    <w:p w14:paraId="549D4849">
      <w:pPr>
        <w:pStyle w:val="2"/>
        <w:keepNext w:val="0"/>
        <w:keepLines w:val="0"/>
        <w:widowControl/>
        <w:suppressLineNumbers w:val="0"/>
        <w:spacing w:before="0" w:beforeAutospacing="0" w:after="0" w:afterAutospacing="0" w:line="375" w:lineRule="atLeast"/>
        <w:ind w:left="0" w:right="0" w:firstLine="640"/>
        <w:jc w:val="both"/>
        <w:rPr>
          <w:rFonts w:hint="default" w:ascii="仿宋_GB2312" w:hAnsi="仿宋_GB2312" w:eastAsia="仿宋_GB2312" w:cs="仿宋_GB2312"/>
          <w:color w:val="313131"/>
          <w:sz w:val="30"/>
          <w:szCs w:val="30"/>
          <w:lang w:val="en-US" w:eastAsia="zh-CN"/>
        </w:rPr>
      </w:pPr>
      <w:r>
        <w:rPr>
          <w:rFonts w:hint="default" w:ascii="仿宋_GB2312" w:hAnsi="仿宋_GB2312" w:eastAsia="仿宋_GB2312" w:cs="仿宋_GB2312"/>
          <w:color w:val="313131"/>
          <w:sz w:val="30"/>
          <w:szCs w:val="30"/>
          <w:lang w:val="en-US" w:eastAsia="zh-CN"/>
        </w:rPr>
        <w:t> 支出总额控制在预算总额以内，“三公”经费总体控制较好，未超过预算控制数。</w:t>
      </w:r>
    </w:p>
    <w:p w14:paraId="74E035BF">
      <w:pPr>
        <w:pStyle w:val="2"/>
        <w:keepNext w:val="0"/>
        <w:keepLines w:val="0"/>
        <w:widowControl/>
        <w:numPr>
          <w:ilvl w:val="0"/>
          <w:numId w:val="1"/>
        </w:numPr>
        <w:suppressLineNumbers w:val="0"/>
        <w:spacing w:before="0" w:beforeAutospacing="0" w:after="0" w:afterAutospacing="0" w:line="375" w:lineRule="atLeast"/>
        <w:ind w:left="0" w:leftChars="0" w:right="0" w:firstLine="393" w:firstLineChars="131"/>
        <w:jc w:val="both"/>
        <w:rPr>
          <w:rFonts w:hint="eastAsia" w:ascii="仿宋_GB2312" w:hAnsi="仿宋_GB2312" w:eastAsia="仿宋_GB2312" w:cs="仿宋_GB2312"/>
          <w:color w:val="313131"/>
          <w:kern w:val="0"/>
          <w:sz w:val="30"/>
          <w:szCs w:val="30"/>
          <w:lang w:val="en-US" w:eastAsia="zh-CN" w:bidi="ar-SA"/>
        </w:rPr>
      </w:pPr>
      <w:r>
        <w:rPr>
          <w:rFonts w:hint="eastAsia" w:ascii="仿宋_GB2312" w:hAnsi="仿宋_GB2312" w:eastAsia="仿宋_GB2312" w:cs="仿宋_GB2312"/>
          <w:color w:val="313131"/>
          <w:kern w:val="0"/>
          <w:sz w:val="30"/>
          <w:szCs w:val="30"/>
          <w:lang w:val="en-US" w:eastAsia="zh-CN" w:bidi="ar-SA"/>
        </w:rPr>
        <w:t>社会效益分析</w:t>
      </w:r>
    </w:p>
    <w:p w14:paraId="5AE3DF43">
      <w:pPr>
        <w:pStyle w:val="2"/>
        <w:keepNext w:val="0"/>
        <w:keepLines w:val="0"/>
        <w:widowControl/>
        <w:suppressLineNumbers w:val="0"/>
        <w:spacing w:before="0" w:beforeAutospacing="0" w:after="0" w:afterAutospacing="0" w:line="375" w:lineRule="atLeast"/>
        <w:ind w:right="0" w:firstLine="300" w:firstLineChars="100"/>
        <w:jc w:val="both"/>
        <w:rPr>
          <w:rFonts w:hint="eastAsia" w:ascii="仿宋_GB2312" w:hAnsi="仿宋_GB2312" w:eastAsia="仿宋_GB2312" w:cs="仿宋_GB2312"/>
          <w:color w:val="313131"/>
          <w:sz w:val="30"/>
          <w:szCs w:val="30"/>
          <w:lang w:val="en-US" w:eastAsia="zh-CN"/>
        </w:rPr>
      </w:pPr>
      <w:r>
        <w:rPr>
          <w:rFonts w:hint="eastAsia" w:ascii="仿宋_GB2312" w:hAnsi="仿宋_GB2312" w:eastAsia="仿宋_GB2312" w:cs="仿宋_GB2312"/>
          <w:color w:val="313131"/>
          <w:sz w:val="30"/>
          <w:szCs w:val="30"/>
          <w:lang w:val="en-US" w:eastAsia="zh-CN"/>
        </w:rPr>
        <w:t>按照中央、省委省政府和市委决策部署，特别是“疫情要防住、经济要稳住、发展要安全”的要求，认真执行预算法及其实施条例，各项工作稳步推进。</w:t>
      </w:r>
    </w:p>
    <w:p w14:paraId="165C54B1">
      <w:pPr>
        <w:pStyle w:val="2"/>
        <w:keepNext w:val="0"/>
        <w:keepLines w:val="0"/>
        <w:widowControl/>
        <w:suppressLineNumbers w:val="0"/>
        <w:spacing w:before="0" w:beforeAutospacing="0" w:after="0" w:afterAutospacing="0" w:line="375" w:lineRule="atLeast"/>
        <w:ind w:right="0" w:firstLine="300" w:firstLineChars="100"/>
        <w:jc w:val="both"/>
        <w:rPr>
          <w:rFonts w:hint="eastAsia" w:ascii="仿宋_GB2312" w:hAnsi="仿宋_GB2312" w:eastAsia="仿宋_GB2312" w:cs="仿宋_GB2312"/>
          <w:color w:val="313131"/>
          <w:sz w:val="30"/>
          <w:szCs w:val="30"/>
          <w:lang w:val="en-US" w:eastAsia="zh-CN"/>
        </w:rPr>
      </w:pPr>
      <w:r>
        <w:rPr>
          <w:rFonts w:hint="eastAsia" w:ascii="仿宋_GB2312" w:hAnsi="仿宋_GB2312" w:eastAsia="仿宋_GB2312" w:cs="仿宋_GB2312"/>
          <w:b/>
          <w:bCs/>
          <w:color w:val="313131"/>
          <w:sz w:val="30"/>
          <w:szCs w:val="30"/>
          <w:lang w:val="en-US" w:eastAsia="zh-CN"/>
        </w:rPr>
        <w:t>1、财政收入量质齐升。</w:t>
      </w:r>
      <w:r>
        <w:rPr>
          <w:rFonts w:hint="eastAsia" w:ascii="仿宋_GB2312" w:hAnsi="仿宋_GB2312" w:eastAsia="仿宋_GB2312" w:cs="仿宋_GB2312"/>
          <w:color w:val="313131"/>
          <w:sz w:val="30"/>
          <w:szCs w:val="30"/>
          <w:lang w:val="en-US" w:eastAsia="zh-CN"/>
        </w:rPr>
        <w:t>深入贯彻落实市委“三高四新”财源建设工程决策部署，推动实施“三高四新”财源建设工程“6645”专项行动，坚持以财税看发展、凭贡献定支持。加力推进小微企业融资担保，怀化财信融资担保公司担保余额9.92亿元，累计担保552户，同比增加5.95亿元、265户。对上争资成效显著，受新冠疫情冲击影响，全市地方收入短收严重，但我们</w:t>
      </w:r>
      <w:r>
        <w:rPr>
          <w:rFonts w:hint="default" w:ascii="仿宋_GB2312" w:hAnsi="仿宋_GB2312" w:eastAsia="仿宋_GB2312" w:cs="仿宋_GB2312"/>
          <w:color w:val="313131"/>
          <w:sz w:val="30"/>
          <w:szCs w:val="30"/>
          <w:lang w:val="en-US" w:eastAsia="zh-CN"/>
        </w:rPr>
        <w:t>全力争取上级资金和政策</w:t>
      </w:r>
      <w:r>
        <w:rPr>
          <w:rFonts w:hint="eastAsia" w:ascii="仿宋_GB2312" w:hAnsi="仿宋_GB2312" w:eastAsia="仿宋_GB2312" w:cs="仿宋_GB2312"/>
          <w:color w:val="313131"/>
          <w:sz w:val="30"/>
          <w:szCs w:val="30"/>
          <w:lang w:val="en-US" w:eastAsia="zh-CN"/>
        </w:rPr>
        <w:t>支持</w:t>
      </w:r>
      <w:r>
        <w:rPr>
          <w:rFonts w:hint="default" w:ascii="仿宋_GB2312" w:hAnsi="仿宋_GB2312" w:eastAsia="仿宋_GB2312" w:cs="仿宋_GB2312"/>
          <w:color w:val="313131"/>
          <w:sz w:val="30"/>
          <w:szCs w:val="30"/>
          <w:lang w:val="en-US" w:eastAsia="zh-CN"/>
        </w:rPr>
        <w:t>，</w:t>
      </w:r>
      <w:r>
        <w:rPr>
          <w:rFonts w:hint="eastAsia" w:ascii="仿宋_GB2312" w:hAnsi="仿宋_GB2312" w:eastAsia="仿宋_GB2312" w:cs="仿宋_GB2312"/>
          <w:color w:val="313131"/>
          <w:sz w:val="30"/>
          <w:szCs w:val="30"/>
          <w:lang w:val="en-US" w:eastAsia="zh-CN"/>
        </w:rPr>
        <w:t>市本级争取到专项债券额度42.46亿元，较上年的11.1亿元增加31.36亿元，为2021年的3.83倍，其中额外增加市本级经济恢复增长额度5亿元、怀化陆港建设额度2亿元；到位调资补助等新增财力性转移支付2.7亿元，超年初预算任务1.2亿元。不折不扣落实大规模组合式减税降费支持政策，全市预计新增减轻企业负担超10亿元。强化财税征管，今年通过财税综合信息平台挖潜增收，查补税款1.3亿元，经验做法全省推介。出台财税责任清单，压实征管单位主体责任，年末市本级加力完成入库39.95亿元。注重收入质量，非税占比29.96%，居全省第3位，圆满完成30%以内年度目标任务。</w:t>
      </w:r>
    </w:p>
    <w:p w14:paraId="55527451">
      <w:pPr>
        <w:pStyle w:val="2"/>
        <w:keepNext w:val="0"/>
        <w:keepLines w:val="0"/>
        <w:widowControl/>
        <w:suppressLineNumbers w:val="0"/>
        <w:spacing w:before="0" w:beforeAutospacing="0" w:after="0" w:afterAutospacing="0" w:line="375" w:lineRule="atLeast"/>
        <w:ind w:right="0" w:firstLine="300" w:firstLineChars="100"/>
        <w:jc w:val="both"/>
        <w:rPr>
          <w:rFonts w:hint="eastAsia" w:ascii="仿宋_GB2312" w:hAnsi="仿宋_GB2312" w:eastAsia="仿宋_GB2312" w:cs="仿宋_GB2312"/>
          <w:color w:val="313131"/>
          <w:sz w:val="30"/>
          <w:szCs w:val="30"/>
          <w:lang w:val="en-US" w:eastAsia="zh-CN"/>
        </w:rPr>
      </w:pPr>
      <w:r>
        <w:rPr>
          <w:rFonts w:hint="eastAsia" w:ascii="仿宋_GB2312" w:hAnsi="仿宋_GB2312" w:eastAsia="仿宋_GB2312" w:cs="仿宋_GB2312"/>
          <w:b/>
          <w:bCs/>
          <w:color w:val="313131"/>
          <w:sz w:val="30"/>
          <w:szCs w:val="30"/>
          <w:lang w:val="en-US" w:eastAsia="zh-CN"/>
        </w:rPr>
        <w:t>2、财政支出保障有力。</w:t>
      </w:r>
      <w:r>
        <w:rPr>
          <w:rFonts w:hint="eastAsia" w:ascii="仿宋_GB2312" w:hAnsi="仿宋_GB2312" w:eastAsia="仿宋_GB2312" w:cs="仿宋_GB2312"/>
          <w:color w:val="313131"/>
          <w:sz w:val="30"/>
          <w:szCs w:val="30"/>
          <w:lang w:val="en-US" w:eastAsia="zh-CN"/>
        </w:rPr>
        <w:t>树立正确政绩观，统筹疫情防控及经济社会发展。坚决树牢过紧日子思想。</w:t>
      </w:r>
      <w:r>
        <w:rPr>
          <w:rFonts w:hint="default" w:ascii="仿宋_GB2312" w:hAnsi="仿宋_GB2312" w:eastAsia="仿宋_GB2312" w:cs="仿宋_GB2312"/>
          <w:color w:val="313131"/>
          <w:sz w:val="30"/>
          <w:szCs w:val="30"/>
          <w:lang w:val="en-US" w:eastAsia="zh-CN"/>
        </w:rPr>
        <w:t>将</w:t>
      </w:r>
      <w:r>
        <w:rPr>
          <w:rFonts w:hint="eastAsia" w:ascii="仿宋_GB2312" w:hAnsi="仿宋_GB2312" w:eastAsia="仿宋_GB2312" w:cs="仿宋_GB2312"/>
          <w:color w:val="313131"/>
          <w:sz w:val="30"/>
          <w:szCs w:val="30"/>
          <w:lang w:val="en-US" w:eastAsia="zh-CN"/>
        </w:rPr>
        <w:t>“</w:t>
      </w:r>
      <w:r>
        <w:rPr>
          <w:rFonts w:hint="default" w:ascii="仿宋_GB2312" w:hAnsi="仿宋_GB2312" w:eastAsia="仿宋_GB2312" w:cs="仿宋_GB2312"/>
          <w:color w:val="313131"/>
          <w:sz w:val="30"/>
          <w:szCs w:val="30"/>
          <w:lang w:val="en-US" w:eastAsia="zh-CN"/>
        </w:rPr>
        <w:t>保工资、保运转、保</w:t>
      </w:r>
      <w:r>
        <w:rPr>
          <w:rFonts w:hint="eastAsia" w:ascii="仿宋_GB2312" w:hAnsi="仿宋_GB2312" w:eastAsia="仿宋_GB2312" w:cs="仿宋_GB2312"/>
          <w:color w:val="313131"/>
          <w:sz w:val="30"/>
          <w:szCs w:val="30"/>
          <w:lang w:val="en-US" w:eastAsia="zh-CN"/>
        </w:rPr>
        <w:t>基本</w:t>
      </w:r>
      <w:r>
        <w:rPr>
          <w:rFonts w:hint="default" w:ascii="仿宋_GB2312" w:hAnsi="仿宋_GB2312" w:eastAsia="仿宋_GB2312" w:cs="仿宋_GB2312"/>
          <w:color w:val="313131"/>
          <w:sz w:val="30"/>
          <w:szCs w:val="30"/>
          <w:lang w:val="en-US" w:eastAsia="zh-CN"/>
        </w:rPr>
        <w:t>民生</w:t>
      </w:r>
      <w:r>
        <w:rPr>
          <w:rFonts w:hint="eastAsia" w:ascii="仿宋_GB2312" w:hAnsi="仿宋_GB2312" w:eastAsia="仿宋_GB2312" w:cs="仿宋_GB2312"/>
          <w:color w:val="313131"/>
          <w:sz w:val="30"/>
          <w:szCs w:val="30"/>
          <w:lang w:val="en-US" w:eastAsia="zh-CN"/>
        </w:rPr>
        <w:t>、防风险”</w:t>
      </w:r>
      <w:r>
        <w:rPr>
          <w:rFonts w:hint="default" w:ascii="仿宋_GB2312" w:hAnsi="仿宋_GB2312" w:eastAsia="仿宋_GB2312" w:cs="仿宋_GB2312"/>
          <w:color w:val="313131"/>
          <w:sz w:val="30"/>
          <w:szCs w:val="30"/>
          <w:lang w:val="en-US" w:eastAsia="zh-CN"/>
        </w:rPr>
        <w:t>作为基本层次，</w:t>
      </w:r>
      <w:r>
        <w:rPr>
          <w:rFonts w:hint="eastAsia" w:ascii="仿宋_GB2312" w:hAnsi="仿宋_GB2312" w:eastAsia="仿宋_GB2312" w:cs="仿宋_GB2312"/>
          <w:color w:val="313131"/>
          <w:sz w:val="30"/>
          <w:szCs w:val="30"/>
          <w:lang w:val="en-US" w:eastAsia="zh-CN"/>
        </w:rPr>
        <w:t>将“三保”和偿债支出作为第一大事要事纳入保障清单，以确定性应对刚性，以发展应对不确定性。市本级按照20%比例压减公用经费、按照50%比例压减到单位的专项支出1.9亿元。坚决贯彻落实中央、国务院、市委市政府稳经济大盘决策部署。统筹财力加快支出进度，落实省打造国家重要先进制造业高地、企业科技创新若干财政支持政策，支持市政府出台“1+8+N”稳经济举策，配合落实每年至少3亿元（连续五年）省级资金支持怀化国际陆港建设，兑现稳岗位、提技能、保就业16条相关财税政策，打好稳增长的“组合拳”支持重点行业复苏。全力支持抗击疫情，开通疫情防控物资采购绿色通道，市本级统筹安排疫情防控资金超3亿元，应对新冠疫情多轮冲击及保障“外防输入、内防反弹”常态化防疫需要。全力支持防汛救灾，筹集资金和救灾物资1070万元。全力支持乡村振兴和生态环保攻坚，预算安排乡村振兴及巩固脱贫资金1.1亿元，市级派驻工作队帮扶村144个按20万元/村的标准安排到位，探索“乡村振兴共享贷”金融服务向乡村下沉。全力保障市委、市政府实施一批民生重点项目及重大基础设施项目建设，支持推进城区提质工程和环境污染防治等。高度重视安全生产工作，安全生产主体责任切实落实。全面加强预算绩效管理，持续推进预算一体化改革，依托项目库精准管理，强化绩效约束，提高资金使用效益。管好用好直达资金，全年直达资金执行进度超96%，有力支持“六稳”“六保”。2022年，全市完成一般公共预算支出507.43亿元，同比增长8.04%，其中民生支出395.59亿元，同比增长6.43%，全市民生支出占比达到77%。</w:t>
      </w:r>
    </w:p>
    <w:p w14:paraId="159EA078">
      <w:pPr>
        <w:pStyle w:val="2"/>
        <w:keepNext w:val="0"/>
        <w:keepLines w:val="0"/>
        <w:widowControl/>
        <w:suppressLineNumbers w:val="0"/>
        <w:spacing w:before="0" w:beforeAutospacing="0" w:after="0" w:afterAutospacing="0" w:line="375" w:lineRule="atLeast"/>
        <w:ind w:right="0" w:firstLine="300" w:firstLineChars="100"/>
        <w:jc w:val="both"/>
        <w:rPr>
          <w:rFonts w:hint="default" w:ascii="仿宋_GB2312" w:hAnsi="仿宋_GB2312" w:eastAsia="仿宋_GB2312" w:cs="仿宋_GB2312"/>
          <w:color w:val="313131"/>
          <w:sz w:val="30"/>
          <w:szCs w:val="30"/>
          <w:lang w:val="en-US" w:eastAsia="zh-CN"/>
        </w:rPr>
      </w:pPr>
      <w:r>
        <w:rPr>
          <w:rFonts w:hint="eastAsia" w:ascii="仿宋_GB2312" w:hAnsi="仿宋_GB2312" w:eastAsia="仿宋_GB2312" w:cs="仿宋_GB2312"/>
          <w:b/>
          <w:bCs/>
          <w:color w:val="313131"/>
          <w:sz w:val="30"/>
          <w:szCs w:val="30"/>
          <w:lang w:val="en-US" w:eastAsia="zh-CN"/>
        </w:rPr>
        <w:t>3、债务风险总体可控。</w:t>
      </w:r>
      <w:r>
        <w:rPr>
          <w:rFonts w:hint="eastAsia" w:ascii="仿宋_GB2312" w:hAnsi="仿宋_GB2312" w:eastAsia="仿宋_GB2312" w:cs="仿宋_GB2312"/>
          <w:color w:val="313131"/>
          <w:sz w:val="30"/>
          <w:szCs w:val="30"/>
          <w:lang w:val="en-US" w:eastAsia="zh-CN"/>
        </w:rPr>
        <w:t>始终</w:t>
      </w:r>
      <w:r>
        <w:rPr>
          <w:rFonts w:hint="default" w:ascii="仿宋_GB2312" w:hAnsi="仿宋_GB2312" w:eastAsia="仿宋_GB2312" w:cs="仿宋_GB2312"/>
          <w:color w:val="313131"/>
          <w:sz w:val="30"/>
          <w:szCs w:val="30"/>
          <w:lang w:val="en-US" w:eastAsia="zh-CN"/>
        </w:rPr>
        <w:t>把统筹发展和安全、防范化解政府债务风险作为一项重大政治任务</w:t>
      </w:r>
      <w:r>
        <w:rPr>
          <w:rFonts w:hint="eastAsia" w:ascii="仿宋_GB2312" w:hAnsi="仿宋_GB2312" w:eastAsia="仿宋_GB2312" w:cs="仿宋_GB2312"/>
          <w:color w:val="313131"/>
          <w:sz w:val="30"/>
          <w:szCs w:val="30"/>
          <w:lang w:val="en-US" w:eastAsia="zh-CN"/>
        </w:rPr>
        <w:t>。坚持市委市政府</w:t>
      </w:r>
      <w:r>
        <w:rPr>
          <w:rFonts w:hint="default" w:ascii="仿宋_GB2312" w:hAnsi="仿宋_GB2312" w:eastAsia="仿宋_GB2312" w:cs="仿宋_GB2312"/>
          <w:color w:val="313131"/>
          <w:sz w:val="30"/>
          <w:szCs w:val="30"/>
          <w:lang w:val="en-US" w:eastAsia="zh-CN"/>
        </w:rPr>
        <w:t>党政主要领导亲自挂帅、债务办综合协调、市直相关部门合力推进</w:t>
      </w:r>
      <w:r>
        <w:rPr>
          <w:rFonts w:hint="eastAsia" w:ascii="仿宋_GB2312" w:hAnsi="仿宋_GB2312" w:eastAsia="仿宋_GB2312" w:cs="仿宋_GB2312"/>
          <w:color w:val="313131"/>
          <w:sz w:val="30"/>
          <w:szCs w:val="30"/>
          <w:lang w:val="en-US" w:eastAsia="zh-CN"/>
        </w:rPr>
        <w:t>机制。建立发改财政投资联审机制，制定了《怀化市规范政府性投资项目决策和立项防范政府债务风险实施细则》，坚决遏制新增政府隐性债务。建立政府债务风险评估和预警应急机制，定期对全市政府债务风险进行测算评估，按照“谁负债、谁偿还”“谁使用、谁偿还”“统一管理、规范使用”原则设立应急资金池。全年未发生重大债务风险事件，债务风险总体可控。</w:t>
      </w:r>
    </w:p>
    <w:p w14:paraId="648B6AA3">
      <w:pPr>
        <w:pStyle w:val="2"/>
        <w:keepNext w:val="0"/>
        <w:keepLines w:val="0"/>
        <w:widowControl/>
        <w:suppressLineNumbers w:val="0"/>
        <w:spacing w:before="0" w:beforeAutospacing="0" w:after="0" w:afterAutospacing="0" w:line="375" w:lineRule="atLeast"/>
        <w:ind w:right="0" w:firstLine="300" w:firstLineChars="100"/>
        <w:jc w:val="both"/>
        <w:rPr>
          <w:rFonts w:hint="default" w:ascii="仿宋_GB2312" w:hAnsi="仿宋_GB2312" w:eastAsia="仿宋_GB2312" w:cs="仿宋_GB2312"/>
          <w:color w:val="313131"/>
          <w:sz w:val="30"/>
          <w:szCs w:val="30"/>
          <w:lang w:val="en-US" w:eastAsia="zh-CN"/>
        </w:rPr>
      </w:pPr>
      <w:r>
        <w:rPr>
          <w:rFonts w:hint="eastAsia" w:ascii="仿宋_GB2312" w:hAnsi="仿宋_GB2312" w:eastAsia="仿宋_GB2312" w:cs="仿宋_GB2312"/>
          <w:b/>
          <w:bCs/>
          <w:color w:val="313131"/>
          <w:sz w:val="30"/>
          <w:szCs w:val="30"/>
          <w:lang w:val="en-US" w:eastAsia="zh-CN"/>
        </w:rPr>
        <w:t>4、财税体制改革纵深推进。</w:t>
      </w:r>
      <w:r>
        <w:rPr>
          <w:rFonts w:hint="eastAsia" w:ascii="仿宋_GB2312" w:hAnsi="仿宋_GB2312" w:eastAsia="仿宋_GB2312" w:cs="仿宋_GB2312"/>
          <w:color w:val="313131"/>
          <w:sz w:val="30"/>
          <w:szCs w:val="30"/>
          <w:lang w:val="en-US" w:eastAsia="zh-CN"/>
        </w:rPr>
        <w:t>深化“零基预算”改革，加强结余结转清理，统筹部门单位各类预算收入超4亿元，形成资金合力优化支出结构；全面推进预算一体化，将会计核算、资产、绩效、政府采购等业务子系统融入主体程序，提升预算管理能力；建立预算执行控制机制，硬化预算执行次序，确保全年收支平衡；坚决贯彻中央关于“党政机关要坚持过紧日子”的要求，把艰苦奋斗、勤俭节约作为财政工作长期坚持的方针，压减非急需非刚性支出</w:t>
      </w:r>
      <w:r>
        <w:rPr>
          <w:rFonts w:hint="default" w:ascii="仿宋_GB2312" w:hAnsi="仿宋_GB2312" w:eastAsia="仿宋_GB2312" w:cs="仿宋_GB2312"/>
          <w:color w:val="313131"/>
          <w:sz w:val="30"/>
          <w:szCs w:val="30"/>
          <w:lang w:val="en-US" w:eastAsia="zh-CN"/>
        </w:rPr>
        <w:t>1</w:t>
      </w:r>
      <w:r>
        <w:rPr>
          <w:rFonts w:hint="eastAsia" w:ascii="仿宋_GB2312" w:hAnsi="仿宋_GB2312" w:eastAsia="仿宋_GB2312" w:cs="仿宋_GB2312"/>
          <w:color w:val="313131"/>
          <w:sz w:val="30"/>
          <w:szCs w:val="30"/>
          <w:lang w:val="en-US" w:eastAsia="zh-CN"/>
        </w:rPr>
        <w:t>.</w:t>
      </w:r>
      <w:r>
        <w:rPr>
          <w:rFonts w:hint="default" w:ascii="仿宋_GB2312" w:hAnsi="仿宋_GB2312" w:eastAsia="仿宋_GB2312" w:cs="仿宋_GB2312"/>
          <w:color w:val="313131"/>
          <w:sz w:val="30"/>
          <w:szCs w:val="30"/>
          <w:lang w:val="en-US" w:eastAsia="zh-CN"/>
        </w:rPr>
        <w:t>7</w:t>
      </w:r>
      <w:r>
        <w:rPr>
          <w:rFonts w:hint="eastAsia" w:ascii="仿宋_GB2312" w:hAnsi="仿宋_GB2312" w:eastAsia="仿宋_GB2312" w:cs="仿宋_GB2312"/>
          <w:color w:val="313131"/>
          <w:sz w:val="30"/>
          <w:szCs w:val="30"/>
          <w:lang w:val="en-US" w:eastAsia="zh-CN"/>
        </w:rPr>
        <w:t>5亿元</w:t>
      </w:r>
      <w:r>
        <w:rPr>
          <w:rFonts w:hint="default" w:ascii="仿宋_GB2312" w:hAnsi="仿宋_GB2312" w:eastAsia="仿宋_GB2312" w:cs="仿宋_GB2312"/>
          <w:color w:val="313131"/>
          <w:sz w:val="30"/>
          <w:szCs w:val="30"/>
          <w:lang w:val="en-US" w:eastAsia="zh-CN"/>
        </w:rPr>
        <w:t>。</w:t>
      </w:r>
    </w:p>
    <w:p w14:paraId="3F7CA226">
      <w:pPr>
        <w:pStyle w:val="2"/>
        <w:keepNext w:val="0"/>
        <w:keepLines w:val="0"/>
        <w:widowControl/>
        <w:suppressLineNumbers w:val="0"/>
        <w:spacing w:before="0" w:beforeAutospacing="0" w:after="0" w:afterAutospacing="0" w:line="375" w:lineRule="atLeast"/>
        <w:ind w:right="0" w:firstLine="300" w:firstLineChars="100"/>
        <w:jc w:val="both"/>
        <w:rPr>
          <w:rFonts w:hint="eastAsia" w:ascii="楷体_GB2312" w:hAnsi="楷体_GB2312" w:eastAsia="楷体_GB2312" w:cs="楷体_GB2312"/>
          <w:b/>
          <w:bCs/>
          <w:color w:val="auto"/>
          <w:spacing w:val="0"/>
          <w:sz w:val="32"/>
          <w:szCs w:val="32"/>
          <w:lang w:val="en-US" w:eastAsia="zh-CN"/>
        </w:rPr>
      </w:pPr>
      <w:r>
        <w:rPr>
          <w:rFonts w:hint="eastAsia" w:ascii="仿宋_GB2312" w:hAnsi="仿宋_GB2312" w:eastAsia="仿宋_GB2312" w:cs="仿宋_GB2312"/>
          <w:b/>
          <w:bCs/>
          <w:color w:val="313131"/>
          <w:sz w:val="30"/>
          <w:szCs w:val="30"/>
          <w:lang w:val="en-US" w:eastAsia="zh-CN"/>
        </w:rPr>
        <w:t>5</w:t>
      </w:r>
      <w:r>
        <w:rPr>
          <w:rFonts w:hint="eastAsia" w:ascii="仿宋_GB2312" w:hAnsi="仿宋_GB2312" w:eastAsia="仿宋_GB2312" w:cs="仿宋_GB2312"/>
          <w:color w:val="313131"/>
          <w:sz w:val="30"/>
          <w:szCs w:val="30"/>
          <w:lang w:val="en-US" w:eastAsia="zh-CN"/>
        </w:rPr>
        <w:t>、</w:t>
      </w:r>
      <w:r>
        <w:rPr>
          <w:rFonts w:hint="eastAsia" w:ascii="楷体_GB2312" w:hAnsi="楷体_GB2312" w:eastAsia="楷体_GB2312" w:cs="楷体_GB2312"/>
          <w:b/>
          <w:bCs/>
          <w:color w:val="auto"/>
          <w:spacing w:val="0"/>
          <w:sz w:val="32"/>
          <w:szCs w:val="32"/>
          <w:lang w:val="en-US" w:eastAsia="zh-CN"/>
        </w:rPr>
        <w:t>闲置资产清查成效显著。</w:t>
      </w:r>
    </w:p>
    <w:p w14:paraId="78DDC68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00" w:firstLineChars="200"/>
        <w:jc w:val="both"/>
        <w:textAlignment w:val="auto"/>
        <w:rPr>
          <w:rFonts w:hint="default" w:ascii="楷体_GB2312" w:hAnsi="楷体_GB2312" w:eastAsia="楷体_GB2312" w:cs="楷体_GB2312"/>
          <w:b/>
          <w:bCs/>
          <w:color w:val="auto"/>
          <w:spacing w:val="0"/>
          <w:sz w:val="30"/>
          <w:szCs w:val="30"/>
          <w:lang w:val="en-US" w:eastAsia="zh-CN"/>
        </w:rPr>
      </w:pPr>
      <w:r>
        <w:rPr>
          <w:rFonts w:hint="eastAsia" w:ascii="仿宋_GB2312" w:hAnsi="仿宋_GB2312" w:eastAsia="仿宋_GB2312" w:cs="仿宋_GB2312"/>
          <w:color w:val="auto"/>
          <w:spacing w:val="0"/>
          <w:sz w:val="30"/>
          <w:szCs w:val="30"/>
        </w:rPr>
        <w:t>根据省政府办公厅印发的《清查处置全省闲置国有资产资源专项行动方案》（湘政办函〔2022〕24号）要求，</w:t>
      </w:r>
      <w:r>
        <w:rPr>
          <w:rFonts w:hint="eastAsia" w:ascii="仿宋_GB2312" w:hAnsi="仿宋_GB2312" w:eastAsia="仿宋_GB2312" w:cs="仿宋_GB2312"/>
          <w:color w:val="auto"/>
          <w:spacing w:val="0"/>
          <w:sz w:val="30"/>
          <w:szCs w:val="30"/>
          <w:lang w:eastAsia="zh-CN"/>
        </w:rPr>
        <w:t>一是结合我市实际，制定并下发了市政府办关于印发</w:t>
      </w:r>
      <w:r>
        <w:rPr>
          <w:rFonts w:hint="eastAsia" w:ascii="仿宋_GB2312" w:hAnsi="仿宋_GB2312" w:eastAsia="仿宋_GB2312" w:cs="仿宋_GB2312"/>
          <w:color w:val="auto"/>
          <w:spacing w:val="0"/>
          <w:sz w:val="30"/>
          <w:szCs w:val="30"/>
          <w:shd w:val="clear" w:color="auto" w:fill="auto"/>
        </w:rPr>
        <w:t>《</w:t>
      </w:r>
      <w:r>
        <w:rPr>
          <w:rFonts w:hint="eastAsia" w:ascii="仿宋_GB2312" w:hAnsi="仿宋_GB2312" w:eastAsia="仿宋_GB2312" w:cs="仿宋_GB2312"/>
          <w:color w:val="auto"/>
          <w:spacing w:val="0"/>
          <w:sz w:val="30"/>
          <w:szCs w:val="30"/>
          <w:shd w:val="clear" w:color="auto" w:fill="auto"/>
          <w:lang w:eastAsia="zh-CN"/>
        </w:rPr>
        <w:t>怀化</w:t>
      </w:r>
      <w:r>
        <w:rPr>
          <w:rFonts w:hint="eastAsia" w:ascii="仿宋_GB2312" w:hAnsi="仿宋_GB2312" w:eastAsia="仿宋_GB2312" w:cs="仿宋_GB2312"/>
          <w:color w:val="auto"/>
          <w:spacing w:val="0"/>
          <w:sz w:val="30"/>
          <w:szCs w:val="30"/>
          <w:shd w:val="clear" w:color="auto" w:fill="auto"/>
        </w:rPr>
        <w:t>市清查处置闲置国有资产资源专项行动方案</w:t>
      </w:r>
      <w:r>
        <w:rPr>
          <w:rFonts w:hint="eastAsia" w:ascii="仿宋_GB2312" w:hAnsi="仿宋_GB2312" w:eastAsia="仿宋_GB2312" w:cs="仿宋_GB2312"/>
          <w:color w:val="auto"/>
          <w:spacing w:val="0"/>
          <w:sz w:val="30"/>
          <w:szCs w:val="30"/>
          <w:shd w:val="clear" w:color="auto" w:fill="auto"/>
          <w:lang w:eastAsia="zh-CN"/>
        </w:rPr>
        <w:t>的通知</w:t>
      </w:r>
      <w:r>
        <w:rPr>
          <w:rFonts w:hint="eastAsia" w:ascii="仿宋_GB2312" w:hAnsi="仿宋_GB2312" w:eastAsia="仿宋_GB2312" w:cs="仿宋_GB2312"/>
          <w:color w:val="auto"/>
          <w:spacing w:val="0"/>
          <w:sz w:val="30"/>
          <w:szCs w:val="30"/>
          <w:shd w:val="clear" w:color="auto" w:fill="auto"/>
        </w:rPr>
        <w:t>》</w:t>
      </w:r>
      <w:r>
        <w:rPr>
          <w:rFonts w:hint="eastAsia" w:ascii="仿宋_GB2312" w:hAnsi="仿宋_GB2312" w:eastAsia="仿宋_GB2312" w:cs="仿宋_GB2312"/>
          <w:color w:val="auto"/>
          <w:spacing w:val="0"/>
          <w:sz w:val="30"/>
          <w:szCs w:val="30"/>
        </w:rPr>
        <w:t>（</w:t>
      </w:r>
      <w:r>
        <w:rPr>
          <w:rFonts w:hint="eastAsia" w:ascii="仿宋_GB2312" w:hAnsi="仿宋_GB2312" w:eastAsia="仿宋_GB2312" w:cs="仿宋_GB2312"/>
          <w:color w:val="auto"/>
          <w:spacing w:val="0"/>
          <w:sz w:val="30"/>
          <w:szCs w:val="30"/>
          <w:lang w:eastAsia="zh-CN"/>
        </w:rPr>
        <w:t>怀</w:t>
      </w:r>
      <w:r>
        <w:rPr>
          <w:rFonts w:hint="eastAsia" w:ascii="仿宋_GB2312" w:hAnsi="仿宋_GB2312" w:eastAsia="仿宋_GB2312" w:cs="仿宋_GB2312"/>
          <w:color w:val="auto"/>
          <w:spacing w:val="0"/>
          <w:sz w:val="30"/>
          <w:szCs w:val="30"/>
        </w:rPr>
        <w:t>政办函〔2022〕</w:t>
      </w:r>
      <w:r>
        <w:rPr>
          <w:rFonts w:hint="eastAsia" w:ascii="仿宋_GB2312" w:hAnsi="仿宋_GB2312" w:eastAsia="仿宋_GB2312" w:cs="仿宋_GB2312"/>
          <w:color w:val="auto"/>
          <w:spacing w:val="0"/>
          <w:sz w:val="30"/>
          <w:szCs w:val="30"/>
          <w:lang w:val="en-US" w:eastAsia="zh-CN"/>
        </w:rPr>
        <w:t>19</w:t>
      </w:r>
      <w:r>
        <w:rPr>
          <w:rFonts w:hint="eastAsia" w:ascii="仿宋_GB2312" w:hAnsi="仿宋_GB2312" w:eastAsia="仿宋_GB2312" w:cs="仿宋_GB2312"/>
          <w:color w:val="auto"/>
          <w:spacing w:val="0"/>
          <w:sz w:val="30"/>
          <w:szCs w:val="30"/>
        </w:rPr>
        <w:t>号）</w:t>
      </w:r>
      <w:r>
        <w:rPr>
          <w:rFonts w:hint="eastAsia" w:ascii="仿宋_GB2312" w:hAnsi="仿宋_GB2312" w:eastAsia="仿宋_GB2312" w:cs="仿宋_GB2312"/>
          <w:color w:val="auto"/>
          <w:spacing w:val="0"/>
          <w:sz w:val="30"/>
          <w:szCs w:val="30"/>
          <w:lang w:eastAsia="zh-CN"/>
        </w:rPr>
        <w:t>；</w:t>
      </w:r>
      <w:r>
        <w:rPr>
          <w:rFonts w:hint="eastAsia" w:ascii="仿宋_GB2312" w:hAnsi="仿宋_GB2312" w:eastAsia="仿宋_GB2312" w:cs="仿宋_GB2312"/>
          <w:color w:val="auto"/>
          <w:spacing w:val="0"/>
          <w:sz w:val="30"/>
          <w:szCs w:val="30"/>
          <w:shd w:val="clear" w:color="auto" w:fill="auto"/>
          <w:lang w:eastAsia="zh-CN"/>
        </w:rPr>
        <w:t>二是在局机关内部建立《市本级</w:t>
      </w:r>
      <w:r>
        <w:rPr>
          <w:rFonts w:hint="eastAsia" w:ascii="仿宋_GB2312" w:hAnsi="仿宋_GB2312" w:eastAsia="仿宋_GB2312" w:cs="仿宋_GB2312"/>
          <w:color w:val="auto"/>
          <w:spacing w:val="0"/>
          <w:sz w:val="30"/>
          <w:szCs w:val="30"/>
        </w:rPr>
        <w:t>清查处置闲置国有资产资源专项行动</w:t>
      </w:r>
      <w:r>
        <w:rPr>
          <w:rFonts w:hint="eastAsia" w:ascii="仿宋_GB2312" w:hAnsi="仿宋_GB2312" w:eastAsia="仿宋_GB2312" w:cs="仿宋_GB2312"/>
          <w:color w:val="auto"/>
          <w:spacing w:val="0"/>
          <w:sz w:val="30"/>
          <w:szCs w:val="30"/>
          <w:lang w:eastAsia="zh-CN"/>
        </w:rPr>
        <w:t>工作协调机制</w:t>
      </w:r>
      <w:r>
        <w:rPr>
          <w:rFonts w:hint="eastAsia" w:ascii="仿宋_GB2312" w:hAnsi="仿宋_GB2312" w:eastAsia="仿宋_GB2312" w:cs="仿宋_GB2312"/>
          <w:color w:val="auto"/>
          <w:spacing w:val="0"/>
          <w:sz w:val="30"/>
          <w:szCs w:val="30"/>
          <w:shd w:val="clear" w:color="auto" w:fill="auto"/>
          <w:lang w:eastAsia="zh-CN"/>
        </w:rPr>
        <w:t>》，三是以</w:t>
      </w:r>
      <w:r>
        <w:rPr>
          <w:rFonts w:hint="eastAsia" w:ascii="仿宋_GB2312" w:hAnsi="仿宋_GB2312" w:eastAsia="仿宋_GB2312" w:cs="仿宋_GB2312"/>
          <w:i w:val="0"/>
          <w:iCs w:val="0"/>
          <w:caps w:val="0"/>
          <w:color w:val="auto"/>
          <w:spacing w:val="0"/>
          <w:sz w:val="30"/>
          <w:szCs w:val="30"/>
          <w:shd w:val="clear" w:color="auto" w:fill="FFFFFF"/>
        </w:rPr>
        <w:t>市清查</w:t>
      </w:r>
      <w:r>
        <w:rPr>
          <w:rFonts w:hint="eastAsia" w:ascii="仿宋_GB2312" w:hAnsi="仿宋_GB2312" w:eastAsia="仿宋_GB2312" w:cs="仿宋_GB2312"/>
          <w:i w:val="0"/>
          <w:iCs w:val="0"/>
          <w:caps w:val="0"/>
          <w:color w:val="auto"/>
          <w:spacing w:val="0"/>
          <w:sz w:val="30"/>
          <w:szCs w:val="30"/>
          <w:shd w:val="clear" w:color="auto" w:fill="FFFFFF"/>
          <w:lang w:eastAsia="zh-CN"/>
        </w:rPr>
        <w:t>处置闲置国有资产资源工作协调机制办公室的名义</w:t>
      </w:r>
      <w:r>
        <w:rPr>
          <w:rFonts w:hint="eastAsia" w:ascii="仿宋_GB2312" w:hAnsi="仿宋_GB2312" w:eastAsia="仿宋_GB2312" w:cs="仿宋_GB2312"/>
          <w:color w:val="auto"/>
          <w:spacing w:val="0"/>
          <w:sz w:val="30"/>
          <w:szCs w:val="30"/>
          <w:shd w:val="clear" w:color="auto" w:fill="auto"/>
          <w:lang w:eastAsia="zh-CN"/>
        </w:rPr>
        <w:t>在全市范围内下发了两期</w:t>
      </w:r>
      <w:r>
        <w:rPr>
          <w:rFonts w:hint="eastAsia" w:ascii="仿宋_GB2312" w:hAnsi="仿宋_GB2312" w:eastAsia="仿宋_GB2312" w:cs="仿宋_GB2312"/>
          <w:color w:val="auto"/>
          <w:spacing w:val="0"/>
          <w:sz w:val="30"/>
          <w:szCs w:val="30"/>
          <w:shd w:val="clear" w:color="auto" w:fill="auto"/>
        </w:rPr>
        <w:t>清查处置闲置国有资产资源专项行动</w:t>
      </w:r>
      <w:r>
        <w:rPr>
          <w:rFonts w:hint="eastAsia" w:ascii="仿宋_GB2312" w:hAnsi="仿宋_GB2312" w:eastAsia="仿宋_GB2312" w:cs="仿宋_GB2312"/>
          <w:color w:val="auto"/>
          <w:spacing w:val="0"/>
          <w:sz w:val="30"/>
          <w:szCs w:val="30"/>
          <w:shd w:val="clear" w:color="auto" w:fill="auto"/>
          <w:lang w:eastAsia="zh-CN"/>
        </w:rPr>
        <w:t>工作简报，</w:t>
      </w:r>
      <w:r>
        <w:rPr>
          <w:rFonts w:hint="eastAsia" w:ascii="仿宋_GB2312" w:hAnsi="仿宋_GB2312" w:eastAsia="仿宋_GB2312" w:cs="仿宋_GB2312"/>
          <w:color w:val="auto"/>
          <w:spacing w:val="0"/>
          <w:sz w:val="30"/>
          <w:szCs w:val="30"/>
          <w:lang w:eastAsia="zh-CN"/>
        </w:rPr>
        <w:t>积极</w:t>
      </w:r>
      <w:r>
        <w:rPr>
          <w:rFonts w:hint="eastAsia" w:ascii="仿宋_GB2312" w:hAnsi="仿宋_GB2312" w:eastAsia="仿宋_GB2312" w:cs="仿宋_GB2312"/>
          <w:color w:val="auto"/>
          <w:spacing w:val="0"/>
          <w:sz w:val="30"/>
          <w:szCs w:val="30"/>
        </w:rPr>
        <w:t>推进我市闲置国有资产资源清查处置工作</w:t>
      </w:r>
      <w:r>
        <w:rPr>
          <w:rFonts w:hint="eastAsia" w:ascii="仿宋_GB2312" w:hAnsi="仿宋_GB2312" w:eastAsia="仿宋_GB2312" w:cs="仿宋_GB2312"/>
          <w:color w:val="auto"/>
          <w:spacing w:val="0"/>
          <w:sz w:val="30"/>
          <w:szCs w:val="30"/>
          <w:lang w:eastAsia="zh-CN"/>
        </w:rPr>
        <w:t>。</w:t>
      </w:r>
      <w:r>
        <w:rPr>
          <w:rFonts w:hint="eastAsia" w:ascii="仿宋_GB2312" w:hAnsi="仿宋_GB2312" w:eastAsia="仿宋_GB2312" w:cs="仿宋_GB2312"/>
          <w:color w:val="000000"/>
          <w:sz w:val="30"/>
          <w:szCs w:val="30"/>
        </w:rPr>
        <w:t>经摸底数据汇总：</w:t>
      </w:r>
      <w:r>
        <w:rPr>
          <w:rFonts w:hint="eastAsia" w:ascii="仿宋_GB2312" w:hAnsi="仿宋_GB2312" w:eastAsia="仿宋_GB2312" w:cs="仿宋_GB2312"/>
          <w:b/>
          <w:bCs/>
          <w:sz w:val="30"/>
          <w:szCs w:val="30"/>
        </w:rPr>
        <w:t>行政事业单位资产方面</w:t>
      </w:r>
      <w:r>
        <w:rPr>
          <w:rFonts w:hint="eastAsia" w:ascii="仿宋_GB2312" w:hAnsi="仿宋_GB2312" w:eastAsia="仿宋_GB2312" w:cs="仿宋_GB2312"/>
          <w:b/>
          <w:bCs/>
          <w:sz w:val="30"/>
          <w:szCs w:val="30"/>
          <w:lang w:eastAsia="zh-CN"/>
        </w:rPr>
        <w:t>，</w:t>
      </w:r>
      <w:r>
        <w:rPr>
          <w:rFonts w:hint="eastAsia" w:ascii="仿宋_GB2312" w:hAnsi="仿宋_GB2312" w:eastAsia="仿宋_GB2312" w:cs="仿宋_GB2312"/>
          <w:color w:val="000000"/>
          <w:sz w:val="30"/>
          <w:szCs w:val="30"/>
        </w:rPr>
        <w:t>全市清理闲置</w:t>
      </w:r>
      <w:r>
        <w:rPr>
          <w:rFonts w:hint="eastAsia" w:ascii="仿宋_GB2312" w:hAnsi="仿宋_GB2312" w:eastAsia="仿宋_GB2312" w:cs="仿宋_GB2312"/>
          <w:color w:val="000000"/>
          <w:sz w:val="30"/>
          <w:szCs w:val="30"/>
          <w:lang w:eastAsia="zh-CN"/>
        </w:rPr>
        <w:t>资产总额</w:t>
      </w:r>
      <w:r>
        <w:rPr>
          <w:rFonts w:hint="eastAsia" w:ascii="仿宋_GB2312" w:hAnsi="仿宋_GB2312" w:eastAsia="仿宋_GB2312" w:cs="仿宋_GB2312"/>
          <w:color w:val="000000"/>
          <w:sz w:val="30"/>
          <w:szCs w:val="30"/>
          <w:lang w:val="en-US" w:eastAsia="zh-CN"/>
        </w:rPr>
        <w:t>5.48亿元，其中市直</w:t>
      </w:r>
      <w:r>
        <w:rPr>
          <w:rFonts w:hint="eastAsia" w:ascii="仿宋_GB2312" w:hAnsi="仿宋_GB2312" w:eastAsia="仿宋_GB2312" w:cs="仿宋_GB2312"/>
          <w:color w:val="000000"/>
          <w:sz w:val="30"/>
          <w:szCs w:val="30"/>
        </w:rPr>
        <w:t>清理闲置</w:t>
      </w:r>
      <w:r>
        <w:rPr>
          <w:rFonts w:hint="eastAsia" w:ascii="仿宋_GB2312" w:hAnsi="仿宋_GB2312" w:eastAsia="仿宋_GB2312" w:cs="仿宋_GB2312"/>
          <w:color w:val="000000"/>
          <w:sz w:val="30"/>
          <w:szCs w:val="30"/>
          <w:lang w:eastAsia="zh-CN"/>
        </w:rPr>
        <w:t>资产总额</w:t>
      </w:r>
      <w:r>
        <w:rPr>
          <w:rFonts w:hint="eastAsia" w:ascii="仿宋_GB2312" w:hAnsi="仿宋_GB2312" w:eastAsia="仿宋_GB2312" w:cs="仿宋_GB2312"/>
          <w:color w:val="000000"/>
          <w:sz w:val="30"/>
          <w:szCs w:val="30"/>
          <w:lang w:val="en-US" w:eastAsia="zh-CN"/>
        </w:rPr>
        <w:t>1.57亿元，</w:t>
      </w:r>
      <w:r>
        <w:rPr>
          <w:rFonts w:hint="eastAsia" w:ascii="仿宋_GB2312" w:hAnsi="仿宋_GB2312" w:eastAsia="仿宋_GB2312" w:cs="仿宋_GB2312"/>
          <w:color w:val="auto"/>
          <w:sz w:val="30"/>
          <w:szCs w:val="30"/>
        </w:rPr>
        <w:t>预计实现处置（盘活）收入</w:t>
      </w:r>
      <w:r>
        <w:rPr>
          <w:rFonts w:hint="eastAsia" w:ascii="仿宋_GB2312" w:hAnsi="仿宋_GB2312" w:eastAsia="仿宋_GB2312" w:cs="仿宋_GB2312"/>
          <w:color w:val="auto"/>
          <w:sz w:val="30"/>
          <w:szCs w:val="30"/>
          <w:lang w:val="en-US" w:eastAsia="zh-CN"/>
        </w:rPr>
        <w:t>0.87</w:t>
      </w:r>
      <w:r>
        <w:rPr>
          <w:rFonts w:hint="eastAsia" w:ascii="仿宋_GB2312" w:hAnsi="仿宋_GB2312" w:eastAsia="仿宋_GB2312" w:cs="仿宋_GB2312"/>
          <w:color w:val="000000"/>
          <w:sz w:val="30"/>
          <w:szCs w:val="30"/>
          <w:lang w:val="en-US" w:eastAsia="zh-CN"/>
        </w:rPr>
        <w:t>亿元；</w:t>
      </w:r>
      <w:r>
        <w:rPr>
          <w:rFonts w:hint="eastAsia" w:ascii="仿宋_GB2312" w:hAnsi="仿宋_GB2312" w:eastAsia="仿宋_GB2312" w:cs="仿宋_GB2312"/>
          <w:b/>
          <w:bCs/>
          <w:sz w:val="30"/>
          <w:szCs w:val="30"/>
        </w:rPr>
        <w:t>国有资源资产方面</w:t>
      </w:r>
      <w:r>
        <w:rPr>
          <w:rFonts w:hint="eastAsia" w:ascii="仿宋_GB2312" w:hAnsi="仿宋_GB2312" w:eastAsia="仿宋_GB2312" w:cs="仿宋_GB2312"/>
          <w:b/>
          <w:bCs/>
          <w:sz w:val="30"/>
          <w:szCs w:val="30"/>
          <w:lang w:eastAsia="zh-CN"/>
        </w:rPr>
        <w:t>，</w:t>
      </w:r>
      <w:r>
        <w:rPr>
          <w:rFonts w:hint="eastAsia" w:ascii="仿宋_GB2312" w:hAnsi="仿宋_GB2312" w:eastAsia="仿宋_GB2312" w:cs="仿宋_GB2312"/>
          <w:color w:val="000000"/>
          <w:sz w:val="30"/>
          <w:szCs w:val="30"/>
        </w:rPr>
        <w:t>全市共清理闲置土地281宗、面积2万亩（市本级国有闲置土地126宗、面积8949.45亩）。全市闲置取水许可量8951.12万m³，已规划未开采或开采进度滞后的砂石资源闲置可采量3148.13万吨；</w:t>
      </w:r>
      <w:r>
        <w:rPr>
          <w:rFonts w:hint="eastAsia" w:ascii="仿宋_GB2312" w:hAnsi="仿宋_GB2312" w:eastAsia="仿宋_GB2312" w:cs="仿宋_GB2312"/>
          <w:b/>
          <w:bCs/>
          <w:sz w:val="30"/>
          <w:szCs w:val="30"/>
        </w:rPr>
        <w:t>企业国有资产方面</w:t>
      </w:r>
      <w:r>
        <w:rPr>
          <w:rFonts w:hint="eastAsia" w:ascii="仿宋_GB2312" w:hAnsi="仿宋_GB2312" w:eastAsia="仿宋_GB2312" w:cs="仿宋_GB2312"/>
          <w:b/>
          <w:bCs/>
          <w:sz w:val="30"/>
          <w:szCs w:val="30"/>
          <w:lang w:eastAsia="zh-CN"/>
        </w:rPr>
        <w:t>，</w:t>
      </w:r>
      <w:r>
        <w:rPr>
          <w:rFonts w:hint="eastAsia" w:ascii="仿宋_GB2312" w:hAnsi="仿宋_GB2312" w:eastAsia="仿宋_GB2312" w:cs="仿宋_GB2312"/>
          <w:color w:val="000000"/>
          <w:sz w:val="30"/>
          <w:szCs w:val="30"/>
        </w:rPr>
        <w:t>全市国有企业共</w:t>
      </w:r>
      <w:r>
        <w:rPr>
          <w:rFonts w:hint="eastAsia" w:ascii="仿宋_GB2312" w:hAnsi="仿宋_GB2312" w:eastAsia="仿宋_GB2312" w:cs="仿宋_GB2312"/>
          <w:color w:val="000000"/>
          <w:sz w:val="30"/>
          <w:szCs w:val="30"/>
          <w:lang w:eastAsia="zh-CN"/>
        </w:rPr>
        <w:t>清理可盘活国有资产账面原值</w:t>
      </w:r>
      <w:r>
        <w:rPr>
          <w:rFonts w:hint="eastAsia" w:ascii="仿宋_GB2312" w:hAnsi="仿宋_GB2312" w:eastAsia="仿宋_GB2312" w:cs="仿宋_GB2312"/>
          <w:color w:val="000000"/>
          <w:sz w:val="30"/>
          <w:szCs w:val="30"/>
          <w:lang w:val="en-US" w:eastAsia="zh-CN"/>
        </w:rPr>
        <w:t>559.19亿元，其中市本级217.72亿元，</w:t>
      </w:r>
      <w:r>
        <w:rPr>
          <w:rFonts w:hint="eastAsia" w:ascii="仿宋_GB2312" w:hAnsi="仿宋_GB2312" w:eastAsia="仿宋_GB2312" w:cs="仿宋_GB2312"/>
          <w:color w:val="000000"/>
          <w:sz w:val="30"/>
          <w:szCs w:val="30"/>
        </w:rPr>
        <w:t>包括房屋、土地、股权、债权、特许经营权等</w:t>
      </w:r>
      <w:r>
        <w:rPr>
          <w:rFonts w:hint="eastAsia" w:ascii="仿宋_GB2312" w:hAnsi="仿宋_GB2312" w:eastAsia="仿宋_GB2312" w:cs="仿宋_GB2312"/>
          <w:color w:val="000000"/>
          <w:sz w:val="30"/>
          <w:szCs w:val="30"/>
          <w:lang w:eastAsia="zh-CN"/>
        </w:rPr>
        <w:t>；</w:t>
      </w:r>
      <w:r>
        <w:rPr>
          <w:rFonts w:hint="eastAsia" w:ascii="仿宋_GB2312" w:hAnsi="仿宋_GB2312" w:eastAsia="仿宋_GB2312" w:cs="仿宋_GB2312"/>
          <w:b/>
          <w:bCs/>
          <w:sz w:val="30"/>
          <w:szCs w:val="30"/>
        </w:rPr>
        <w:t>园区资产方面</w:t>
      </w:r>
      <w:r>
        <w:rPr>
          <w:rFonts w:hint="eastAsia" w:ascii="仿宋_GB2312" w:hAnsi="仿宋_GB2312" w:eastAsia="仿宋_GB2312" w:cs="仿宋_GB2312"/>
          <w:b/>
          <w:bCs/>
          <w:sz w:val="30"/>
          <w:szCs w:val="30"/>
          <w:lang w:eastAsia="zh-CN"/>
        </w:rPr>
        <w:t>，</w:t>
      </w:r>
      <w:r>
        <w:rPr>
          <w:rFonts w:hint="eastAsia" w:ascii="仿宋_GB2312" w:hAnsi="仿宋_GB2312" w:eastAsia="仿宋_GB2312" w:cs="仿宋_GB2312"/>
          <w:color w:val="000000"/>
          <w:sz w:val="30"/>
          <w:szCs w:val="30"/>
        </w:rPr>
        <w:t>全市产业园区闲置、低效用地1.23万亩，闲置厂房20.30万平方米。其中，怀化高新区和怀化经开区闲置、低效用地0.74万亩，闲置厂房面积13.36万平方米</w:t>
      </w:r>
      <w:r>
        <w:rPr>
          <w:rFonts w:hint="eastAsia" w:ascii="仿宋_GB2312" w:hAnsi="仿宋_GB2312" w:eastAsia="仿宋_GB2312" w:cs="仿宋_GB2312"/>
          <w:color w:val="000000"/>
          <w:sz w:val="30"/>
          <w:szCs w:val="30"/>
          <w:lang w:eastAsia="zh-CN"/>
        </w:rPr>
        <w:t>；</w:t>
      </w:r>
      <w:r>
        <w:rPr>
          <w:rFonts w:hint="eastAsia" w:ascii="仿宋_GB2312" w:hAnsi="仿宋_GB2312" w:eastAsia="仿宋_GB2312" w:cs="仿宋_GB2312"/>
          <w:b/>
          <w:bCs/>
          <w:sz w:val="30"/>
          <w:szCs w:val="30"/>
        </w:rPr>
        <w:t>其他特许经营权方面</w:t>
      </w:r>
      <w:r>
        <w:rPr>
          <w:rFonts w:hint="eastAsia" w:ascii="仿宋_GB2312" w:hAnsi="仿宋_GB2312" w:eastAsia="仿宋_GB2312" w:cs="仿宋_GB2312"/>
          <w:b/>
          <w:bCs/>
          <w:sz w:val="30"/>
          <w:szCs w:val="30"/>
          <w:lang w:eastAsia="zh-CN"/>
        </w:rPr>
        <w:t>，</w:t>
      </w:r>
      <w:r>
        <w:rPr>
          <w:rFonts w:hint="eastAsia" w:ascii="仿宋_GB2312" w:hAnsi="仿宋_GB2312" w:eastAsia="仿宋_GB2312" w:cs="仿宋_GB2312"/>
          <w:sz w:val="30"/>
          <w:szCs w:val="30"/>
          <w:lang w:val="en-US" w:eastAsia="zh-CN"/>
        </w:rPr>
        <w:t>全市清理其他</w:t>
      </w:r>
      <w:r>
        <w:rPr>
          <w:rFonts w:hint="eastAsia" w:ascii="仿宋_GB2312" w:hAnsi="仿宋_GB2312" w:eastAsia="仿宋_GB2312" w:cs="仿宋_GB2312"/>
          <w:color w:val="000000"/>
          <w:sz w:val="30"/>
          <w:szCs w:val="30"/>
          <w:lang w:eastAsia="zh-CN"/>
        </w:rPr>
        <w:t>特许经营权</w:t>
      </w:r>
      <w:r>
        <w:rPr>
          <w:rFonts w:hint="eastAsia" w:ascii="仿宋_GB2312" w:hAnsi="仿宋_GB2312" w:eastAsia="仿宋_GB2312" w:cs="仿宋_GB2312"/>
          <w:color w:val="000000"/>
          <w:sz w:val="30"/>
          <w:szCs w:val="30"/>
          <w:lang w:val="en-US" w:eastAsia="zh-CN"/>
        </w:rPr>
        <w:t>共计72项，其中</w:t>
      </w:r>
      <w:r>
        <w:rPr>
          <w:rFonts w:hint="eastAsia" w:ascii="仿宋_GB2312" w:hAnsi="仿宋_GB2312" w:eastAsia="仿宋_GB2312" w:cs="仿宋_GB2312"/>
          <w:sz w:val="30"/>
          <w:szCs w:val="30"/>
        </w:rPr>
        <w:t>市本级</w:t>
      </w:r>
      <w:r>
        <w:rPr>
          <w:rFonts w:hint="eastAsia" w:ascii="仿宋_GB2312" w:hAnsi="仿宋_GB2312" w:eastAsia="仿宋_GB2312" w:cs="仿宋_GB2312"/>
          <w:bCs/>
          <w:spacing w:val="-6"/>
          <w:sz w:val="30"/>
          <w:szCs w:val="30"/>
        </w:rPr>
        <w:t>特许经营权12</w:t>
      </w:r>
      <w:r>
        <w:rPr>
          <w:rFonts w:hint="eastAsia" w:ascii="仿宋_GB2312" w:hAnsi="仿宋_GB2312" w:eastAsia="仿宋_GB2312" w:cs="仿宋_GB2312"/>
          <w:bCs/>
          <w:spacing w:val="-6"/>
          <w:sz w:val="30"/>
          <w:szCs w:val="30"/>
          <w:lang w:eastAsia="zh-CN"/>
        </w:rPr>
        <w:t>项</w:t>
      </w:r>
      <w:r>
        <w:rPr>
          <w:rFonts w:hint="eastAsia" w:ascii="仿宋_GB2312" w:hAnsi="仿宋_GB2312" w:eastAsia="仿宋_GB2312" w:cs="仿宋_GB2312"/>
          <w:bCs/>
          <w:spacing w:val="-6"/>
          <w:sz w:val="30"/>
          <w:szCs w:val="30"/>
        </w:rPr>
        <w:t>，资产项目合计总投资31.05亿元。</w:t>
      </w:r>
      <w:r>
        <w:rPr>
          <w:rFonts w:hint="eastAsia" w:ascii="仿宋_GB2312" w:hAnsi="仿宋_GB2312" w:eastAsia="仿宋_GB2312" w:cs="仿宋_GB2312"/>
          <w:color w:val="auto"/>
          <w:sz w:val="30"/>
          <w:szCs w:val="30"/>
        </w:rPr>
        <w:t>预计实现处置（盘活）收入</w:t>
      </w:r>
      <w:r>
        <w:rPr>
          <w:rFonts w:hint="eastAsia" w:ascii="仿宋_GB2312" w:hAnsi="仿宋_GB2312" w:eastAsia="仿宋_GB2312" w:cs="仿宋_GB2312"/>
          <w:color w:val="auto"/>
          <w:sz w:val="30"/>
          <w:szCs w:val="30"/>
          <w:lang w:val="en-US" w:eastAsia="zh-CN"/>
        </w:rPr>
        <w:t>24.84亿</w:t>
      </w:r>
      <w:r>
        <w:rPr>
          <w:rFonts w:hint="eastAsia" w:ascii="仿宋_GB2312" w:hAnsi="仿宋_GB2312" w:eastAsia="仿宋_GB2312" w:cs="仿宋_GB2312"/>
          <w:color w:val="auto"/>
          <w:sz w:val="30"/>
          <w:szCs w:val="30"/>
        </w:rPr>
        <w:t>元。</w:t>
      </w:r>
      <w:r>
        <w:rPr>
          <w:rFonts w:hint="eastAsia" w:ascii="仿宋_GB2312" w:hAnsi="仿宋_GB2312" w:eastAsia="仿宋_GB2312" w:cs="仿宋_GB2312"/>
          <w:color w:val="auto"/>
          <w:spacing w:val="0"/>
          <w:sz w:val="30"/>
          <w:szCs w:val="30"/>
          <w:lang w:eastAsia="zh-CN"/>
        </w:rPr>
        <w:t>目前，已将所有闲置资产</w:t>
      </w:r>
      <w:r>
        <w:rPr>
          <w:rFonts w:hint="eastAsia" w:ascii="仿宋_GB2312" w:hAnsi="仿宋_GB2312" w:eastAsia="仿宋_GB2312" w:cs="仿宋_GB2312"/>
          <w:color w:val="auto"/>
          <w:spacing w:val="0"/>
          <w:sz w:val="30"/>
          <w:szCs w:val="30"/>
          <w:u w:val="none"/>
          <w:lang w:eastAsia="zh-CN"/>
        </w:rPr>
        <w:t>纳入存量</w:t>
      </w:r>
      <w:r>
        <w:rPr>
          <w:rFonts w:hint="eastAsia" w:ascii="仿宋_GB2312" w:hAnsi="仿宋_GB2312" w:eastAsia="仿宋_GB2312" w:cs="仿宋_GB2312"/>
          <w:i w:val="0"/>
          <w:iCs w:val="0"/>
          <w:caps w:val="0"/>
          <w:color w:val="auto"/>
          <w:spacing w:val="0"/>
          <w:sz w:val="30"/>
          <w:szCs w:val="30"/>
          <w:u w:val="none"/>
          <w:shd w:val="clear" w:color="auto" w:fill="FFFFFF"/>
          <w:lang w:eastAsia="zh-CN"/>
        </w:rPr>
        <w:t>国有资产资源盘活工作一并处置。</w:t>
      </w:r>
    </w:p>
    <w:p w14:paraId="1002FC4A">
      <w:pPr>
        <w:pStyle w:val="2"/>
        <w:keepNext w:val="0"/>
        <w:keepLines w:val="0"/>
        <w:widowControl/>
        <w:numPr>
          <w:ilvl w:val="0"/>
          <w:numId w:val="2"/>
        </w:numPr>
        <w:suppressLineNumbers w:val="0"/>
        <w:spacing w:before="0" w:beforeAutospacing="0" w:after="0" w:afterAutospacing="0" w:line="375" w:lineRule="atLeast"/>
        <w:ind w:left="88" w:leftChars="0" w:right="0" w:firstLine="0" w:firstLineChars="0"/>
        <w:jc w:val="both"/>
        <w:rPr>
          <w:rFonts w:hint="eastAsia" w:ascii="黑体" w:hAnsi="微软雅黑" w:eastAsia="黑体" w:cs="黑体"/>
          <w:color w:val="313131"/>
          <w:sz w:val="30"/>
          <w:szCs w:val="30"/>
        </w:rPr>
      </w:pPr>
      <w:r>
        <w:rPr>
          <w:rFonts w:hint="eastAsia" w:ascii="黑体" w:hAnsi="微软雅黑" w:eastAsia="黑体" w:cs="黑体"/>
          <w:color w:val="313131"/>
          <w:sz w:val="30"/>
          <w:szCs w:val="30"/>
        </w:rPr>
        <w:t>存在的主要问题</w:t>
      </w:r>
    </w:p>
    <w:p w14:paraId="311C07C8">
      <w:pPr>
        <w:widowControl/>
        <w:shd w:val="clear" w:color="auto" w:fill="FFFFFF"/>
        <w:spacing w:line="600" w:lineRule="atLeast"/>
        <w:ind w:firstLine="640"/>
        <w:rPr>
          <w:rFonts w:hint="eastAsia" w:ascii="黑体" w:hAnsi="微软雅黑" w:eastAsia="黑体" w:cs="黑体"/>
          <w:color w:val="313131"/>
          <w:sz w:val="30"/>
          <w:szCs w:val="30"/>
          <w:lang w:eastAsia="zh-CN"/>
        </w:rPr>
      </w:pPr>
      <w:r>
        <w:rPr>
          <w:rFonts w:hint="eastAsia" w:ascii="仿宋_GB2312" w:hAnsi="仿宋_GB2312" w:eastAsia="仿宋_GB2312" w:cs="Times New Roman"/>
          <w:color w:val="000000"/>
          <w:kern w:val="2"/>
          <w:sz w:val="30"/>
          <w:szCs w:val="30"/>
          <w:lang w:val="en-US" w:eastAsia="zh-CN" w:bidi="ar-SA"/>
        </w:rPr>
        <w:t>基本支出预算安排与实际支出存在一定差异。除基本工资、津补贴、社保、绩效工资等以外的人员经费支出，预算安排精细化、规范化程度不够，造成了预算数与执行数的偏差。项目支出个别科目执行与预算存在差异，项目支出预算编制与部门年度工作计划不同步。部门预算编报时间一般在九月左右，而部门下年度工作计划一般在年末，时间上不同步。财务人员无法预先准确掌握下年度各部门工作计划及经费需求，加之预算编制时间紧、任务重，所以只能根据上年的决算数据及下年度预计经费需求测算编制，导致全年预算编制不够全面。</w:t>
      </w:r>
    </w:p>
    <w:p w14:paraId="605E3E6C">
      <w:pPr>
        <w:pStyle w:val="2"/>
        <w:keepNext w:val="0"/>
        <w:keepLines w:val="0"/>
        <w:widowControl/>
        <w:suppressLineNumbers w:val="0"/>
        <w:spacing w:before="0" w:beforeAutospacing="0" w:after="0" w:afterAutospacing="0" w:line="375" w:lineRule="atLeast"/>
        <w:ind w:left="0" w:right="0" w:firstLine="641"/>
        <w:jc w:val="both"/>
        <w:rPr>
          <w:sz w:val="30"/>
          <w:szCs w:val="30"/>
        </w:rPr>
      </w:pPr>
      <w:r>
        <w:rPr>
          <w:rFonts w:hint="eastAsia" w:ascii="黑体" w:hAnsi="微软雅黑" w:eastAsia="黑体" w:cs="黑体"/>
          <w:color w:val="313131"/>
          <w:sz w:val="30"/>
          <w:szCs w:val="30"/>
        </w:rPr>
        <w:t>六、改进措施和建议</w:t>
      </w:r>
    </w:p>
    <w:p w14:paraId="26E0BB61">
      <w:pPr>
        <w:pStyle w:val="2"/>
        <w:keepNext w:val="0"/>
        <w:keepLines w:val="0"/>
        <w:widowControl/>
        <w:suppressLineNumbers w:val="0"/>
        <w:spacing w:before="0" w:beforeAutospacing="0" w:after="0" w:afterAutospacing="0" w:line="375" w:lineRule="atLeast"/>
        <w:ind w:left="0" w:right="0" w:firstLine="641"/>
        <w:jc w:val="both"/>
        <w:rPr>
          <w:rFonts w:hint="eastAsia" w:ascii="仿宋_GB2312" w:hAnsi="仿宋_GB2312" w:eastAsia="仿宋_GB2312" w:cs="仿宋_GB2312"/>
          <w:sz w:val="30"/>
          <w:szCs w:val="30"/>
        </w:rPr>
      </w:pPr>
      <w:r>
        <w:rPr>
          <w:rFonts w:hint="eastAsia" w:ascii="仿宋_GB2312" w:hAnsi="仿宋_GB2312" w:eastAsia="仿宋_GB2312" w:cs="仿宋_GB2312"/>
          <w:b/>
          <w:color w:val="313131"/>
          <w:sz w:val="30"/>
          <w:szCs w:val="30"/>
        </w:rPr>
        <w:t>1、细化预算编制工作，做好预算编制。</w:t>
      </w:r>
      <w:r>
        <w:rPr>
          <w:rFonts w:hint="eastAsia" w:ascii="仿宋_GB2312" w:hAnsi="仿宋_GB2312" w:eastAsia="仿宋_GB2312" w:cs="仿宋_GB2312"/>
          <w:color w:val="313131"/>
          <w:sz w:val="30"/>
          <w:szCs w:val="30"/>
        </w:rPr>
        <w:t>进一步加强局内部机构各科室的预算管理意识，严格按照预算编制的相关制度和要求进行预算编制。</w:t>
      </w:r>
    </w:p>
    <w:p w14:paraId="7D00A336">
      <w:pPr>
        <w:pStyle w:val="2"/>
        <w:keepNext w:val="0"/>
        <w:keepLines w:val="0"/>
        <w:widowControl/>
        <w:suppressLineNumbers w:val="0"/>
        <w:spacing w:before="0" w:beforeAutospacing="0" w:after="0" w:afterAutospacing="0" w:line="375" w:lineRule="atLeast"/>
        <w:ind w:left="0" w:right="0" w:firstLine="641"/>
        <w:jc w:val="both"/>
        <w:rPr>
          <w:rFonts w:hint="eastAsia" w:ascii="仿宋_GB2312" w:hAnsi="仿宋_GB2312" w:eastAsia="仿宋_GB2312" w:cs="仿宋_GB2312"/>
          <w:sz w:val="30"/>
          <w:szCs w:val="30"/>
        </w:rPr>
      </w:pPr>
      <w:r>
        <w:rPr>
          <w:rFonts w:hint="eastAsia" w:ascii="仿宋_GB2312" w:hAnsi="仿宋_GB2312" w:eastAsia="仿宋_GB2312" w:cs="仿宋_GB2312"/>
          <w:b/>
          <w:color w:val="313131"/>
          <w:sz w:val="30"/>
          <w:szCs w:val="30"/>
        </w:rPr>
        <w:t>2、加强财务管理，严格财务审核。</w:t>
      </w:r>
      <w:r>
        <w:rPr>
          <w:rFonts w:hint="eastAsia" w:ascii="仿宋_GB2312" w:hAnsi="仿宋_GB2312" w:eastAsia="仿宋_GB2312" w:cs="仿宋_GB2312"/>
          <w:color w:val="313131"/>
          <w:sz w:val="30"/>
          <w:szCs w:val="30"/>
        </w:rPr>
        <w:t>在费用报账支付时，按照预算规定的费用项目和用途进行资金使用审核。</w:t>
      </w:r>
    </w:p>
    <w:p w14:paraId="3C2A3383">
      <w:pPr>
        <w:widowControl/>
        <w:shd w:val="clear" w:color="auto" w:fill="FFFFFF"/>
        <w:spacing w:line="600" w:lineRule="atLeast"/>
        <w:ind w:firstLine="640"/>
        <w:jc w:val="both"/>
        <w:rPr>
          <w:rFonts w:hint="eastAsia" w:ascii="仿宋_GB2312" w:hAnsi="仿宋_GB2312" w:eastAsia="仿宋_GB2312" w:cs="仿宋_GB2312"/>
          <w:b/>
          <w:spacing w:val="-2"/>
          <w:sz w:val="32"/>
          <w:szCs w:val="32"/>
          <w:lang w:eastAsia="zh-CN"/>
        </w:rPr>
      </w:pPr>
      <w:r>
        <w:rPr>
          <w:rFonts w:hint="eastAsia" w:ascii="仿宋_GB2312" w:hAnsi="仿宋_GB2312" w:eastAsia="仿宋_GB2312" w:cs="仿宋_GB2312"/>
          <w:b/>
          <w:color w:val="313131"/>
          <w:sz w:val="30"/>
          <w:szCs w:val="30"/>
        </w:rPr>
        <w:t>3、继续抓好“三公”经费控制管理。</w:t>
      </w:r>
      <w:r>
        <w:rPr>
          <w:rFonts w:hint="eastAsia" w:ascii="仿宋_GB2312" w:hAnsi="仿宋_GB2312" w:eastAsia="仿宋_GB2312" w:cs="仿宋_GB2312"/>
          <w:color w:val="313131"/>
          <w:sz w:val="30"/>
          <w:szCs w:val="30"/>
        </w:rPr>
        <w:t>严格按制“三公”经费的规模和比例 ，</w:t>
      </w:r>
      <w:r>
        <w:rPr>
          <w:rFonts w:hint="eastAsia" w:ascii="仿宋_GB2312" w:hAnsi="仿宋_GB2312" w:eastAsia="仿宋_GB2312" w:cs="仿宋_GB2312"/>
          <w:color w:val="313131"/>
          <w:sz w:val="30"/>
          <w:szCs w:val="30"/>
          <w:lang w:eastAsia="zh-CN"/>
        </w:rPr>
        <w:t>进一步细化“三公”经费的管理，</w:t>
      </w:r>
      <w:r>
        <w:rPr>
          <w:rFonts w:hint="eastAsia" w:ascii="仿宋_GB2312" w:hAnsi="仿宋_GB2312" w:eastAsia="仿宋_GB2312" w:cs="仿宋_GB2312"/>
          <w:color w:val="313131"/>
          <w:sz w:val="30"/>
          <w:szCs w:val="30"/>
        </w:rPr>
        <w:t>把</w:t>
      </w:r>
      <w:r>
        <w:rPr>
          <w:rFonts w:hint="eastAsia" w:ascii="仿宋_GB2312" w:hAnsi="仿宋_GB2312" w:eastAsia="仿宋_GB2312" w:cs="仿宋_GB2312"/>
          <w:color w:val="313131"/>
          <w:sz w:val="30"/>
          <w:szCs w:val="30"/>
          <w:lang w:eastAsia="zh-CN"/>
        </w:rPr>
        <w:t>好</w:t>
      </w:r>
      <w:r>
        <w:rPr>
          <w:rFonts w:hint="eastAsia" w:ascii="仿宋_GB2312" w:hAnsi="仿宋_GB2312" w:eastAsia="仿宋_GB2312" w:cs="仿宋_GB2312"/>
          <w:color w:val="313131"/>
          <w:sz w:val="30"/>
          <w:szCs w:val="30"/>
        </w:rPr>
        <w:t>“三公经费支出的审核、审批</w:t>
      </w:r>
      <w:r>
        <w:rPr>
          <w:rFonts w:hint="eastAsia" w:ascii="仿宋_GB2312" w:hAnsi="仿宋_GB2312" w:eastAsia="仿宋_GB2312" w:cs="仿宋_GB2312"/>
          <w:color w:val="313131"/>
          <w:sz w:val="30"/>
          <w:szCs w:val="30"/>
          <w:lang w:eastAsia="zh-CN"/>
        </w:rPr>
        <w:t>关。</w:t>
      </w:r>
    </w:p>
    <w:p w14:paraId="2C69DBE0"/>
    <w:p w14:paraId="5FBB6973">
      <w:pPr>
        <w:ind w:firstLine="640" w:firstLineChars="200"/>
        <w:jc w:val="left"/>
        <w:rPr>
          <w:rFonts w:cs="黑体" w:asciiTheme="minorEastAsia" w:hAnsiTheme="minorEastAsia"/>
          <w:color w:val="000000"/>
          <w:kern w:val="0"/>
          <w:sz w:val="32"/>
          <w:szCs w:val="32"/>
        </w:rPr>
      </w:pPr>
    </w:p>
    <w:p w14:paraId="761452E5"/>
    <w:sectPr>
      <w:pgSz w:w="11906" w:h="16838"/>
      <w:pgMar w:top="1117" w:right="1117" w:bottom="1117" w:left="1684" w:header="851" w:footer="992" w:gutter="0"/>
      <w:cols w:space="0" w:num="1"/>
      <w:rtlGutter w:val="0"/>
      <w:docGrid w:type="linesAndChar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B3DE512"/>
    <w:multiLevelType w:val="singleLevel"/>
    <w:tmpl w:val="EB3DE512"/>
    <w:lvl w:ilvl="0" w:tentative="0">
      <w:start w:val="5"/>
      <w:numFmt w:val="chineseCounting"/>
      <w:suff w:val="nothing"/>
      <w:lvlText w:val="%1、"/>
      <w:lvlJc w:val="left"/>
      <w:pPr>
        <w:ind w:left="88" w:firstLine="0"/>
      </w:pPr>
      <w:rPr>
        <w:rFonts w:hint="eastAsia"/>
      </w:rPr>
    </w:lvl>
  </w:abstractNum>
  <w:abstractNum w:abstractNumId="1">
    <w:nsid w:val="3ABB91A9"/>
    <w:multiLevelType w:val="singleLevel"/>
    <w:tmpl w:val="3ABB91A9"/>
    <w:lvl w:ilvl="0" w:tentative="0">
      <w:start w:val="3"/>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A3YzhmNzc3NWQ4MGM0ZWRjMzI0ZjdlYWYzNmU2NzMifQ=="/>
  </w:docVars>
  <w:rsids>
    <w:rsidRoot w:val="76A31B69"/>
    <w:rsid w:val="76A31B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nhideWhenUsed/>
    <w:qFormat/>
    <w:uiPriority w:val="99"/>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2024-10-13T06:35:00Z</dcterms:created>
  <dc:creator>chritypest</dc:creator>
  <cp:lastModifiedBy>chritypest</cp:lastModifiedBy>
  <dcterms:modified xsi:type="dcterms:W3CDTF">2024-10-13T06:35:57Z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C906841B53F642D9A542593AA73623C8_11</vt:lpwstr>
  </property>
</Properties>
</file>