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627A2">
      <w:pPr>
        <w:pStyle w:val="13"/>
        <w:jc w:val="center"/>
        <w:rPr>
          <w:rFonts w:hint="eastAsia"/>
          <w:sz w:val="56"/>
          <w:szCs w:val="56"/>
        </w:rPr>
      </w:pPr>
    </w:p>
    <w:p w14:paraId="2E1CE41B">
      <w:pPr>
        <w:pStyle w:val="13"/>
        <w:jc w:val="center"/>
        <w:rPr>
          <w:sz w:val="56"/>
          <w:szCs w:val="56"/>
        </w:rPr>
      </w:pPr>
    </w:p>
    <w:p w14:paraId="0AA64E6E">
      <w:pPr>
        <w:pStyle w:val="13"/>
        <w:jc w:val="center"/>
        <w:rPr>
          <w:sz w:val="56"/>
          <w:szCs w:val="56"/>
        </w:rPr>
      </w:pPr>
    </w:p>
    <w:p w14:paraId="33595E38">
      <w:pPr>
        <w:pStyle w:val="13"/>
        <w:jc w:val="center"/>
        <w:rPr>
          <w:sz w:val="84"/>
          <w:szCs w:val="84"/>
        </w:rPr>
      </w:pPr>
    </w:p>
    <w:p w14:paraId="3BEEAC75">
      <w:pPr>
        <w:pStyle w:val="13"/>
        <w:jc w:val="center"/>
        <w:rPr>
          <w:sz w:val="84"/>
          <w:szCs w:val="84"/>
        </w:rPr>
      </w:pPr>
    </w:p>
    <w:p w14:paraId="30B5379C">
      <w:pPr>
        <w:pStyle w:val="13"/>
        <w:jc w:val="center"/>
        <w:rPr>
          <w:sz w:val="84"/>
          <w:szCs w:val="84"/>
        </w:rPr>
      </w:pPr>
      <w:r>
        <w:rPr>
          <w:rFonts w:hint="eastAsia"/>
          <w:sz w:val="84"/>
          <w:szCs w:val="84"/>
        </w:rPr>
        <w:t>202</w:t>
      </w:r>
      <w:r>
        <w:rPr>
          <w:rFonts w:hint="eastAsia"/>
          <w:sz w:val="84"/>
          <w:szCs w:val="84"/>
          <w:lang w:val="en-US" w:eastAsia="zh-CN"/>
        </w:rPr>
        <w:t>3</w:t>
      </w:r>
      <w:r>
        <w:rPr>
          <w:rFonts w:hint="eastAsia"/>
          <w:sz w:val="84"/>
          <w:szCs w:val="84"/>
        </w:rPr>
        <w:t>年度</w:t>
      </w:r>
    </w:p>
    <w:p w14:paraId="240E54E2">
      <w:pPr>
        <w:pStyle w:val="13"/>
        <w:jc w:val="center"/>
        <w:rPr>
          <w:sz w:val="84"/>
          <w:szCs w:val="84"/>
        </w:rPr>
      </w:pPr>
      <w:r>
        <w:rPr>
          <w:rFonts w:hint="eastAsia"/>
          <w:sz w:val="84"/>
          <w:szCs w:val="84"/>
          <w:lang w:eastAsia="zh-CN"/>
        </w:rPr>
        <w:t>怀化市财政局</w:t>
      </w:r>
      <w:r>
        <w:rPr>
          <w:rFonts w:hint="eastAsia"/>
          <w:sz w:val="84"/>
          <w:szCs w:val="84"/>
        </w:rPr>
        <w:t>部门决算</w:t>
      </w:r>
    </w:p>
    <w:p w14:paraId="69DE2E2F">
      <w:pPr>
        <w:pStyle w:val="13"/>
        <w:jc w:val="center"/>
        <w:rPr>
          <w:sz w:val="56"/>
          <w:szCs w:val="56"/>
        </w:rPr>
      </w:pPr>
    </w:p>
    <w:p w14:paraId="7478BB8D">
      <w:pPr>
        <w:pStyle w:val="13"/>
        <w:jc w:val="center"/>
        <w:rPr>
          <w:sz w:val="56"/>
          <w:szCs w:val="56"/>
        </w:rPr>
      </w:pPr>
    </w:p>
    <w:p w14:paraId="611469DE">
      <w:pPr>
        <w:pStyle w:val="13"/>
        <w:jc w:val="center"/>
        <w:rPr>
          <w:sz w:val="56"/>
          <w:szCs w:val="56"/>
        </w:rPr>
      </w:pPr>
    </w:p>
    <w:p w14:paraId="3E6B1827">
      <w:pPr>
        <w:pStyle w:val="13"/>
        <w:jc w:val="center"/>
        <w:rPr>
          <w:sz w:val="56"/>
          <w:szCs w:val="56"/>
        </w:rPr>
      </w:pPr>
    </w:p>
    <w:p w14:paraId="6A39D33E">
      <w:pPr>
        <w:pStyle w:val="13"/>
        <w:jc w:val="center"/>
        <w:rPr>
          <w:sz w:val="32"/>
          <w:szCs w:val="32"/>
        </w:rPr>
      </w:pPr>
    </w:p>
    <w:p w14:paraId="6E695BF0">
      <w:pPr>
        <w:pStyle w:val="13"/>
        <w:jc w:val="center"/>
        <w:rPr>
          <w:sz w:val="32"/>
          <w:szCs w:val="32"/>
        </w:rPr>
      </w:pPr>
    </w:p>
    <w:p w14:paraId="4B7E5979">
      <w:pPr>
        <w:pStyle w:val="13"/>
        <w:jc w:val="center"/>
        <w:rPr>
          <w:sz w:val="32"/>
          <w:szCs w:val="32"/>
        </w:rPr>
      </w:pPr>
    </w:p>
    <w:p w14:paraId="29AE2B67">
      <w:pPr>
        <w:pStyle w:val="13"/>
        <w:jc w:val="center"/>
        <w:rPr>
          <w:sz w:val="32"/>
          <w:szCs w:val="32"/>
        </w:rPr>
      </w:pPr>
    </w:p>
    <w:p w14:paraId="1DD9879B">
      <w:pPr>
        <w:pStyle w:val="13"/>
        <w:jc w:val="center"/>
        <w:rPr>
          <w:sz w:val="32"/>
          <w:szCs w:val="32"/>
        </w:rPr>
      </w:pPr>
    </w:p>
    <w:p w14:paraId="2FA5715E">
      <w:pPr>
        <w:pStyle w:val="13"/>
        <w:jc w:val="center"/>
        <w:rPr>
          <w:sz w:val="32"/>
          <w:szCs w:val="32"/>
        </w:rPr>
      </w:pPr>
    </w:p>
    <w:p w14:paraId="343B1CFE">
      <w:pPr>
        <w:pStyle w:val="13"/>
        <w:spacing w:line="500" w:lineRule="exact"/>
        <w:jc w:val="center"/>
        <w:rPr>
          <w:b/>
          <w:sz w:val="36"/>
          <w:szCs w:val="28"/>
        </w:rPr>
      </w:pPr>
      <w:r>
        <w:rPr>
          <w:rFonts w:hint="eastAsia"/>
          <w:b/>
          <w:sz w:val="36"/>
          <w:szCs w:val="28"/>
        </w:rPr>
        <w:t>目录</w:t>
      </w:r>
    </w:p>
    <w:p w14:paraId="5F5B5BE1">
      <w:pPr>
        <w:pStyle w:val="13"/>
        <w:widowControl w:val="0"/>
        <w:wordWrap/>
        <w:snapToGrid/>
        <w:spacing w:line="480" w:lineRule="exact"/>
        <w:ind w:left="0" w:leftChars="0" w:right="0"/>
        <w:jc w:val="left"/>
        <w:textAlignment w:val="auto"/>
        <w:outlineLvl w:val="9"/>
        <w:rPr>
          <w:rFonts w:hint="eastAsia"/>
          <w:b/>
          <w:sz w:val="13"/>
          <w:szCs w:val="13"/>
        </w:rPr>
      </w:pPr>
    </w:p>
    <w:p w14:paraId="0FA30502">
      <w:pPr>
        <w:pStyle w:val="13"/>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b/>
          <w:sz w:val="32"/>
          <w:szCs w:val="32"/>
        </w:rPr>
        <w:t>第一部分</w:t>
      </w:r>
      <w:r>
        <w:rPr>
          <w:rFonts w:hint="eastAsia"/>
          <w:b/>
          <w:sz w:val="32"/>
          <w:szCs w:val="32"/>
          <w:lang w:val="en-US" w:eastAsia="zh-CN"/>
        </w:rPr>
        <w:t xml:space="preserve"> </w:t>
      </w:r>
      <w:r>
        <w:rPr>
          <w:rFonts w:hint="eastAsia"/>
          <w:b/>
          <w:sz w:val="32"/>
          <w:szCs w:val="32"/>
          <w:lang w:eastAsia="zh-CN"/>
        </w:rPr>
        <w:t>怀化市财政局</w:t>
      </w:r>
      <w:r>
        <w:rPr>
          <w:rFonts w:hint="eastAsia"/>
          <w:b/>
          <w:sz w:val="32"/>
          <w:szCs w:val="32"/>
        </w:rPr>
        <w:t>概况</w:t>
      </w:r>
    </w:p>
    <w:p w14:paraId="484DC519">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一、部门职责</w:t>
      </w:r>
    </w:p>
    <w:p w14:paraId="46A77247">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二、机构设置</w:t>
      </w:r>
    </w:p>
    <w:p w14:paraId="016B3FFA">
      <w:pPr>
        <w:pStyle w:val="13"/>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hAnsi="仿宋_GB2312"/>
          <w:b/>
          <w:sz w:val="32"/>
          <w:szCs w:val="32"/>
        </w:rPr>
        <w:t>第二部分</w:t>
      </w:r>
      <w:r>
        <w:rPr>
          <w:rFonts w:hint="eastAsia" w:hAnsi="仿宋_GB2312"/>
          <w:b/>
          <w:sz w:val="32"/>
          <w:szCs w:val="32"/>
          <w:lang w:val="en-US" w:eastAsia="zh-CN"/>
        </w:rPr>
        <w:t xml:space="preserve"> </w:t>
      </w:r>
      <w:r>
        <w:rPr>
          <w:rFonts w:hint="eastAsia" w:hAnsi="仿宋_GB2312"/>
          <w:b/>
          <w:sz w:val="32"/>
          <w:szCs w:val="32"/>
        </w:rPr>
        <w:t>部门决算表</w:t>
      </w:r>
    </w:p>
    <w:p w14:paraId="592E3180">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一、收入支出决算总表</w:t>
      </w:r>
    </w:p>
    <w:p w14:paraId="43E90B66">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二、收入决算表</w:t>
      </w:r>
    </w:p>
    <w:p w14:paraId="29758283">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三、支出决算表</w:t>
      </w:r>
    </w:p>
    <w:p w14:paraId="1808739F">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四、财政拨款收入支出决算总表</w:t>
      </w:r>
    </w:p>
    <w:p w14:paraId="7794FC7B">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五、一般公共预算财政拨款支出决算表</w:t>
      </w:r>
    </w:p>
    <w:p w14:paraId="241C5C11">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六、一般公共预算财政拨款基本支出决算</w:t>
      </w:r>
      <w:r>
        <w:rPr>
          <w:rFonts w:hint="eastAsia" w:ascii="宋体" w:hAnsi="宋体" w:eastAsia="宋体" w:cs="仿宋_GB2312"/>
          <w:sz w:val="32"/>
          <w:szCs w:val="32"/>
        </w:rPr>
        <w:t>明细</w:t>
      </w:r>
      <w:r>
        <w:rPr>
          <w:rFonts w:ascii="宋体" w:hAnsi="宋体" w:eastAsia="宋体" w:cs="仿宋_GB2312"/>
          <w:sz w:val="32"/>
          <w:szCs w:val="32"/>
        </w:rPr>
        <w:t>表</w:t>
      </w:r>
    </w:p>
    <w:p w14:paraId="228DEF22">
      <w:pPr>
        <w:pStyle w:val="13"/>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七、政府性基金预算财政拨款收入支出决算表</w:t>
      </w:r>
    </w:p>
    <w:p w14:paraId="6B648E37">
      <w:pPr>
        <w:pStyle w:val="13"/>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八、国有资本经营预算财政拨款支出决算表</w:t>
      </w:r>
    </w:p>
    <w:p w14:paraId="0C554D7C">
      <w:pPr>
        <w:pStyle w:val="13"/>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九、财政拨款“三公”经费支出决算表</w:t>
      </w:r>
    </w:p>
    <w:p w14:paraId="0389D63F">
      <w:pPr>
        <w:pStyle w:val="13"/>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hAnsi="仿宋_GB2312"/>
          <w:b/>
          <w:sz w:val="32"/>
          <w:szCs w:val="32"/>
        </w:rPr>
        <w:t>第三部分</w:t>
      </w:r>
      <w:r>
        <w:rPr>
          <w:rFonts w:hint="eastAsia" w:hAnsi="仿宋_GB2312"/>
          <w:b/>
          <w:sz w:val="32"/>
          <w:szCs w:val="32"/>
          <w:lang w:val="en-US" w:eastAsia="zh-CN"/>
        </w:rPr>
        <w:t xml:space="preserve"> </w:t>
      </w:r>
      <w:r>
        <w:rPr>
          <w:rFonts w:hint="eastAsia" w:hAnsi="仿宋_GB2312"/>
          <w:b/>
          <w:sz w:val="32"/>
          <w:szCs w:val="32"/>
        </w:rPr>
        <w:t>部门决算情况说明</w:t>
      </w:r>
    </w:p>
    <w:p w14:paraId="223ADC72">
      <w:pPr>
        <w:pStyle w:val="13"/>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一、收入支出决算总体情况说明</w:t>
      </w:r>
    </w:p>
    <w:p w14:paraId="58E98B89">
      <w:pPr>
        <w:widowControl w:val="0"/>
        <w:wordWrap/>
        <w:snapToGrid/>
        <w:spacing w:line="480" w:lineRule="exact"/>
        <w:ind w:left="0" w:leftChars="0" w:right="0" w:firstLine="800" w:firstLineChars="250"/>
        <w:jc w:val="left"/>
        <w:textAlignment w:val="auto"/>
        <w:outlineLvl w:val="9"/>
        <w:rPr>
          <w:rFonts w:ascii="仿宋_GB2312" w:hAnsi="仿宋_GB2312" w:cs="仿宋_GB2312"/>
          <w:sz w:val="32"/>
          <w:szCs w:val="32"/>
        </w:rPr>
      </w:pPr>
      <w:r>
        <w:rPr>
          <w:rFonts w:ascii="仿宋_GB2312" w:hAnsi="仿宋_GB2312" w:cs="仿宋_GB2312"/>
          <w:sz w:val="32"/>
          <w:szCs w:val="32"/>
        </w:rPr>
        <w:t>二、收入决算情况说明</w:t>
      </w:r>
    </w:p>
    <w:p w14:paraId="06219CE2">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三、支出决算情况说明</w:t>
      </w:r>
    </w:p>
    <w:p w14:paraId="523C2A57">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四、财政拨款收入支出决算总体情况说明</w:t>
      </w:r>
    </w:p>
    <w:p w14:paraId="5A68625F">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五、一般公共预算财政拨款支出决算情况说明</w:t>
      </w:r>
    </w:p>
    <w:p w14:paraId="7E74F393">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六、一般公共预算财政拨款基本支出决算情况说明</w:t>
      </w:r>
    </w:p>
    <w:p w14:paraId="04905904">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七、财政拨款三公经费支出决算情况说明</w:t>
      </w:r>
    </w:p>
    <w:p w14:paraId="03D1CF31">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八、政府性基金预算收入支出决算情况</w:t>
      </w:r>
    </w:p>
    <w:p w14:paraId="3EC2FF05">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九、国有资本经营预算收入支出决算情况</w:t>
      </w:r>
    </w:p>
    <w:p w14:paraId="149D34FF">
      <w:pPr>
        <w:widowControl w:val="0"/>
        <w:wordWrap/>
        <w:autoSpaceDE w:val="0"/>
        <w:autoSpaceDN w:val="0"/>
        <w:adjustRightInd w:val="0"/>
        <w:snapToGrid/>
        <w:spacing w:line="480" w:lineRule="exact"/>
        <w:ind w:firstLine="800" w:firstLineChars="250"/>
        <w:jc w:val="left"/>
        <w:textAlignment w:val="auto"/>
        <w:rPr>
          <w:rFonts w:hint="eastAsia" w:ascii="仿宋_GB2312" w:hAnsi="仿宋_GB2312" w:eastAsia="宋体" w:cs="仿宋_GB2312"/>
          <w:color w:val="000000"/>
          <w:kern w:val="0"/>
          <w:sz w:val="32"/>
          <w:szCs w:val="32"/>
          <w:lang w:eastAsia="zh-CN"/>
        </w:rPr>
      </w:pPr>
      <w:r>
        <w:rPr>
          <w:rFonts w:hint="eastAsia" w:ascii="仿宋_GB2312" w:hAnsi="仿宋_GB2312" w:cs="仿宋_GB2312"/>
          <w:color w:val="000000"/>
          <w:kern w:val="0"/>
          <w:sz w:val="32"/>
          <w:szCs w:val="32"/>
          <w:lang w:eastAsia="zh-CN"/>
        </w:rPr>
        <w:t>十</w:t>
      </w:r>
      <w:r>
        <w:rPr>
          <w:rFonts w:ascii="仿宋_GB2312" w:hAnsi="仿宋_GB2312" w:cs="仿宋_GB2312"/>
          <w:color w:val="000000"/>
          <w:kern w:val="0"/>
          <w:sz w:val="32"/>
          <w:szCs w:val="32"/>
        </w:rPr>
        <w:t>、</w:t>
      </w:r>
      <w:r>
        <w:rPr>
          <w:rFonts w:hint="eastAsia" w:ascii="宋体" w:hAnsi="宋体" w:eastAsia="宋体" w:cs="仿宋_GB2312"/>
          <w:sz w:val="32"/>
          <w:szCs w:val="32"/>
        </w:rPr>
        <w:t>国有资本经营预算财政拨款支出决算</w:t>
      </w:r>
      <w:r>
        <w:rPr>
          <w:rFonts w:hint="eastAsia" w:ascii="宋体" w:hAnsi="宋体" w:cs="仿宋_GB2312"/>
          <w:sz w:val="32"/>
          <w:szCs w:val="32"/>
          <w:lang w:eastAsia="zh-CN"/>
        </w:rPr>
        <w:t>情况</w:t>
      </w:r>
    </w:p>
    <w:p w14:paraId="75CDABE6">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十一、关于机关运行经费支出说明</w:t>
      </w:r>
    </w:p>
    <w:p w14:paraId="70B59FF1">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十二、一般性支出情况说明</w:t>
      </w:r>
    </w:p>
    <w:p w14:paraId="537DEB2E">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十三、关于政府采购支出说明</w:t>
      </w:r>
    </w:p>
    <w:p w14:paraId="6BECD6CE">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四</w:t>
      </w:r>
      <w:r>
        <w:rPr>
          <w:rFonts w:hint="eastAsia" w:ascii="仿宋_GB2312" w:hAnsi="仿宋_GB2312" w:cs="仿宋_GB2312"/>
          <w:color w:val="000000"/>
          <w:kern w:val="0"/>
          <w:sz w:val="32"/>
          <w:szCs w:val="32"/>
        </w:rPr>
        <w:t>、关于国有资产占用情况说明</w:t>
      </w:r>
    </w:p>
    <w:p w14:paraId="02B289BC">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五</w:t>
      </w:r>
      <w:r>
        <w:rPr>
          <w:rFonts w:hint="eastAsia" w:ascii="仿宋_GB2312" w:hAnsi="仿宋_GB2312" w:cs="仿宋_GB2312"/>
          <w:color w:val="000000"/>
          <w:kern w:val="0"/>
          <w:sz w:val="32"/>
          <w:szCs w:val="32"/>
        </w:rPr>
        <w:t>、关于</w:t>
      </w:r>
      <w:r>
        <w:rPr>
          <w:rFonts w:hint="default" w:ascii="仿宋_GB2312" w:hAnsi="仿宋_GB2312" w:cs="仿宋_GB2312"/>
          <w:color w:val="000000"/>
          <w:kern w:val="0"/>
          <w:sz w:val="32"/>
          <w:szCs w:val="32"/>
        </w:rPr>
        <w:t>202</w:t>
      </w:r>
      <w:r>
        <w:rPr>
          <w:rFonts w:hint="default" w:ascii="仿宋_GB2312" w:hAnsi="仿宋_GB2312" w:cs="仿宋_GB2312"/>
          <w:color w:val="000000"/>
          <w:kern w:val="0"/>
          <w:sz w:val="32"/>
          <w:szCs w:val="32"/>
          <w:lang w:val="en-US" w:eastAsia="zh-CN"/>
        </w:rPr>
        <w:t>3</w:t>
      </w:r>
      <w:r>
        <w:rPr>
          <w:rFonts w:hint="eastAsia" w:ascii="仿宋_GB2312" w:hAnsi="仿宋_GB2312" w:cs="仿宋_GB2312"/>
          <w:color w:val="000000"/>
          <w:kern w:val="0"/>
          <w:sz w:val="32"/>
          <w:szCs w:val="32"/>
        </w:rPr>
        <w:t>年度</w:t>
      </w:r>
      <w:r>
        <w:rPr>
          <w:rFonts w:hint="eastAsia" w:ascii="仿宋_GB2312" w:hAnsi="仿宋_GB2312" w:cs="仿宋_GB2312"/>
          <w:color w:val="000000"/>
          <w:kern w:val="0"/>
          <w:sz w:val="32"/>
          <w:szCs w:val="32"/>
          <w:lang w:eastAsia="zh-CN"/>
        </w:rPr>
        <w:t>预算</w:t>
      </w:r>
      <w:r>
        <w:rPr>
          <w:rFonts w:hint="eastAsia" w:ascii="仿宋_GB2312" w:hAnsi="仿宋_GB2312" w:cs="仿宋_GB2312"/>
          <w:color w:val="000000"/>
          <w:kern w:val="0"/>
          <w:sz w:val="32"/>
          <w:szCs w:val="32"/>
        </w:rPr>
        <w:t>绩效情况的说明</w:t>
      </w:r>
    </w:p>
    <w:p w14:paraId="414F0908">
      <w:pPr>
        <w:widowControl w:val="0"/>
        <w:wordWrap/>
        <w:autoSpaceDE w:val="0"/>
        <w:autoSpaceDN w:val="0"/>
        <w:adjustRightInd w:val="0"/>
        <w:snapToGrid/>
        <w:spacing w:line="480" w:lineRule="exact"/>
        <w:ind w:left="0" w:leftChars="0" w:right="0"/>
        <w:jc w:val="left"/>
        <w:textAlignment w:val="auto"/>
        <w:outlineLvl w:val="9"/>
        <w:rPr>
          <w:rFonts w:ascii="黑体" w:hAnsi="黑体" w:eastAsia="黑体" w:cs="黑体"/>
          <w:b/>
          <w:color w:val="000000"/>
          <w:kern w:val="0"/>
          <w:sz w:val="32"/>
          <w:szCs w:val="32"/>
        </w:rPr>
      </w:pPr>
      <w:r>
        <w:rPr>
          <w:rFonts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ascii="黑体" w:hAnsi="黑体" w:eastAsia="黑体" w:cs="黑体"/>
          <w:b/>
          <w:color w:val="000000"/>
          <w:kern w:val="0"/>
          <w:sz w:val="32"/>
          <w:szCs w:val="32"/>
        </w:rPr>
        <w:t>名词解释</w:t>
      </w:r>
    </w:p>
    <w:p w14:paraId="608E3482">
      <w:pPr>
        <w:widowControl w:val="0"/>
        <w:wordWrap/>
        <w:autoSpaceDE w:val="0"/>
        <w:autoSpaceDN w:val="0"/>
        <w:adjustRightInd w:val="0"/>
        <w:snapToGrid/>
        <w:spacing w:line="480" w:lineRule="exact"/>
        <w:ind w:left="0" w:leftChars="0" w:right="0"/>
        <w:jc w:val="left"/>
        <w:textAlignment w:val="auto"/>
        <w:outlineLvl w:val="9"/>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p>
    <w:p w14:paraId="02013696">
      <w:pPr>
        <w:jc w:val="center"/>
        <w:rPr>
          <w:sz w:val="72"/>
          <w:szCs w:val="72"/>
        </w:rPr>
      </w:pPr>
    </w:p>
    <w:p w14:paraId="4B4661F3">
      <w:pPr>
        <w:jc w:val="center"/>
        <w:rPr>
          <w:sz w:val="72"/>
          <w:szCs w:val="72"/>
        </w:rPr>
      </w:pPr>
    </w:p>
    <w:p w14:paraId="1742C45F">
      <w:pPr>
        <w:jc w:val="center"/>
        <w:rPr>
          <w:sz w:val="72"/>
          <w:szCs w:val="72"/>
        </w:rPr>
      </w:pPr>
    </w:p>
    <w:p w14:paraId="48E2762C">
      <w:pPr>
        <w:jc w:val="center"/>
        <w:rPr>
          <w:sz w:val="72"/>
          <w:szCs w:val="72"/>
        </w:rPr>
      </w:pPr>
    </w:p>
    <w:p w14:paraId="2CCEF311">
      <w:pPr>
        <w:rPr>
          <w:sz w:val="72"/>
          <w:szCs w:val="72"/>
        </w:rPr>
      </w:pPr>
    </w:p>
    <w:p w14:paraId="1FB2855D">
      <w:pPr>
        <w:pStyle w:val="13"/>
        <w:jc w:val="center"/>
        <w:rPr>
          <w:sz w:val="84"/>
          <w:szCs w:val="84"/>
        </w:rPr>
      </w:pPr>
      <w:r>
        <w:rPr>
          <w:rFonts w:hint="eastAsia"/>
          <w:sz w:val="84"/>
          <w:szCs w:val="84"/>
        </w:rPr>
        <w:t>第一部分</w:t>
      </w:r>
      <w:r>
        <w:rPr>
          <w:sz w:val="84"/>
          <w:szCs w:val="84"/>
        </w:rPr>
        <w:t xml:space="preserve"> </w:t>
      </w:r>
    </w:p>
    <w:p w14:paraId="26C19693">
      <w:pPr>
        <w:pStyle w:val="13"/>
        <w:jc w:val="center"/>
        <w:rPr>
          <w:sz w:val="84"/>
          <w:szCs w:val="84"/>
        </w:rPr>
      </w:pPr>
    </w:p>
    <w:p w14:paraId="78D3AE0D">
      <w:pPr>
        <w:pStyle w:val="13"/>
        <w:jc w:val="center"/>
        <w:rPr>
          <w:sz w:val="84"/>
          <w:szCs w:val="84"/>
        </w:rPr>
      </w:pPr>
      <w:r>
        <w:rPr>
          <w:rFonts w:hint="eastAsia"/>
          <w:sz w:val="84"/>
          <w:szCs w:val="84"/>
          <w:lang w:eastAsia="zh-CN"/>
        </w:rPr>
        <w:t>怀化市财政局</w:t>
      </w:r>
      <w:r>
        <w:rPr>
          <w:rFonts w:hint="eastAsia"/>
          <w:sz w:val="84"/>
          <w:szCs w:val="84"/>
        </w:rPr>
        <w:t>单位概况</w:t>
      </w:r>
    </w:p>
    <w:p w14:paraId="775808A3">
      <w:pPr>
        <w:jc w:val="center"/>
        <w:rPr>
          <w:sz w:val="72"/>
          <w:szCs w:val="72"/>
        </w:rPr>
      </w:pPr>
    </w:p>
    <w:p w14:paraId="4EF8D81C">
      <w:pPr>
        <w:jc w:val="center"/>
        <w:rPr>
          <w:sz w:val="72"/>
          <w:szCs w:val="72"/>
        </w:rPr>
      </w:pPr>
    </w:p>
    <w:p w14:paraId="01429F66">
      <w:pPr>
        <w:jc w:val="center"/>
        <w:rPr>
          <w:sz w:val="72"/>
          <w:szCs w:val="72"/>
        </w:rPr>
      </w:pPr>
    </w:p>
    <w:p w14:paraId="6BCEE3B0">
      <w:pPr>
        <w:jc w:val="center"/>
        <w:rPr>
          <w:sz w:val="72"/>
          <w:szCs w:val="72"/>
        </w:rPr>
      </w:pPr>
    </w:p>
    <w:p w14:paraId="7C9365BD">
      <w:pPr>
        <w:jc w:val="center"/>
        <w:rPr>
          <w:sz w:val="72"/>
          <w:szCs w:val="72"/>
        </w:rPr>
      </w:pPr>
    </w:p>
    <w:p w14:paraId="5CDD41B1">
      <w:pPr>
        <w:jc w:val="center"/>
        <w:rPr>
          <w:sz w:val="72"/>
          <w:szCs w:val="72"/>
        </w:rPr>
      </w:pPr>
    </w:p>
    <w:p w14:paraId="38ADD2A2">
      <w:pPr>
        <w:pStyle w:val="7"/>
      </w:pPr>
    </w:p>
    <w:p w14:paraId="0E678B84">
      <w:pPr>
        <w:pStyle w:val="14"/>
        <w:ind w:left="720" w:firstLine="0" w:firstLineChars="0"/>
        <w:jc w:val="left"/>
        <w:rPr>
          <w:rFonts w:ascii="黑体" w:hAnsi="黑体" w:eastAsia="黑体"/>
          <w:sz w:val="32"/>
          <w:szCs w:val="32"/>
        </w:rPr>
      </w:pPr>
    </w:p>
    <w:p w14:paraId="5EEB6D46">
      <w:pPr>
        <w:pStyle w:val="14"/>
        <w:ind w:left="720" w:firstLine="0" w:firstLineChars="0"/>
        <w:jc w:val="left"/>
        <w:rPr>
          <w:rFonts w:ascii="黑体" w:hAnsi="黑体" w:eastAsia="黑体"/>
          <w:sz w:val="32"/>
          <w:szCs w:val="32"/>
        </w:rPr>
      </w:pPr>
    </w:p>
    <w:p w14:paraId="46D8FD0B">
      <w:pPr>
        <w:pStyle w:val="14"/>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0D7F0558">
      <w:pPr>
        <w:snapToGrid w:val="0"/>
        <w:spacing w:line="520" w:lineRule="exact"/>
        <w:ind w:left="420" w:leftChars="200" w:right="384" w:rightChars="183" w:firstLine="192" w:firstLineChars="60"/>
        <w:rPr>
          <w:rFonts w:hint="eastAsia" w:ascii="仿宋_GB2312" w:hAnsi="仿宋" w:eastAsia="仿宋_GB2312"/>
          <w:sz w:val="32"/>
          <w:szCs w:val="32"/>
        </w:rPr>
      </w:pPr>
      <w:r>
        <w:rPr>
          <w:rFonts w:hint="eastAsia" w:ascii="仿宋_GB2312" w:hAnsi="仿宋" w:eastAsia="仿宋_GB2312"/>
          <w:sz w:val="32"/>
          <w:szCs w:val="32"/>
        </w:rPr>
        <w:t>1．主要职能</w:t>
      </w:r>
    </w:p>
    <w:p w14:paraId="77352AAE">
      <w:pPr>
        <w:widowControl/>
        <w:spacing w:line="500" w:lineRule="auto"/>
        <w:ind w:firstLine="627" w:firstLineChars="196"/>
        <w:rPr>
          <w:rFonts w:hint="eastAsia" w:eastAsia="仿宋_GB2312"/>
          <w:sz w:val="32"/>
          <w:szCs w:val="32"/>
        </w:rPr>
      </w:pPr>
      <w:r>
        <w:rPr>
          <w:rFonts w:hint="eastAsia" w:eastAsia="仿宋_GB2312"/>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14:paraId="66F13ED1">
      <w:pPr>
        <w:widowControl/>
        <w:spacing w:line="500" w:lineRule="auto"/>
        <w:ind w:firstLine="627" w:firstLineChars="196"/>
        <w:rPr>
          <w:rFonts w:hint="eastAsia" w:eastAsia="仿宋_GB2312"/>
          <w:sz w:val="32"/>
          <w:szCs w:val="32"/>
        </w:rPr>
      </w:pPr>
      <w:r>
        <w:rPr>
          <w:rFonts w:hint="eastAsia" w:eastAsia="仿宋_GB2312"/>
          <w:sz w:val="32"/>
          <w:szCs w:val="32"/>
        </w:rPr>
        <w:t>（2）代政府起草财政、财务、会议管理的制度及办法。</w:t>
      </w:r>
    </w:p>
    <w:p w14:paraId="2A10A5BD">
      <w:pPr>
        <w:widowControl/>
        <w:spacing w:line="500" w:lineRule="auto"/>
        <w:ind w:firstLine="627" w:firstLineChars="196"/>
        <w:rPr>
          <w:rFonts w:hint="eastAsia" w:eastAsia="仿宋_GB2312"/>
          <w:sz w:val="32"/>
          <w:szCs w:val="32"/>
        </w:rPr>
      </w:pPr>
      <w:r>
        <w:rPr>
          <w:rFonts w:hint="eastAsia" w:eastAsia="仿宋_GB2312"/>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14:paraId="3CD5D1C8">
      <w:pPr>
        <w:widowControl/>
        <w:spacing w:line="500" w:lineRule="auto"/>
        <w:ind w:firstLine="627" w:firstLineChars="196"/>
        <w:rPr>
          <w:rFonts w:hint="eastAsia" w:eastAsia="仿宋_GB2312"/>
          <w:sz w:val="32"/>
          <w:szCs w:val="32"/>
        </w:rPr>
      </w:pPr>
      <w:r>
        <w:rPr>
          <w:rFonts w:hint="eastAsia" w:eastAsia="仿宋_GB2312"/>
          <w:sz w:val="32"/>
          <w:szCs w:val="32"/>
        </w:rPr>
        <w:t>（4）负责政府非税收入管理；负责政府性基金管理，按规定管理行政事业性收费；负责管理财政票据；负责制定彩票管理政策，管理彩票市场，按规定管理彩票资金。</w:t>
      </w:r>
    </w:p>
    <w:p w14:paraId="08D89BA5">
      <w:pPr>
        <w:widowControl/>
        <w:spacing w:line="500" w:lineRule="auto"/>
        <w:ind w:firstLine="627" w:firstLineChars="196"/>
        <w:rPr>
          <w:rFonts w:hint="eastAsia" w:eastAsia="仿宋_GB2312"/>
          <w:sz w:val="32"/>
          <w:szCs w:val="32"/>
        </w:rPr>
      </w:pPr>
      <w:r>
        <w:rPr>
          <w:rFonts w:hint="eastAsia" w:eastAsia="仿宋_GB2312"/>
          <w:sz w:val="32"/>
          <w:szCs w:val="32"/>
        </w:rPr>
        <w:t>（5）组织制定国库管理制度、国库集中收付制度，指导和监督市本级国库业务，按规定开展国库现金管理工作。负责制定政府采购制度并监督管理。</w:t>
      </w:r>
    </w:p>
    <w:p w14:paraId="67653F3E">
      <w:pPr>
        <w:widowControl/>
        <w:spacing w:line="500" w:lineRule="auto"/>
        <w:ind w:firstLine="627" w:firstLineChars="196"/>
        <w:rPr>
          <w:rFonts w:hint="eastAsia" w:eastAsia="仿宋_GB2312"/>
          <w:sz w:val="32"/>
          <w:szCs w:val="32"/>
        </w:rPr>
      </w:pPr>
      <w:r>
        <w:rPr>
          <w:rFonts w:hint="eastAsia" w:eastAsia="仿宋_GB2312"/>
          <w:sz w:val="32"/>
          <w:szCs w:val="32"/>
        </w:rPr>
        <w:t>（6）贯彻执行国家财税法律、法规和税收调整政策，反馈政策执行情况，提出调整建议；参与市管理权限内有关税收政策及税收政策调整方案的调查研究，提出对策建议。</w:t>
      </w:r>
    </w:p>
    <w:p w14:paraId="1F972F83">
      <w:pPr>
        <w:widowControl/>
        <w:spacing w:line="500" w:lineRule="auto"/>
        <w:ind w:firstLine="627" w:firstLineChars="196"/>
        <w:rPr>
          <w:rFonts w:hint="eastAsia" w:eastAsia="仿宋_GB2312"/>
          <w:sz w:val="32"/>
          <w:szCs w:val="32"/>
        </w:rPr>
      </w:pPr>
      <w:r>
        <w:rPr>
          <w:rFonts w:hint="eastAsia" w:eastAsia="仿宋_GB2312"/>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14:paraId="585DEAF3">
      <w:pPr>
        <w:widowControl/>
        <w:spacing w:line="500" w:lineRule="auto"/>
        <w:ind w:firstLine="627" w:firstLineChars="196"/>
        <w:rPr>
          <w:rFonts w:hint="eastAsia" w:eastAsia="仿宋_GB2312"/>
          <w:sz w:val="32"/>
          <w:szCs w:val="32"/>
        </w:rPr>
      </w:pPr>
      <w:r>
        <w:rPr>
          <w:rFonts w:hint="eastAsia" w:eastAsia="仿宋_GB2312"/>
          <w:sz w:val="32"/>
          <w:szCs w:val="32"/>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14:paraId="406E4C7E">
      <w:pPr>
        <w:widowControl/>
        <w:spacing w:line="500" w:lineRule="auto"/>
        <w:ind w:firstLine="627" w:firstLineChars="196"/>
        <w:rPr>
          <w:rFonts w:hint="eastAsia" w:eastAsia="仿宋_GB2312"/>
          <w:sz w:val="32"/>
          <w:szCs w:val="32"/>
        </w:rPr>
      </w:pPr>
      <w:r>
        <w:rPr>
          <w:rFonts w:hint="eastAsia" w:eastAsia="仿宋_GB2312"/>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14:paraId="6FDE8CFA">
      <w:pPr>
        <w:widowControl/>
        <w:spacing w:line="500" w:lineRule="auto"/>
        <w:ind w:firstLine="627" w:firstLineChars="196"/>
        <w:rPr>
          <w:rFonts w:hint="eastAsia" w:eastAsia="仿宋_GB2312"/>
          <w:sz w:val="32"/>
          <w:szCs w:val="32"/>
        </w:rPr>
      </w:pPr>
      <w:r>
        <w:rPr>
          <w:rFonts w:hint="eastAsia" w:eastAsia="仿宋_GB2312"/>
          <w:sz w:val="32"/>
          <w:szCs w:val="32"/>
        </w:rPr>
        <w:t>（10）会同有关部门管理市级财政社会保障和就业及医疗卫生支出，组织实施社会保障资金(基金)的财务管理制度，编制市社会保障预决算草案。</w:t>
      </w:r>
    </w:p>
    <w:p w14:paraId="7959D64F">
      <w:pPr>
        <w:widowControl/>
        <w:spacing w:line="500" w:lineRule="auto"/>
        <w:ind w:firstLine="627" w:firstLineChars="196"/>
        <w:rPr>
          <w:rFonts w:hint="eastAsia" w:eastAsia="仿宋_GB2312"/>
          <w:sz w:val="32"/>
          <w:szCs w:val="32"/>
        </w:rPr>
      </w:pPr>
      <w:r>
        <w:rPr>
          <w:rFonts w:hint="eastAsia" w:eastAsia="仿宋_GB2312"/>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14:paraId="7B661FAB">
      <w:pPr>
        <w:widowControl/>
        <w:spacing w:line="500" w:lineRule="auto"/>
        <w:ind w:firstLine="627" w:firstLineChars="196"/>
        <w:rPr>
          <w:rFonts w:hint="eastAsia" w:eastAsia="仿宋_GB2312"/>
          <w:sz w:val="32"/>
          <w:szCs w:val="32"/>
        </w:rPr>
      </w:pPr>
      <w:r>
        <w:rPr>
          <w:rFonts w:hint="eastAsia" w:eastAsia="仿宋_GB2312"/>
          <w:sz w:val="32"/>
          <w:szCs w:val="32"/>
        </w:rPr>
        <w:t>（12）负责管理全市的会计工作，监督和规范会计行为，组织实施国家统一的会计制度，组织实施全省会计行政法规规章，指导和监督注册会计师和会计师事务所的业务，指导和管理社会审计。</w:t>
      </w:r>
    </w:p>
    <w:p w14:paraId="546159B2">
      <w:pPr>
        <w:widowControl/>
        <w:spacing w:line="500" w:lineRule="auto"/>
        <w:ind w:firstLine="627" w:firstLineChars="196"/>
        <w:rPr>
          <w:rFonts w:hint="eastAsia" w:eastAsia="仿宋_GB2312"/>
          <w:sz w:val="32"/>
          <w:szCs w:val="32"/>
        </w:rPr>
      </w:pPr>
      <w:r>
        <w:rPr>
          <w:rFonts w:hint="eastAsia" w:eastAsia="仿宋_GB2312"/>
          <w:sz w:val="32"/>
          <w:szCs w:val="32"/>
        </w:rPr>
        <w:t>（13）监督检查财税法规、政策的执行情况，反映财政收支管理中的重大问题，提出加强财政管理的政策和建议。</w:t>
      </w:r>
    </w:p>
    <w:p w14:paraId="11290112">
      <w:pPr>
        <w:widowControl/>
        <w:spacing w:line="500" w:lineRule="auto"/>
        <w:ind w:firstLine="627" w:firstLineChars="196"/>
        <w:rPr>
          <w:rFonts w:hint="eastAsia" w:eastAsia="仿宋_GB2312"/>
          <w:sz w:val="32"/>
          <w:szCs w:val="32"/>
        </w:rPr>
      </w:pPr>
      <w:r>
        <w:rPr>
          <w:rFonts w:hint="eastAsia" w:eastAsia="仿宋_GB2312"/>
          <w:sz w:val="32"/>
          <w:szCs w:val="32"/>
        </w:rPr>
        <w:t>（14）研究分析国家金融政策、宏观金融形势和全市金融运行情况，会同有关部门推进全市金融市场体系建设。</w:t>
      </w:r>
    </w:p>
    <w:p w14:paraId="4FE911EC">
      <w:pPr>
        <w:widowControl/>
        <w:spacing w:line="500" w:lineRule="auto"/>
        <w:ind w:firstLine="627" w:firstLineChars="196"/>
        <w:rPr>
          <w:rFonts w:hint="eastAsia" w:eastAsia="仿宋_GB2312"/>
          <w:sz w:val="32"/>
          <w:szCs w:val="32"/>
        </w:rPr>
      </w:pPr>
      <w:r>
        <w:rPr>
          <w:rFonts w:hint="eastAsia" w:eastAsia="仿宋_GB2312"/>
          <w:sz w:val="32"/>
          <w:szCs w:val="32"/>
        </w:rPr>
        <w:t> （15）负责联系省驻怀金融管理部门、各类金融机构；组织开展政府与金融机构合作、金融机构和企业对接，引导、协调和鼓励金融机构加大对全市经济社会发展的支持力度。</w:t>
      </w:r>
    </w:p>
    <w:p w14:paraId="430B4FCA">
      <w:pPr>
        <w:widowControl/>
        <w:spacing w:line="500" w:lineRule="auto"/>
        <w:ind w:firstLine="627" w:firstLineChars="196"/>
        <w:rPr>
          <w:rFonts w:hint="eastAsia" w:eastAsia="仿宋_GB2312"/>
          <w:sz w:val="32"/>
          <w:szCs w:val="32"/>
        </w:rPr>
      </w:pPr>
      <w:r>
        <w:rPr>
          <w:rFonts w:hint="eastAsia" w:eastAsia="仿宋_GB2312"/>
          <w:sz w:val="32"/>
          <w:szCs w:val="32"/>
        </w:rPr>
        <w:t> （16）指导全市村镇银行、小额贷款公司、融资性担保机构等地方金融机构的改革、发展、监管和重组；会同有关部门推进全市社会信用体系建设和金融安全区创建，推进改善金融生态环境。</w:t>
      </w:r>
    </w:p>
    <w:p w14:paraId="7C1C4968">
      <w:pPr>
        <w:widowControl/>
        <w:spacing w:line="500" w:lineRule="auto"/>
        <w:ind w:firstLine="627" w:firstLineChars="196"/>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）指导、协调发行地方政府债券工作。</w:t>
      </w:r>
    </w:p>
    <w:p w14:paraId="6196DC98">
      <w:pPr>
        <w:widowControl/>
        <w:spacing w:line="500" w:lineRule="auto"/>
        <w:ind w:firstLine="627" w:firstLineChars="196"/>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18</w:t>
      </w:r>
      <w:r>
        <w:rPr>
          <w:rFonts w:hint="eastAsia" w:eastAsia="仿宋_GB2312"/>
          <w:sz w:val="32"/>
          <w:szCs w:val="32"/>
        </w:rPr>
        <w:t>）</w:t>
      </w:r>
      <w:r>
        <w:rPr>
          <w:rFonts w:hint="eastAsia" w:eastAsia="仿宋_GB2312"/>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14:paraId="302E1D5F">
      <w:pPr>
        <w:widowControl/>
        <w:spacing w:line="500" w:lineRule="auto"/>
        <w:ind w:firstLine="627" w:firstLineChars="196"/>
        <w:rPr>
          <w:rFonts w:hint="eastAsia" w:eastAsia="仿宋_GB2312"/>
          <w:sz w:val="32"/>
          <w:szCs w:val="32"/>
        </w:rPr>
      </w:pPr>
      <w:r>
        <w:rPr>
          <w:rFonts w:hint="eastAsia" w:eastAsia="仿宋_GB2312"/>
          <w:sz w:val="32"/>
          <w:szCs w:val="32"/>
          <w:lang w:val="en-US" w:eastAsia="zh-CN"/>
        </w:rPr>
        <w:t>（19）</w:t>
      </w:r>
      <w:r>
        <w:rPr>
          <w:rFonts w:hint="eastAsia" w:eastAsia="仿宋_GB2312"/>
          <w:sz w:val="32"/>
          <w:szCs w:val="32"/>
        </w:rPr>
        <w:t>承办市委、市人民政府交办的其他事项。</w:t>
      </w:r>
    </w:p>
    <w:p w14:paraId="735C4597">
      <w:pPr>
        <w:widowControl/>
        <w:spacing w:line="600" w:lineRule="exact"/>
        <w:ind w:left="0" w:leftChars="0"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0F23F34B">
      <w:pPr>
        <w:pStyle w:val="10"/>
        <w:spacing w:before="0" w:beforeAutospacing="0" w:after="0" w:afterAutospacing="0" w:line="375" w:lineRule="atLeast"/>
        <w:ind w:firstLine="640"/>
        <w:rPr>
          <w:rFonts w:hint="eastAsia" w:ascii="Calibri" w:hAnsi="Calibri" w:eastAsia="仿宋_GB2312" w:cs="黑体"/>
          <w:kern w:val="2"/>
          <w:sz w:val="32"/>
          <w:szCs w:val="32"/>
          <w:lang w:val="en-US" w:eastAsia="zh-CN" w:bidi="ar-SA"/>
        </w:rPr>
      </w:pPr>
      <w:r>
        <w:rPr>
          <w:rFonts w:hint="eastAsia" w:ascii="宋体" w:hAnsi="宋体"/>
          <w:bCs/>
          <w:kern w:val="0"/>
          <w:sz w:val="32"/>
          <w:szCs w:val="32"/>
        </w:rPr>
        <w:t>（一）内设机构设置。</w:t>
      </w:r>
    </w:p>
    <w:p w14:paraId="1C93C3B8">
      <w:pPr>
        <w:pStyle w:val="10"/>
        <w:widowControl/>
        <w:spacing w:before="0" w:beforeAutospacing="0" w:after="0" w:afterAutospacing="0" w:line="375" w:lineRule="atLeast"/>
        <w:ind w:left="0" w:right="0" w:firstLine="640"/>
        <w:jc w:val="both"/>
        <w:rPr>
          <w:rFonts w:hint="eastAsia" w:ascii="Calibri" w:hAnsi="Calibri" w:eastAsia="仿宋_GB2312" w:cs="黑体"/>
          <w:kern w:val="2"/>
          <w:sz w:val="32"/>
          <w:szCs w:val="32"/>
          <w:lang w:val="en-US" w:eastAsia="zh-CN" w:bidi="ar-SA"/>
        </w:rPr>
      </w:pPr>
      <w:r>
        <w:rPr>
          <w:rFonts w:hint="eastAsia" w:ascii="仿宋_GB2312" w:hAnsi="仿宋_GB2312" w:eastAsia="仿宋_GB2312" w:cs="仿宋_GB2312"/>
          <w:color w:val="313131"/>
          <w:sz w:val="32"/>
          <w:szCs w:val="32"/>
        </w:rPr>
        <w:t>怀化市财政局属依法设立的怀化市人民政府工作部门，属全额拨款的行政事业单位，行政级别正处级。下设2</w:t>
      </w:r>
      <w:r>
        <w:rPr>
          <w:rFonts w:hint="eastAsia" w:ascii="仿宋_GB2312" w:hAnsi="仿宋_GB2312" w:eastAsia="仿宋_GB2312" w:cs="仿宋_GB2312"/>
          <w:color w:val="313131"/>
          <w:sz w:val="32"/>
          <w:szCs w:val="32"/>
          <w:lang w:val="en-US" w:eastAsia="zh-CN"/>
        </w:rPr>
        <w:t>1</w:t>
      </w:r>
      <w:r>
        <w:rPr>
          <w:rFonts w:hint="eastAsia" w:ascii="仿宋_GB2312" w:hAnsi="仿宋_GB2312" w:eastAsia="仿宋_GB2312" w:cs="仿宋_GB2312"/>
          <w:color w:val="313131"/>
          <w:sz w:val="32"/>
          <w:szCs w:val="32"/>
        </w:rPr>
        <w:t>个内设机构、</w:t>
      </w:r>
      <w:r>
        <w:rPr>
          <w:rFonts w:hint="eastAsia" w:ascii="仿宋_GB2312" w:hAnsi="仿宋_GB2312" w:eastAsia="仿宋_GB2312" w:cs="仿宋_GB2312"/>
          <w:color w:val="313131"/>
          <w:sz w:val="32"/>
          <w:szCs w:val="32"/>
          <w:lang w:val="en-US" w:eastAsia="zh-CN"/>
        </w:rPr>
        <w:t>2</w:t>
      </w:r>
      <w:r>
        <w:rPr>
          <w:rFonts w:hint="eastAsia" w:ascii="仿宋_GB2312" w:hAnsi="仿宋_GB2312" w:eastAsia="仿宋_GB2312" w:cs="仿宋_GB2312"/>
          <w:color w:val="313131"/>
          <w:sz w:val="32"/>
          <w:szCs w:val="32"/>
        </w:rPr>
        <w:t>个副处级参公管理</w:t>
      </w:r>
      <w:r>
        <w:rPr>
          <w:rFonts w:hint="eastAsia" w:ascii="仿宋_GB2312" w:hAnsi="仿宋_GB2312" w:eastAsia="仿宋_GB2312" w:cs="仿宋_GB2312"/>
          <w:color w:val="313131"/>
          <w:sz w:val="32"/>
          <w:szCs w:val="32"/>
          <w:lang w:eastAsia="zh-CN"/>
        </w:rPr>
        <w:t>事业</w:t>
      </w:r>
      <w:r>
        <w:rPr>
          <w:rFonts w:hint="eastAsia" w:ascii="仿宋_GB2312" w:hAnsi="仿宋_GB2312" w:eastAsia="仿宋_GB2312" w:cs="仿宋_GB2312"/>
          <w:color w:val="313131"/>
          <w:sz w:val="32"/>
          <w:szCs w:val="32"/>
        </w:rPr>
        <w:t>单位</w:t>
      </w:r>
      <w:r>
        <w:rPr>
          <w:rFonts w:hint="eastAsia" w:ascii="仿宋_GB2312" w:hAnsi="仿宋_GB2312" w:eastAsia="仿宋_GB2312" w:cs="仿宋_GB2312"/>
          <w:color w:val="313131"/>
          <w:sz w:val="32"/>
          <w:szCs w:val="32"/>
          <w:lang w:eastAsia="zh-CN"/>
        </w:rPr>
        <w:t>、</w:t>
      </w:r>
      <w:r>
        <w:rPr>
          <w:rFonts w:hint="eastAsia" w:ascii="仿宋_GB2312" w:hAnsi="仿宋_GB2312" w:eastAsia="仿宋_GB2312" w:cs="仿宋_GB2312"/>
          <w:color w:val="313131"/>
          <w:sz w:val="32"/>
          <w:szCs w:val="32"/>
          <w:lang w:val="en-US" w:eastAsia="zh-CN"/>
        </w:rPr>
        <w:t>1个副处级公益一类事业单位</w:t>
      </w:r>
      <w:r>
        <w:rPr>
          <w:rFonts w:hint="eastAsia" w:ascii="仿宋_GB2312" w:hAnsi="仿宋_GB2312" w:eastAsia="仿宋_GB2312" w:cs="仿宋_GB2312"/>
          <w:color w:val="313131"/>
          <w:sz w:val="32"/>
          <w:szCs w:val="32"/>
        </w:rPr>
        <w:t>及</w:t>
      </w:r>
      <w:r>
        <w:rPr>
          <w:rFonts w:hint="eastAsia" w:ascii="仿宋_GB2312" w:hAnsi="仿宋_GB2312" w:eastAsia="仿宋_GB2312" w:cs="仿宋_GB2312"/>
          <w:color w:val="313131"/>
          <w:sz w:val="32"/>
          <w:szCs w:val="32"/>
          <w:lang w:val="en-US" w:eastAsia="zh-CN"/>
        </w:rPr>
        <w:t>5</w:t>
      </w:r>
      <w:r>
        <w:rPr>
          <w:rFonts w:hint="eastAsia" w:ascii="仿宋_GB2312" w:hAnsi="仿宋_GB2312" w:eastAsia="仿宋_GB2312" w:cs="仿宋_GB2312"/>
          <w:color w:val="313131"/>
          <w:sz w:val="32"/>
          <w:szCs w:val="32"/>
        </w:rPr>
        <w:t>个事业科室，现有在职干部职工</w:t>
      </w:r>
      <w:r>
        <w:rPr>
          <w:rFonts w:hint="eastAsia" w:ascii="仿宋_GB2312" w:hAnsi="仿宋_GB2312" w:eastAsia="仿宋_GB2312" w:cs="仿宋_GB2312"/>
          <w:color w:val="313131"/>
          <w:sz w:val="32"/>
          <w:szCs w:val="32"/>
          <w:lang w:val="en-US" w:eastAsia="zh-CN"/>
        </w:rPr>
        <w:t>201</w:t>
      </w:r>
      <w:r>
        <w:rPr>
          <w:rFonts w:hint="eastAsia" w:ascii="仿宋_GB2312" w:hAnsi="仿宋_GB2312" w:eastAsia="仿宋_GB2312" w:cs="仿宋_GB2312"/>
          <w:color w:val="313131"/>
          <w:sz w:val="32"/>
          <w:szCs w:val="32"/>
        </w:rPr>
        <w:t>人</w:t>
      </w:r>
      <w:r>
        <w:rPr>
          <w:rFonts w:hint="eastAsia" w:ascii="仿宋_GB2312" w:hAnsi="仿宋_GB2312" w:eastAsia="仿宋_GB2312" w:cs="仿宋_GB2312"/>
          <w:color w:val="313131"/>
          <w:sz w:val="32"/>
          <w:szCs w:val="32"/>
          <w:lang w:val="en-US" w:eastAsia="zh-CN"/>
        </w:rPr>
        <w:t>,</w:t>
      </w:r>
      <w:r>
        <w:rPr>
          <w:rFonts w:hint="eastAsia" w:ascii="仿宋_GB2312" w:hAnsi="仿宋" w:eastAsia="仿宋_GB2312"/>
          <w:sz w:val="32"/>
          <w:szCs w:val="32"/>
        </w:rPr>
        <w:t>离休人员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_GB2312" w:eastAsia="仿宋_GB2312" w:cs="仿宋_GB2312"/>
          <w:color w:val="313131"/>
          <w:sz w:val="32"/>
          <w:szCs w:val="32"/>
        </w:rPr>
        <w:t>。</w:t>
      </w:r>
    </w:p>
    <w:p w14:paraId="7273474B">
      <w:pPr>
        <w:pStyle w:val="10"/>
        <w:numPr>
          <w:ilvl w:val="0"/>
          <w:numId w:val="2"/>
        </w:numPr>
        <w:spacing w:before="0" w:beforeAutospacing="0" w:after="0" w:afterAutospacing="0" w:line="375" w:lineRule="atLeast"/>
        <w:ind w:firstLine="640"/>
        <w:rPr>
          <w:rFonts w:hint="eastAsia" w:ascii="宋体" w:hAnsi="宋体"/>
          <w:bCs/>
          <w:kern w:val="0"/>
          <w:sz w:val="32"/>
          <w:szCs w:val="32"/>
        </w:rPr>
      </w:pPr>
      <w:r>
        <w:rPr>
          <w:rFonts w:hint="eastAsia" w:ascii="宋体" w:hAnsi="宋体"/>
          <w:bCs/>
          <w:kern w:val="0"/>
          <w:sz w:val="32"/>
          <w:szCs w:val="32"/>
        </w:rPr>
        <w:t>决算单位构成。</w:t>
      </w:r>
    </w:p>
    <w:p w14:paraId="25E12FB0">
      <w:pPr>
        <w:pStyle w:val="10"/>
        <w:numPr>
          <w:ilvl w:val="0"/>
          <w:numId w:val="0"/>
        </w:numPr>
        <w:spacing w:before="0" w:beforeAutospacing="0" w:after="0" w:afterAutospacing="0" w:line="375" w:lineRule="atLeast"/>
        <w:ind w:firstLine="640" w:firstLineChars="200"/>
        <w:rPr>
          <w:rFonts w:hint="eastAsia" w:ascii="Calibri" w:hAnsi="Calibri" w:eastAsia="仿宋_GB2312" w:cs="黑体"/>
          <w:kern w:val="2"/>
          <w:sz w:val="32"/>
          <w:szCs w:val="32"/>
          <w:lang w:val="en-US" w:eastAsia="zh-CN" w:bidi="ar-SA"/>
        </w:rPr>
      </w:pPr>
      <w:r>
        <w:rPr>
          <w:rFonts w:hint="eastAsia" w:ascii="Calibri" w:hAnsi="Calibri" w:eastAsia="仿宋_GB2312" w:cs="黑体"/>
          <w:kern w:val="2"/>
          <w:sz w:val="32"/>
          <w:szCs w:val="32"/>
          <w:lang w:val="en-US" w:eastAsia="zh-CN" w:bidi="ar-SA"/>
        </w:rPr>
        <w:t>怀化市财政局为一级部门预算单位，2023年部门决算汇总公开单位构成包括：怀化市财政局本级。</w:t>
      </w:r>
    </w:p>
    <w:p w14:paraId="73BCAA11">
      <w:pPr>
        <w:jc w:val="center"/>
        <w:rPr>
          <w:rFonts w:ascii="黑体" w:hAnsi="黑体" w:eastAsia="黑体"/>
          <w:sz w:val="28"/>
          <w:szCs w:val="28"/>
        </w:rPr>
      </w:pPr>
    </w:p>
    <w:p w14:paraId="38A2758D">
      <w:pPr>
        <w:jc w:val="center"/>
        <w:rPr>
          <w:rFonts w:ascii="黑体" w:hAnsi="黑体" w:eastAsia="黑体"/>
          <w:sz w:val="28"/>
          <w:szCs w:val="28"/>
        </w:rPr>
      </w:pPr>
    </w:p>
    <w:p w14:paraId="190F7BE5">
      <w:pPr>
        <w:jc w:val="center"/>
        <w:rPr>
          <w:rFonts w:ascii="黑体" w:hAnsi="黑体" w:eastAsia="黑体"/>
          <w:sz w:val="28"/>
          <w:szCs w:val="28"/>
        </w:rPr>
      </w:pPr>
    </w:p>
    <w:p w14:paraId="61A6738E">
      <w:pPr>
        <w:jc w:val="center"/>
        <w:rPr>
          <w:rFonts w:ascii="黑体" w:hAnsi="黑体" w:eastAsia="黑体"/>
          <w:sz w:val="28"/>
          <w:szCs w:val="28"/>
        </w:rPr>
      </w:pPr>
    </w:p>
    <w:p w14:paraId="0AFAEA13">
      <w:pPr>
        <w:jc w:val="center"/>
        <w:rPr>
          <w:rFonts w:ascii="黑体" w:hAnsi="黑体" w:eastAsia="黑体"/>
          <w:sz w:val="28"/>
          <w:szCs w:val="28"/>
        </w:rPr>
      </w:pPr>
    </w:p>
    <w:p w14:paraId="2B3D23B7">
      <w:pPr>
        <w:jc w:val="center"/>
        <w:rPr>
          <w:rFonts w:ascii="黑体" w:hAnsi="黑体" w:eastAsia="黑体"/>
          <w:sz w:val="28"/>
          <w:szCs w:val="28"/>
        </w:rPr>
      </w:pPr>
    </w:p>
    <w:p w14:paraId="5E74647D">
      <w:pPr>
        <w:jc w:val="center"/>
        <w:rPr>
          <w:rFonts w:ascii="黑体" w:hAnsi="黑体" w:eastAsia="黑体"/>
          <w:sz w:val="28"/>
          <w:szCs w:val="28"/>
        </w:rPr>
      </w:pPr>
    </w:p>
    <w:p w14:paraId="015148C3">
      <w:pPr>
        <w:jc w:val="center"/>
        <w:rPr>
          <w:rFonts w:ascii="黑体" w:hAnsi="黑体" w:eastAsia="黑体"/>
          <w:sz w:val="28"/>
          <w:szCs w:val="28"/>
        </w:rPr>
      </w:pPr>
    </w:p>
    <w:p w14:paraId="4CA06963">
      <w:pPr>
        <w:jc w:val="center"/>
        <w:rPr>
          <w:sz w:val="72"/>
          <w:szCs w:val="72"/>
        </w:rPr>
      </w:pPr>
    </w:p>
    <w:p w14:paraId="15F47230">
      <w:pPr>
        <w:jc w:val="center"/>
        <w:rPr>
          <w:sz w:val="72"/>
          <w:szCs w:val="72"/>
        </w:rPr>
      </w:pPr>
    </w:p>
    <w:p w14:paraId="019420F2">
      <w:pPr>
        <w:jc w:val="center"/>
        <w:rPr>
          <w:sz w:val="72"/>
          <w:szCs w:val="72"/>
        </w:rPr>
      </w:pPr>
    </w:p>
    <w:p w14:paraId="1F39DAAC">
      <w:pPr>
        <w:jc w:val="center"/>
        <w:rPr>
          <w:sz w:val="72"/>
          <w:szCs w:val="72"/>
        </w:rPr>
      </w:pPr>
    </w:p>
    <w:p w14:paraId="077BCCAF">
      <w:pPr>
        <w:jc w:val="center"/>
        <w:rPr>
          <w:sz w:val="72"/>
          <w:szCs w:val="72"/>
        </w:rPr>
      </w:pPr>
    </w:p>
    <w:p w14:paraId="6E9EA179">
      <w:pPr>
        <w:jc w:val="center"/>
        <w:rPr>
          <w:sz w:val="72"/>
          <w:szCs w:val="72"/>
        </w:rPr>
      </w:pPr>
    </w:p>
    <w:p w14:paraId="20D32D28">
      <w:pPr>
        <w:jc w:val="center"/>
        <w:rPr>
          <w:sz w:val="72"/>
          <w:szCs w:val="72"/>
        </w:rPr>
      </w:pPr>
    </w:p>
    <w:p w14:paraId="4F2D0E1C">
      <w:pPr>
        <w:jc w:val="center"/>
        <w:rPr>
          <w:sz w:val="72"/>
          <w:szCs w:val="72"/>
        </w:rPr>
      </w:pPr>
    </w:p>
    <w:p w14:paraId="54EBFF19">
      <w:pPr>
        <w:jc w:val="center"/>
        <w:rPr>
          <w:sz w:val="72"/>
          <w:szCs w:val="72"/>
        </w:rPr>
      </w:pPr>
    </w:p>
    <w:p w14:paraId="40B695B5">
      <w:pPr>
        <w:jc w:val="center"/>
        <w:rPr>
          <w:sz w:val="72"/>
          <w:szCs w:val="72"/>
        </w:rPr>
      </w:pPr>
    </w:p>
    <w:p w14:paraId="69724DA5">
      <w:pPr>
        <w:pStyle w:val="13"/>
        <w:jc w:val="center"/>
        <w:rPr>
          <w:rFonts w:hint="eastAsia"/>
          <w:sz w:val="72"/>
          <w:szCs w:val="72"/>
        </w:rPr>
      </w:pPr>
    </w:p>
    <w:p w14:paraId="3D5CDE54">
      <w:pPr>
        <w:pStyle w:val="13"/>
        <w:jc w:val="center"/>
        <w:rPr>
          <w:rFonts w:hint="eastAsia"/>
          <w:sz w:val="72"/>
          <w:szCs w:val="72"/>
        </w:rPr>
      </w:pPr>
    </w:p>
    <w:p w14:paraId="37B16670">
      <w:pPr>
        <w:pStyle w:val="13"/>
        <w:jc w:val="center"/>
        <w:rPr>
          <w:rFonts w:hint="eastAsia"/>
          <w:sz w:val="72"/>
          <w:szCs w:val="72"/>
        </w:rPr>
      </w:pPr>
      <w:r>
        <w:rPr>
          <w:rFonts w:hint="eastAsia"/>
          <w:sz w:val="72"/>
          <w:szCs w:val="72"/>
        </w:rPr>
        <w:t>第二部分</w:t>
      </w:r>
    </w:p>
    <w:p w14:paraId="7D681335">
      <w:pPr>
        <w:pStyle w:val="13"/>
        <w:jc w:val="center"/>
        <w:rPr>
          <w:rFonts w:hint="eastAsia"/>
          <w:sz w:val="72"/>
          <w:szCs w:val="72"/>
        </w:rPr>
      </w:pPr>
    </w:p>
    <w:p w14:paraId="026EC2FA">
      <w:pPr>
        <w:pStyle w:val="13"/>
        <w:jc w:val="center"/>
        <w:rPr>
          <w:rFonts w:hint="eastAsia"/>
          <w:sz w:val="72"/>
          <w:szCs w:val="72"/>
        </w:rPr>
      </w:pPr>
      <w:r>
        <w:rPr>
          <w:rFonts w:hint="eastAsia"/>
          <w:sz w:val="72"/>
          <w:szCs w:val="72"/>
        </w:rPr>
        <w:t>部门决算表</w:t>
      </w:r>
    </w:p>
    <w:p w14:paraId="519E0630">
      <w:pPr>
        <w:pStyle w:val="13"/>
        <w:jc w:val="center"/>
        <w:rPr>
          <w:rFonts w:hint="eastAsia"/>
          <w:sz w:val="72"/>
          <w:szCs w:val="72"/>
        </w:rPr>
      </w:pPr>
    </w:p>
    <w:p w14:paraId="3C73471B">
      <w:pPr>
        <w:pStyle w:val="13"/>
        <w:jc w:val="center"/>
        <w:rPr>
          <w:rFonts w:hint="eastAsia"/>
          <w:sz w:val="72"/>
          <w:szCs w:val="72"/>
        </w:rPr>
      </w:pPr>
    </w:p>
    <w:p w14:paraId="3245625E">
      <w:pPr>
        <w:pStyle w:val="13"/>
        <w:jc w:val="center"/>
        <w:rPr>
          <w:rFonts w:hint="eastAsia"/>
          <w:sz w:val="72"/>
          <w:szCs w:val="72"/>
        </w:rPr>
      </w:pPr>
    </w:p>
    <w:p w14:paraId="202A8E5D">
      <w:pPr>
        <w:pStyle w:val="13"/>
        <w:jc w:val="center"/>
        <w:rPr>
          <w:rFonts w:hint="eastAsia"/>
          <w:sz w:val="40"/>
          <w:szCs w:val="40"/>
          <w:lang w:eastAsia="zh-CN"/>
        </w:rPr>
      </w:pPr>
      <w:r>
        <w:rPr>
          <w:rFonts w:hint="eastAsia"/>
          <w:sz w:val="40"/>
          <w:szCs w:val="40"/>
          <w:lang w:eastAsia="zh-CN"/>
        </w:rPr>
        <w:t>见附件</w:t>
      </w:r>
    </w:p>
    <w:p w14:paraId="6D67D41B">
      <w:pPr>
        <w:pStyle w:val="13"/>
        <w:jc w:val="center"/>
        <w:rPr>
          <w:rFonts w:hint="eastAsia"/>
          <w:sz w:val="72"/>
          <w:szCs w:val="72"/>
        </w:rPr>
      </w:pPr>
    </w:p>
    <w:p w14:paraId="796D365B">
      <w:pPr>
        <w:jc w:val="center"/>
        <w:rPr>
          <w:sz w:val="72"/>
          <w:szCs w:val="72"/>
        </w:rPr>
      </w:pPr>
    </w:p>
    <w:p w14:paraId="136C2AC6">
      <w:pPr>
        <w:jc w:val="left"/>
        <w:rPr>
          <w:sz w:val="32"/>
          <w:szCs w:val="32"/>
        </w:rPr>
      </w:pPr>
    </w:p>
    <w:p w14:paraId="60D575AC">
      <w:pPr>
        <w:jc w:val="left"/>
        <w:rPr>
          <w:rFonts w:ascii="宋体" w:hAnsi="宋体"/>
          <w:sz w:val="32"/>
          <w:szCs w:val="32"/>
        </w:rPr>
        <w:sectPr>
          <w:pgSz w:w="11906" w:h="16838"/>
          <w:pgMar w:top="720" w:right="1117" w:bottom="720" w:left="1684" w:header="851" w:footer="992" w:gutter="0"/>
          <w:cols w:space="720" w:num="1"/>
          <w:rtlGutter w:val="0"/>
          <w:docGrid w:type="lines" w:linePitch="312" w:charSpace="0"/>
        </w:sectPr>
      </w:pPr>
    </w:p>
    <w:p w14:paraId="33D43087">
      <w:pPr>
        <w:pStyle w:val="13"/>
        <w:rPr>
          <w:sz w:val="72"/>
          <w:szCs w:val="72"/>
        </w:rPr>
      </w:pPr>
    </w:p>
    <w:p w14:paraId="19669EE6">
      <w:pPr>
        <w:pStyle w:val="13"/>
        <w:rPr>
          <w:sz w:val="72"/>
          <w:szCs w:val="72"/>
        </w:rPr>
      </w:pPr>
    </w:p>
    <w:p w14:paraId="485159BA">
      <w:pPr>
        <w:pStyle w:val="13"/>
        <w:rPr>
          <w:sz w:val="72"/>
          <w:szCs w:val="72"/>
        </w:rPr>
      </w:pPr>
    </w:p>
    <w:p w14:paraId="0EC44F9E">
      <w:pPr>
        <w:pStyle w:val="13"/>
        <w:rPr>
          <w:sz w:val="72"/>
          <w:szCs w:val="72"/>
        </w:rPr>
      </w:pPr>
    </w:p>
    <w:p w14:paraId="39FCC1CC">
      <w:pPr>
        <w:pStyle w:val="13"/>
        <w:jc w:val="center"/>
        <w:rPr>
          <w:sz w:val="72"/>
          <w:szCs w:val="72"/>
        </w:rPr>
      </w:pPr>
    </w:p>
    <w:p w14:paraId="0EEFED51">
      <w:pPr>
        <w:pStyle w:val="13"/>
        <w:jc w:val="center"/>
        <w:rPr>
          <w:sz w:val="72"/>
          <w:szCs w:val="72"/>
        </w:rPr>
      </w:pPr>
    </w:p>
    <w:p w14:paraId="67468234">
      <w:pPr>
        <w:pStyle w:val="13"/>
        <w:jc w:val="center"/>
        <w:rPr>
          <w:sz w:val="72"/>
          <w:szCs w:val="72"/>
        </w:rPr>
      </w:pPr>
      <w:r>
        <w:rPr>
          <w:rFonts w:hint="eastAsia"/>
          <w:sz w:val="72"/>
          <w:szCs w:val="72"/>
        </w:rPr>
        <w:t>第三部分</w:t>
      </w:r>
    </w:p>
    <w:p w14:paraId="5C046C7E">
      <w:pPr>
        <w:pStyle w:val="13"/>
        <w:jc w:val="center"/>
        <w:rPr>
          <w:sz w:val="70"/>
          <w:szCs w:val="70"/>
        </w:rPr>
      </w:pPr>
    </w:p>
    <w:p w14:paraId="17D30184">
      <w:pPr>
        <w:pStyle w:val="13"/>
        <w:jc w:val="center"/>
        <w:rPr>
          <w:sz w:val="70"/>
          <w:szCs w:val="70"/>
        </w:rPr>
      </w:pPr>
      <w:r>
        <w:rPr>
          <w:sz w:val="70"/>
          <w:szCs w:val="70"/>
        </w:rPr>
        <w:t>20</w:t>
      </w:r>
      <w:r>
        <w:rPr>
          <w:rFonts w:hint="eastAsia"/>
          <w:sz w:val="70"/>
          <w:szCs w:val="70"/>
        </w:rPr>
        <w:t>2</w:t>
      </w:r>
      <w:r>
        <w:rPr>
          <w:rFonts w:hint="eastAsia"/>
          <w:sz w:val="70"/>
          <w:szCs w:val="70"/>
          <w:lang w:val="en-US" w:eastAsia="zh-CN"/>
        </w:rPr>
        <w:t>3</w:t>
      </w:r>
      <w:r>
        <w:rPr>
          <w:rFonts w:hint="eastAsia"/>
          <w:sz w:val="70"/>
          <w:szCs w:val="70"/>
        </w:rPr>
        <w:t>年度部门决算情况说明</w:t>
      </w:r>
    </w:p>
    <w:p w14:paraId="0DD6E32F">
      <w:pPr>
        <w:widowControl/>
        <w:jc w:val="left"/>
        <w:rPr>
          <w:rFonts w:ascii="黑体" w:eastAsia="黑体" w:cs="黑体"/>
          <w:color w:val="000000"/>
          <w:kern w:val="0"/>
          <w:sz w:val="70"/>
          <w:szCs w:val="70"/>
        </w:rPr>
      </w:pPr>
      <w:r>
        <w:rPr>
          <w:sz w:val="70"/>
          <w:szCs w:val="70"/>
        </w:rPr>
        <w:br w:type="page"/>
      </w:r>
    </w:p>
    <w:p w14:paraId="0ED1C2EB">
      <w:pPr>
        <w:pStyle w:val="13"/>
        <w:ind w:left="0" w:leftChars="0" w:firstLine="640" w:firstLineChars="200"/>
        <w:rPr>
          <w:rFonts w:hAnsi="黑体"/>
          <w:b/>
          <w:sz w:val="32"/>
          <w:szCs w:val="32"/>
        </w:rPr>
      </w:pPr>
      <w:r>
        <w:rPr>
          <w:rFonts w:hint="eastAsia" w:hAnsi="黑体"/>
          <w:b/>
          <w:sz w:val="32"/>
          <w:szCs w:val="32"/>
        </w:rPr>
        <w:t>一、收入支出决算总体情况说明</w:t>
      </w:r>
    </w:p>
    <w:p w14:paraId="15B3D83E">
      <w:pPr>
        <w:pStyle w:val="13"/>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各4671.25万</w:t>
      </w:r>
      <w:bookmarkStart w:id="0" w:name="_GoBack"/>
      <w:bookmarkEnd w:id="0"/>
      <w:r>
        <w:rPr>
          <w:rFonts w:hint="eastAsia" w:ascii="仿宋_GB2312" w:hAnsi="仿宋_GB2312" w:eastAsia="仿宋_GB2312" w:cs="仿宋_GB2312"/>
          <w:sz w:val="32"/>
          <w:szCs w:val="32"/>
        </w:rPr>
        <w:t>元。与上年相比，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422.12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8.29</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一般公共预算财政拨款收入减少。</w:t>
      </w:r>
    </w:p>
    <w:p w14:paraId="78F2DD7A">
      <w:pPr>
        <w:pStyle w:val="13"/>
        <w:ind w:left="0" w:leftChars="0" w:firstLine="640" w:firstLineChars="200"/>
        <w:rPr>
          <w:rFonts w:hAnsi="黑体"/>
          <w:b/>
          <w:sz w:val="32"/>
          <w:szCs w:val="32"/>
        </w:rPr>
      </w:pPr>
      <w:r>
        <w:rPr>
          <w:rFonts w:hint="eastAsia" w:hAnsi="黑体"/>
          <w:b/>
          <w:sz w:val="32"/>
          <w:szCs w:val="32"/>
        </w:rPr>
        <w:t>二、收入决算情况说明</w:t>
      </w:r>
    </w:p>
    <w:p w14:paraId="6F277AED">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635FC3A4">
      <w:pPr>
        <w:pStyle w:val="13"/>
        <w:ind w:left="0" w:leftChars="0" w:firstLine="640" w:firstLineChars="200"/>
        <w:rPr>
          <w:rFonts w:hAnsi="黑体"/>
          <w:b/>
          <w:sz w:val="32"/>
          <w:szCs w:val="32"/>
        </w:rPr>
      </w:pPr>
      <w:r>
        <w:rPr>
          <w:rFonts w:hint="eastAsia" w:hAnsi="黑体"/>
          <w:b/>
          <w:sz w:val="32"/>
          <w:szCs w:val="32"/>
        </w:rPr>
        <w:t>三、支出决算情况说明</w:t>
      </w:r>
    </w:p>
    <w:p w14:paraId="71C82C9A">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3326.41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71.21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1344.84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28.79</w:t>
      </w:r>
      <w:r>
        <w:rPr>
          <w:rFonts w:hint="eastAsia" w:ascii="仿宋_GB2312" w:hAnsi="仿宋_GB2312" w:eastAsia="仿宋_GB2312" w:cs="仿宋_GB2312"/>
          <w:sz w:val="32"/>
          <w:szCs w:val="32"/>
        </w:rPr>
        <w:t>%。</w:t>
      </w:r>
    </w:p>
    <w:p w14:paraId="06145395">
      <w:pPr>
        <w:pStyle w:val="13"/>
        <w:ind w:left="0" w:leftChars="0" w:firstLine="640" w:firstLineChars="200"/>
        <w:rPr>
          <w:rFonts w:hAnsi="黑体"/>
          <w:b/>
          <w:sz w:val="32"/>
          <w:szCs w:val="32"/>
        </w:rPr>
      </w:pPr>
      <w:r>
        <w:rPr>
          <w:rFonts w:hint="eastAsia" w:hAnsi="黑体"/>
          <w:b/>
          <w:sz w:val="32"/>
          <w:szCs w:val="32"/>
        </w:rPr>
        <w:t>四、财政拨款收入支出决算总体情况说明</w:t>
      </w:r>
    </w:p>
    <w:p w14:paraId="0EE6783D">
      <w:pPr>
        <w:pStyle w:val="13"/>
        <w:ind w:left="0" w:leftChars="0" w:firstLine="640" w:firstLineChars="200"/>
        <w:rPr>
          <w:rFonts w:ascii="宋体" w:hAnsi="宋体" w:eastAsia="宋体"/>
          <w:color w:val="auto"/>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各4671.25</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422.12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8.29</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一般公共预算财政拨款收入减少。</w:t>
      </w:r>
    </w:p>
    <w:p w14:paraId="776F8646">
      <w:pPr>
        <w:pStyle w:val="13"/>
        <w:ind w:left="0" w:leftChars="0" w:firstLine="640" w:firstLineChars="200"/>
        <w:rPr>
          <w:rFonts w:hAnsi="黑体"/>
          <w:b/>
          <w:sz w:val="32"/>
          <w:szCs w:val="32"/>
        </w:rPr>
      </w:pPr>
      <w:r>
        <w:rPr>
          <w:rFonts w:hint="eastAsia" w:hAnsi="黑体"/>
          <w:b/>
          <w:sz w:val="32"/>
          <w:szCs w:val="32"/>
        </w:rPr>
        <w:t>五、一般公共预算财政拨款支出决算情况说明</w:t>
      </w:r>
    </w:p>
    <w:p w14:paraId="6505EA31">
      <w:pPr>
        <w:pStyle w:val="13"/>
        <w:ind w:left="0" w:leftChars="0" w:firstLine="640" w:firstLineChars="200"/>
        <w:rPr>
          <w:rFonts w:ascii="宋体" w:hAnsi="宋体" w:eastAsia="宋体"/>
          <w:b/>
          <w:sz w:val="32"/>
          <w:szCs w:val="32"/>
        </w:rPr>
      </w:pPr>
      <w:r>
        <w:rPr>
          <w:rFonts w:hint="eastAsia" w:ascii="宋体" w:hAnsi="宋体" w:eastAsia="宋体"/>
          <w:b/>
          <w:sz w:val="32"/>
          <w:szCs w:val="32"/>
        </w:rPr>
        <w:t>（一）财政拨款支出决算总体情况</w:t>
      </w:r>
    </w:p>
    <w:p w14:paraId="17E19922">
      <w:pPr>
        <w:pStyle w:val="13"/>
        <w:ind w:left="0" w:leftChars="0"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，与上年相比，财政拨款支出</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422.12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8.29</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项目支出相关业务减少。</w:t>
      </w:r>
    </w:p>
    <w:p w14:paraId="6381603E">
      <w:pPr>
        <w:pStyle w:val="13"/>
        <w:ind w:left="0" w:leftChars="0" w:firstLine="640" w:firstLineChars="200"/>
        <w:rPr>
          <w:rFonts w:ascii="宋体" w:hAnsi="宋体" w:eastAsia="宋体"/>
          <w:b/>
          <w:sz w:val="32"/>
          <w:szCs w:val="32"/>
        </w:rPr>
      </w:pPr>
      <w:r>
        <w:rPr>
          <w:rFonts w:hint="eastAsia" w:ascii="宋体" w:hAnsi="宋体" w:eastAsia="宋体"/>
          <w:b/>
          <w:sz w:val="32"/>
          <w:szCs w:val="32"/>
        </w:rPr>
        <w:t>（二）财政拨款支出决算结构情况</w:t>
      </w:r>
    </w:p>
    <w:p w14:paraId="73C24B0F">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3863.97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82.72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25.00万元，占0.54%；</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658.36万元，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14.09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123.92万元，占2.65%。</w:t>
      </w:r>
    </w:p>
    <w:p w14:paraId="295A59DF">
      <w:pPr>
        <w:pStyle w:val="13"/>
        <w:ind w:left="0" w:leftChars="0" w:firstLine="640" w:firstLineChars="200"/>
        <w:rPr>
          <w:rFonts w:ascii="宋体" w:hAnsi="宋体" w:eastAsia="宋体"/>
          <w:b/>
          <w:sz w:val="32"/>
          <w:szCs w:val="32"/>
        </w:rPr>
      </w:pPr>
      <w:r>
        <w:rPr>
          <w:rFonts w:hint="eastAsia" w:ascii="宋体" w:hAnsi="宋体" w:eastAsia="宋体"/>
          <w:b/>
          <w:sz w:val="32"/>
          <w:szCs w:val="32"/>
        </w:rPr>
        <w:t>（三）财政拨款支出决算具体情况</w:t>
      </w:r>
    </w:p>
    <w:p w14:paraId="4525626B">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5107.20</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91.46</w:t>
      </w:r>
      <w:r>
        <w:rPr>
          <w:rFonts w:hint="eastAsia" w:ascii="仿宋_GB2312" w:hAnsi="仿宋_GB2312" w:eastAsia="仿宋_GB2312" w:cs="仿宋_GB2312"/>
          <w:sz w:val="32"/>
          <w:szCs w:val="32"/>
        </w:rPr>
        <w:t>%，其中：</w:t>
      </w:r>
    </w:p>
    <w:p w14:paraId="6BDF9359">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p>
    <w:p w14:paraId="451CECD5">
      <w:pPr>
        <w:pStyle w:val="13"/>
        <w:ind w:left="0" w:leftChars="0"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2506.10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2223.94</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88.74</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小于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当年退休人员有所增加导致的工资支出减少。</w:t>
      </w:r>
    </w:p>
    <w:p w14:paraId="1F3E166B">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14:paraId="241F8E1E">
      <w:pPr>
        <w:pStyle w:val="13"/>
        <w:ind w:left="8" w:leftChars="0" w:right="63" w:rightChars="30" w:firstLine="632" w:firstLineChars="0"/>
        <w:rPr>
          <w:rFonts w:hint="eastAsia" w:ascii="仿宋_GB2312" w:hAnsi="仿宋_GB2312" w:eastAsia="仿宋_GB2312" w:cs="仿宋_GB2312"/>
          <w:color w:val="4F81BD"/>
          <w:sz w:val="32"/>
          <w:szCs w:val="32"/>
          <w:lang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等于</w:t>
      </w:r>
      <w:r>
        <w:rPr>
          <w:rFonts w:hint="eastAsia" w:ascii="仿宋_GB2312" w:hAnsi="仿宋_GB2312" w:eastAsia="仿宋_GB2312" w:cs="仿宋_GB2312"/>
          <w:color w:val="auto"/>
          <w:sz w:val="32"/>
          <w:szCs w:val="32"/>
        </w:rPr>
        <w:t>年初预算数</w:t>
      </w:r>
      <w:r>
        <w:rPr>
          <w:rFonts w:hint="eastAsia" w:ascii="仿宋_GB2312" w:hAnsi="仿宋_GB2312" w:eastAsia="仿宋_GB2312" w:cs="仿宋_GB2312"/>
          <w:color w:val="auto"/>
          <w:sz w:val="32"/>
          <w:szCs w:val="32"/>
          <w:lang w:eastAsia="zh-CN"/>
        </w:rPr>
        <w:t>。</w:t>
      </w:r>
    </w:p>
    <w:p w14:paraId="65E132D7">
      <w:pPr>
        <w:pStyle w:val="13"/>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其他财政事务支出</w:t>
      </w:r>
      <w:r>
        <w:rPr>
          <w:rFonts w:hint="eastAsia" w:ascii="仿宋_GB2312" w:hAnsi="仿宋_GB2312" w:eastAsia="仿宋_GB2312" w:cs="仿宋_GB2312"/>
          <w:sz w:val="32"/>
          <w:szCs w:val="32"/>
        </w:rPr>
        <w:t>（项）。</w:t>
      </w:r>
    </w:p>
    <w:p w14:paraId="0891AA2F">
      <w:pPr>
        <w:pStyle w:val="13"/>
        <w:ind w:left="8" w:leftChars="0" w:right="63" w:rightChars="30" w:firstLine="632" w:firstLineChars="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auto"/>
          <w:sz w:val="32"/>
          <w:szCs w:val="32"/>
          <w:lang w:eastAsia="zh-CN"/>
        </w:rPr>
        <w:t>年初预算为</w:t>
      </w:r>
      <w:r>
        <w:rPr>
          <w:rFonts w:hint="eastAsia" w:ascii="仿宋_GB2312" w:hAnsi="仿宋_GB2312" w:eastAsia="仿宋_GB2312" w:cs="仿宋_GB2312"/>
          <w:color w:val="auto"/>
          <w:sz w:val="32"/>
          <w:szCs w:val="32"/>
          <w:lang w:val="en-US" w:eastAsia="zh-CN"/>
        </w:rPr>
        <w:t>1469.38万元，支出决算1557.96万元，完成年初预算的106.03%，决算数大于年初预算数的主要原因是：增加了业务支出项目。</w:t>
      </w:r>
    </w:p>
    <w:p w14:paraId="19E0D110">
      <w:pPr>
        <w:pStyle w:val="13"/>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其他一般公共服务支出（类）其他一般公共服务支出（项）</w:t>
      </w:r>
      <w:r>
        <w:rPr>
          <w:rFonts w:hint="eastAsia" w:ascii="仿宋_GB2312" w:hAnsi="仿宋_GB2312" w:eastAsia="仿宋_GB2312" w:cs="仿宋_GB2312"/>
          <w:sz w:val="32"/>
          <w:szCs w:val="32"/>
          <w:lang w:eastAsia="zh-CN"/>
        </w:rPr>
        <w:t>。</w:t>
      </w:r>
    </w:p>
    <w:p w14:paraId="3DFB64E4">
      <w:pPr>
        <w:pStyle w:val="13"/>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年初预算为0万元，支出决算为12.07万元，该项支出为追加的预算支出项目，主要用于会计资格考试考务费。</w:t>
      </w:r>
    </w:p>
    <w:p w14:paraId="784FA201">
      <w:pPr>
        <w:pStyle w:val="13"/>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公共安全支出（类）其他公共安全支出</w:t>
      </w:r>
      <w:r>
        <w:rPr>
          <w:rFonts w:hint="eastAsia" w:ascii="仿宋_GB2312" w:hAnsi="仿宋_GB2312" w:eastAsia="仿宋_GB2312" w:cs="仿宋_GB2312"/>
          <w:sz w:val="32"/>
          <w:szCs w:val="32"/>
          <w:lang w:val="en-US" w:eastAsia="zh-CN"/>
        </w:rPr>
        <w:t>（款）</w:t>
      </w:r>
      <w:r>
        <w:rPr>
          <w:rFonts w:hint="eastAsia" w:ascii="仿宋_GB2312" w:hAnsi="仿宋_GB2312" w:eastAsia="仿宋_GB2312" w:cs="仿宋_GB2312"/>
          <w:sz w:val="32"/>
          <w:szCs w:val="32"/>
        </w:rPr>
        <w:t>其他公共安全支出</w:t>
      </w:r>
      <w:r>
        <w:rPr>
          <w:rFonts w:hint="eastAsia" w:ascii="仿宋_GB2312" w:hAnsi="仿宋_GB2312" w:eastAsia="仿宋_GB2312" w:cs="仿宋_GB2312"/>
          <w:sz w:val="32"/>
          <w:szCs w:val="32"/>
          <w:lang w:val="en-US" w:eastAsia="zh-CN"/>
        </w:rPr>
        <w:t>(项）。</w:t>
      </w:r>
    </w:p>
    <w:p w14:paraId="2A465B71">
      <w:pPr>
        <w:pStyle w:val="13"/>
        <w:numPr>
          <w:ilvl w:val="0"/>
          <w:numId w:val="0"/>
        </w:numPr>
        <w:ind w:left="8" w:leftChars="0" w:right="63" w:rightChars="30" w:firstLine="632"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年初预算为</w:t>
      </w:r>
      <w:r>
        <w:rPr>
          <w:rFonts w:hint="eastAsia" w:ascii="仿宋_GB2312" w:hAnsi="仿宋_GB2312" w:eastAsia="仿宋_GB2312" w:cs="仿宋_GB2312"/>
          <w:color w:val="auto"/>
          <w:sz w:val="32"/>
          <w:szCs w:val="32"/>
          <w:lang w:val="en-US" w:eastAsia="zh-CN"/>
        </w:rPr>
        <w:t>0万元，支出决算25万元</w:t>
      </w:r>
      <w:r>
        <w:rPr>
          <w:rFonts w:hint="eastAsia" w:ascii="仿宋_GB2312" w:hAnsi="仿宋_GB2312" w:eastAsia="仿宋_GB2312" w:cs="仿宋_GB2312"/>
          <w:color w:val="0000FF"/>
          <w:sz w:val="32"/>
          <w:szCs w:val="32"/>
          <w:lang w:val="en-US" w:eastAsia="zh-CN"/>
        </w:rPr>
        <w:t>，</w:t>
      </w:r>
      <w:r>
        <w:rPr>
          <w:rFonts w:hint="eastAsia" w:ascii="仿宋_GB2312" w:hAnsi="仿宋_GB2312" w:eastAsia="仿宋_GB2312" w:cs="仿宋_GB2312"/>
          <w:color w:val="auto"/>
          <w:sz w:val="32"/>
          <w:szCs w:val="32"/>
          <w:lang w:val="en-US" w:eastAsia="zh-CN"/>
        </w:rPr>
        <w:t>该项支出为追加的预算支出项目，主要用于相关业务经费开支。</w:t>
      </w:r>
    </w:p>
    <w:p w14:paraId="2D722D82">
      <w:pPr>
        <w:pStyle w:val="13"/>
        <w:numPr>
          <w:ilvl w:val="0"/>
          <w:numId w:val="0"/>
        </w:numPr>
        <w:ind w:left="640" w:leftChars="0" w:right="63" w:rightChars="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6、社会保障和就业支出（类）行政事业单位养老支出（款）行政单位离退休(项）。</w:t>
      </w:r>
    </w:p>
    <w:p w14:paraId="7FF42CD3">
      <w:pPr>
        <w:pStyle w:val="13"/>
        <w:numPr>
          <w:ilvl w:val="0"/>
          <w:numId w:val="0"/>
        </w:numPr>
        <w:ind w:left="0" w:leftChars="0" w:right="63" w:rightChars="3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color w:val="auto"/>
          <w:sz w:val="32"/>
          <w:szCs w:val="32"/>
          <w:lang w:val="en-US" w:eastAsia="zh-CN"/>
        </w:rPr>
        <w:t>124.84</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color w:val="auto"/>
          <w:sz w:val="32"/>
          <w:szCs w:val="32"/>
          <w:lang w:val="en-US" w:eastAsia="zh-CN"/>
        </w:rPr>
        <w:t>117.36</w:t>
      </w:r>
      <w:r>
        <w:rPr>
          <w:rFonts w:hint="eastAsia" w:ascii="仿宋_GB2312" w:hAnsi="仿宋_GB2312" w:eastAsia="仿宋_GB2312" w:cs="仿宋_GB2312"/>
          <w:sz w:val="32"/>
          <w:szCs w:val="32"/>
          <w:lang w:val="en-US" w:eastAsia="zh-CN"/>
        </w:rPr>
        <w:t>万元，完成年初预算的94.01%</w:t>
      </w:r>
      <w:r>
        <w:rPr>
          <w:rFonts w:hint="eastAsia" w:ascii="仿宋_GB2312" w:hAnsi="仿宋_GB2312" w:eastAsia="仿宋_GB2312" w:cs="仿宋_GB2312"/>
          <w:color w:val="auto"/>
          <w:sz w:val="32"/>
          <w:szCs w:val="32"/>
          <w:lang w:val="en-US" w:eastAsia="zh-CN"/>
        </w:rPr>
        <w:t>，决算数小于年初数的原因主要是支出项目减少。</w:t>
      </w:r>
    </w:p>
    <w:p w14:paraId="583EF0C9">
      <w:pPr>
        <w:pStyle w:val="13"/>
        <w:numPr>
          <w:ilvl w:val="0"/>
          <w:numId w:val="0"/>
        </w:numPr>
        <w:ind w:left="9" w:leftChars="0" w:right="63" w:rightChars="30" w:firstLine="624" w:firstLineChars="19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6、社会保障和就业支出（类）行政事业单位离退休（款）机关事业单位基本养老保险缴费支出（项）</w:t>
      </w:r>
    </w:p>
    <w:p w14:paraId="346722C6">
      <w:pPr>
        <w:pStyle w:val="13"/>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年初预算为553.74万元，支出决算为</w:t>
      </w:r>
      <w:r>
        <w:rPr>
          <w:rFonts w:hint="eastAsia" w:ascii="仿宋_GB2312" w:hAnsi="仿宋_GB2312" w:eastAsia="仿宋_GB2312" w:cs="仿宋_GB2312"/>
          <w:color w:val="auto"/>
          <w:sz w:val="32"/>
          <w:szCs w:val="32"/>
          <w:lang w:val="en-US" w:eastAsia="zh-CN"/>
        </w:rPr>
        <w:t>304.52</w:t>
      </w:r>
      <w:r>
        <w:rPr>
          <w:rFonts w:hint="eastAsia" w:ascii="仿宋_GB2312" w:hAnsi="仿宋_GB2312" w:eastAsia="仿宋_GB2312" w:cs="仿宋_GB2312"/>
          <w:sz w:val="32"/>
          <w:szCs w:val="32"/>
          <w:lang w:val="en-US" w:eastAsia="zh-CN"/>
        </w:rPr>
        <w:t>万元，完成年初预算的54.99%，</w:t>
      </w:r>
      <w:r>
        <w:rPr>
          <w:rFonts w:hint="eastAsia" w:ascii="仿宋_GB2312" w:hAnsi="仿宋_GB2312" w:eastAsia="仿宋_GB2312" w:cs="仿宋_GB2312"/>
          <w:color w:val="auto"/>
          <w:sz w:val="32"/>
          <w:szCs w:val="32"/>
          <w:lang w:val="en-US" w:eastAsia="zh-CN"/>
        </w:rPr>
        <w:t>决算数小于年初数的原因主要是支出项目减少。</w:t>
      </w:r>
    </w:p>
    <w:p w14:paraId="72B8D54D">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7、社会保障和就业支出（类）行政事业单位养老支出（款）其他行政事业单位养老支出（项）。</w:t>
      </w:r>
    </w:p>
    <w:p w14:paraId="7EA915CE">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236.48</w:t>
      </w:r>
      <w:r>
        <w:rPr>
          <w:rFonts w:hint="eastAsia" w:ascii="仿宋_GB2312" w:hAnsi="仿宋_GB2312" w:eastAsia="仿宋_GB2312" w:cs="仿宋_GB2312"/>
          <w:sz w:val="32"/>
          <w:szCs w:val="32"/>
          <w:lang w:val="en-US" w:eastAsia="zh-CN"/>
        </w:rPr>
        <w:t>万元，该项目为追加预算支出项目，主要用于退休人员春节生活补助。</w:t>
      </w:r>
    </w:p>
    <w:p w14:paraId="16F4B001">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8、卫生健康支出（类）行政事业单位医疗（款）行政单位医疗（项）</w:t>
      </w:r>
    </w:p>
    <w:p w14:paraId="2D120F88">
      <w:pPr>
        <w:pStyle w:val="13"/>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年初预算为134.20万元，支出决算为</w:t>
      </w:r>
      <w:r>
        <w:rPr>
          <w:rFonts w:hint="eastAsia" w:ascii="仿宋_GB2312" w:hAnsi="仿宋_GB2312" w:eastAsia="仿宋_GB2312" w:cs="仿宋_GB2312"/>
          <w:color w:val="auto"/>
          <w:sz w:val="32"/>
          <w:szCs w:val="32"/>
          <w:lang w:val="en-US" w:eastAsia="zh-CN"/>
        </w:rPr>
        <w:t>117.92</w:t>
      </w:r>
      <w:r>
        <w:rPr>
          <w:rFonts w:hint="eastAsia" w:ascii="仿宋_GB2312" w:hAnsi="仿宋_GB2312" w:eastAsia="仿宋_GB2312" w:cs="仿宋_GB2312"/>
          <w:sz w:val="32"/>
          <w:szCs w:val="32"/>
          <w:lang w:val="en-US" w:eastAsia="zh-CN"/>
        </w:rPr>
        <w:t>万元，完成年初预算的87.87%，</w:t>
      </w:r>
      <w:r>
        <w:rPr>
          <w:rFonts w:hint="eastAsia" w:ascii="仿宋_GB2312" w:hAnsi="仿宋_GB2312" w:eastAsia="仿宋_GB2312" w:cs="仿宋_GB2312"/>
          <w:color w:val="auto"/>
          <w:sz w:val="32"/>
          <w:szCs w:val="32"/>
          <w:lang w:val="en-US" w:eastAsia="zh-CN"/>
        </w:rPr>
        <w:t>决算数小于年初数的原因主要是支出项目减少。</w:t>
      </w:r>
    </w:p>
    <w:p w14:paraId="5CDD3CBE">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9、卫生健康支出（类）医疗救助（款）城乡医疗救助（项）</w:t>
      </w:r>
    </w:p>
    <w:p w14:paraId="5545482F">
      <w:pPr>
        <w:pStyle w:val="13"/>
        <w:numPr>
          <w:ilvl w:val="0"/>
          <w:numId w:val="0"/>
        </w:numPr>
        <w:ind w:left="8" w:leftChars="0" w:right="63" w:rightChars="30" w:firstLine="632"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sz w:val="32"/>
          <w:szCs w:val="32"/>
          <w:lang w:val="en-US" w:eastAsia="zh-CN"/>
        </w:rPr>
        <w:t>万元，该项支出为追加的预算支出项目，主要用于医疗救助补助支出。</w:t>
      </w:r>
    </w:p>
    <w:p w14:paraId="7D21211F">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10、卫生健康支出（类）行政事业单位医疗（款）其他医疗救助支出（项）</w:t>
      </w:r>
    </w:p>
    <w:p w14:paraId="5F6C9348">
      <w:pPr>
        <w:pStyle w:val="13"/>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4.00万</w:t>
      </w:r>
      <w:r>
        <w:rPr>
          <w:rFonts w:hint="eastAsia" w:ascii="仿宋_GB2312" w:hAnsi="仿宋_GB2312" w:eastAsia="仿宋_GB2312" w:cs="仿宋_GB2312"/>
          <w:sz w:val="32"/>
          <w:szCs w:val="32"/>
          <w:lang w:val="en-US" w:eastAsia="zh-CN"/>
        </w:rPr>
        <w:t>元，该项支出为追加的预算支出项目，主要用于大病医疗救助。</w:t>
      </w:r>
    </w:p>
    <w:p w14:paraId="4A70F27C">
      <w:pPr>
        <w:pStyle w:val="13"/>
        <w:numPr>
          <w:ilvl w:val="0"/>
          <w:numId w:val="0"/>
        </w:numPr>
        <w:ind w:left="8" w:leftChars="0" w:right="63" w:rightChars="30" w:firstLine="632" w:firstLineChars="0"/>
        <w:rPr>
          <w:rFonts w:hint="default" w:ascii="仿宋_GB2312" w:hAnsi="仿宋_GB2312" w:eastAsia="仿宋_GB2312" w:cs="仿宋_GB2312"/>
          <w:sz w:val="32"/>
          <w:szCs w:val="32"/>
          <w:lang w:val="en-US" w:eastAsia="zh-CN"/>
        </w:rPr>
      </w:pPr>
    </w:p>
    <w:p w14:paraId="077C6818">
      <w:pPr>
        <w:pStyle w:val="13"/>
        <w:numPr>
          <w:ilvl w:val="0"/>
          <w:numId w:val="0"/>
        </w:numPr>
        <w:ind w:left="640" w:leftChars="0" w:right="63" w:rightChars="30"/>
        <w:rPr>
          <w:rFonts w:hAnsi="黑体"/>
          <w:b/>
          <w:sz w:val="32"/>
          <w:szCs w:val="32"/>
        </w:rPr>
      </w:pPr>
      <w:r>
        <w:rPr>
          <w:rFonts w:hint="eastAsia" w:hAnsi="黑体"/>
          <w:b/>
          <w:sz w:val="32"/>
          <w:szCs w:val="32"/>
        </w:rPr>
        <w:t>六、一般公共预算财政拨款基本支出决算情况说明</w:t>
      </w:r>
    </w:p>
    <w:p w14:paraId="3E5B1C4B">
      <w:pPr>
        <w:pStyle w:val="13"/>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3326.41</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2895</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87.03</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、绩效工资、机关事业单位基本养老保险缴费、职业年金缴费、职工基本医疗保险缴费、公务员医疗补助缴费、住房公积金、对个人和家庭的补助等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431.41</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12.97</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、电费、邮电费、差旅费、维修（护）费、会议费、培训费、公务接待费、劳务费、福利费、公务用车运行维护费、其他交通费、其他商品服务支出、办公设备购置等</w:t>
      </w:r>
      <w:r>
        <w:rPr>
          <w:rFonts w:hint="eastAsia" w:ascii="仿宋_GB2312" w:hAnsi="仿宋_GB2312" w:eastAsia="仿宋_GB2312" w:cs="仿宋_GB2312"/>
          <w:sz w:val="32"/>
          <w:szCs w:val="32"/>
        </w:rPr>
        <w:t>。</w:t>
      </w:r>
    </w:p>
    <w:p w14:paraId="636A732F">
      <w:pPr>
        <w:pStyle w:val="13"/>
        <w:ind w:left="0" w:leftChars="0" w:firstLine="640" w:firstLineChars="200"/>
        <w:rPr>
          <w:rFonts w:hAnsi="黑体"/>
          <w:b/>
          <w:sz w:val="32"/>
          <w:szCs w:val="32"/>
        </w:rPr>
      </w:pPr>
      <w:r>
        <w:rPr>
          <w:rFonts w:hint="eastAsia" w:hAnsi="黑体"/>
          <w:b/>
          <w:sz w:val="32"/>
          <w:szCs w:val="32"/>
        </w:rPr>
        <w:t>七、财政拨款“三公”经费支出决算情况说明</w:t>
      </w:r>
    </w:p>
    <w:p w14:paraId="09BA9F09">
      <w:pPr>
        <w:pStyle w:val="13"/>
        <w:ind w:left="0" w:leftChars="0" w:firstLine="640" w:firstLineChars="200"/>
        <w:rPr>
          <w:rFonts w:ascii="宋体" w:hAnsi="宋体" w:eastAsia="宋体"/>
          <w:b/>
          <w:sz w:val="32"/>
          <w:szCs w:val="32"/>
        </w:rPr>
      </w:pPr>
      <w:r>
        <w:rPr>
          <w:rFonts w:hint="eastAsia" w:ascii="宋体" w:hAnsi="宋体" w:eastAsia="宋体"/>
          <w:b/>
          <w:sz w:val="32"/>
          <w:szCs w:val="32"/>
        </w:rPr>
        <w:t>（一）“三公”经费财政拨款支出决算总体情况说明</w:t>
      </w:r>
    </w:p>
    <w:p w14:paraId="6160138B">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23.93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66.47</w:t>
      </w:r>
      <w:r>
        <w:rPr>
          <w:rFonts w:hint="eastAsia" w:ascii="仿宋_GB2312" w:hAnsi="仿宋_GB2312" w:eastAsia="仿宋_GB2312" w:cs="仿宋_GB2312"/>
          <w:sz w:val="32"/>
          <w:szCs w:val="32"/>
        </w:rPr>
        <w:t>%，其中：</w:t>
      </w:r>
    </w:p>
    <w:p w14:paraId="16D72B21">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p>
    <w:p w14:paraId="01BC1B14">
      <w:pPr>
        <w:pStyle w:val="13"/>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3.17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52.83</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我局严格控制公务接待费的规模和比例，严把公务接待支出的审核、审批关</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43.44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外单位来人批次人数增加</w:t>
      </w:r>
      <w:r>
        <w:rPr>
          <w:rFonts w:hint="eastAsia" w:ascii="仿宋_GB2312" w:hAnsi="仿宋_GB2312" w:eastAsia="仿宋_GB2312" w:cs="仿宋_GB2312"/>
          <w:sz w:val="32"/>
          <w:szCs w:val="32"/>
        </w:rPr>
        <w:t>。</w:t>
      </w:r>
    </w:p>
    <w:p w14:paraId="77563385">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运行维护费支出预算为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20.77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69.23</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我局严格管理公务用车的使用、维修维护</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3.54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公务用车使用年限增加，运行维护成本增加</w:t>
      </w:r>
      <w:r>
        <w:rPr>
          <w:rFonts w:hint="eastAsia" w:ascii="仿宋_GB2312" w:hAnsi="仿宋_GB2312" w:eastAsia="仿宋_GB2312" w:cs="仿宋_GB2312"/>
          <w:sz w:val="32"/>
          <w:szCs w:val="32"/>
        </w:rPr>
        <w:t>。</w:t>
      </w:r>
    </w:p>
    <w:p w14:paraId="1D7FDD92">
      <w:pPr>
        <w:pStyle w:val="13"/>
        <w:ind w:left="0" w:leftChars="0" w:firstLine="640" w:firstLineChars="200"/>
        <w:rPr>
          <w:rFonts w:ascii="宋体" w:hAnsi="宋体" w:eastAsia="宋体"/>
          <w:b/>
          <w:sz w:val="32"/>
          <w:szCs w:val="32"/>
        </w:rPr>
      </w:pPr>
      <w:r>
        <w:rPr>
          <w:rFonts w:hint="eastAsia" w:ascii="宋体" w:hAnsi="宋体" w:eastAsia="宋体"/>
          <w:b/>
          <w:sz w:val="32"/>
          <w:szCs w:val="32"/>
        </w:rPr>
        <w:t>（二）“三公”经费财政拨款支出决算具体情况说明</w:t>
      </w:r>
    </w:p>
    <w:p w14:paraId="0FA24760">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3.17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13.25</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20.77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86.75</w:t>
      </w:r>
      <w:r>
        <w:rPr>
          <w:rFonts w:hint="eastAsia" w:ascii="仿宋_GB2312" w:hAnsi="仿宋_GB2312" w:eastAsia="仿宋_GB2312" w:cs="仿宋_GB2312"/>
          <w:sz w:val="32"/>
          <w:szCs w:val="32"/>
        </w:rPr>
        <w:t>%。其中：</w:t>
      </w:r>
    </w:p>
    <w:p w14:paraId="09EDC128">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安排因公出国（境）</w:t>
      </w:r>
      <w:r>
        <w:rPr>
          <w:rFonts w:hint="eastAsia" w:ascii="仿宋_GB2312" w:hAnsi="仿宋_GB2312" w:eastAsia="仿宋_GB2312" w:cs="仿宋_GB2312"/>
          <w:sz w:val="32"/>
          <w:szCs w:val="32"/>
          <w:lang w:eastAsia="zh-CN"/>
        </w:rPr>
        <w:t>。</w:t>
      </w:r>
    </w:p>
    <w:p w14:paraId="7A6FEBFE">
      <w:pPr>
        <w:pStyle w:val="13"/>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3.17</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190</w:t>
      </w:r>
      <w:r>
        <w:rPr>
          <w:rFonts w:hint="eastAsia" w:ascii="仿宋_GB2312" w:hAnsi="仿宋_GB2312" w:eastAsia="仿宋_GB2312" w:cs="仿宋_GB2312"/>
          <w:sz w:val="32"/>
          <w:szCs w:val="32"/>
        </w:rPr>
        <w:t>人次，主要是</w:t>
      </w:r>
      <w:r>
        <w:rPr>
          <w:rFonts w:hint="eastAsia" w:ascii="仿宋_GB2312" w:hAnsi="仿宋_GB2312" w:eastAsia="仿宋_GB2312" w:cs="仿宋_GB2312"/>
          <w:sz w:val="32"/>
          <w:szCs w:val="32"/>
          <w:lang w:eastAsia="zh-CN"/>
        </w:rPr>
        <w:t>调研、检查、联系工作等发</w:t>
      </w:r>
      <w:r>
        <w:rPr>
          <w:rFonts w:hint="eastAsia" w:ascii="仿宋_GB2312" w:hAnsi="仿宋_GB2312" w:eastAsia="仿宋_GB2312" w:cs="仿宋_GB2312"/>
          <w:sz w:val="32"/>
          <w:szCs w:val="32"/>
        </w:rPr>
        <w:t>生的接待支出。</w:t>
      </w:r>
    </w:p>
    <w:p w14:paraId="2355DF10">
      <w:pPr>
        <w:ind w:left="0" w:lef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20.77</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20.77</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车辆保险、油料、维修、路桥费等</w:t>
      </w:r>
      <w:r>
        <w:rPr>
          <w:rFonts w:hint="eastAsia" w:ascii="仿宋_GB2312" w:hAnsi="仿宋_GB2312" w:eastAsia="仿宋_GB2312" w:cs="仿宋_GB2312"/>
          <w:sz w:val="32"/>
          <w:szCs w:val="32"/>
        </w:rPr>
        <w:t>支出，截止20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本部门</w:t>
      </w:r>
      <w:r>
        <w:rPr>
          <w:rFonts w:hint="eastAsia" w:ascii="仿宋_GB2312" w:hAnsi="仿宋_GB2312" w:eastAsia="仿宋_GB2312" w:cs="仿宋_GB2312"/>
          <w:sz w:val="32"/>
          <w:szCs w:val="32"/>
        </w:rPr>
        <w:t>开支财政拨款的公务用车保有量为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w:t>
      </w:r>
    </w:p>
    <w:p w14:paraId="2D5F58D0">
      <w:pPr>
        <w:pStyle w:val="13"/>
        <w:ind w:left="0" w:leftChars="0" w:firstLine="640" w:firstLineChars="200"/>
        <w:rPr>
          <w:rFonts w:hAnsi="黑体"/>
          <w:b/>
          <w:sz w:val="32"/>
          <w:szCs w:val="32"/>
        </w:rPr>
      </w:pPr>
      <w:r>
        <w:rPr>
          <w:rFonts w:hint="eastAsia" w:hAnsi="黑体"/>
          <w:b/>
          <w:sz w:val="32"/>
          <w:szCs w:val="32"/>
        </w:rPr>
        <w:t>八、政府性基金预算收入支出决算情况</w:t>
      </w:r>
    </w:p>
    <w:p w14:paraId="62C73FFB">
      <w:pPr>
        <w:pStyle w:val="13"/>
        <w:ind w:left="0" w:leftChars="0" w:firstLine="640" w:firstLineChars="200"/>
        <w:rPr>
          <w:rFonts w:hint="eastAsia" w:ascii="仿宋_GB2312" w:hAnsi="仿宋_GB2312" w:eastAsia="仿宋_GB2312" w:cs="仿宋_GB2312"/>
          <w:sz w:val="32"/>
          <w:szCs w:val="32"/>
          <w:lang w:eastAsia="zh-CN"/>
        </w:rPr>
      </w:pPr>
      <w:r>
        <w:rPr>
          <w:rFonts w:hint="eastAsia" w:ascii="宋体" w:hAnsi="宋体" w:eastAsia="宋体"/>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eastAsia="zh-CN"/>
        </w:rPr>
        <w:t>、支出。</w:t>
      </w:r>
    </w:p>
    <w:p w14:paraId="32631FB5">
      <w:pPr>
        <w:pStyle w:val="13"/>
        <w:ind w:left="0" w:leftChars="0" w:firstLine="640" w:firstLineChars="200"/>
        <w:rPr>
          <w:rFonts w:hint="eastAsia" w:ascii="仿宋_GB2312" w:hAnsi="仿宋_GB2312" w:eastAsia="仿宋_GB2312" w:cs="仿宋_GB2312"/>
          <w:color w:val="auto"/>
          <w:sz w:val="32"/>
          <w:szCs w:val="32"/>
          <w:lang w:val="en-US" w:eastAsia="zh-CN"/>
        </w:rPr>
      </w:pPr>
      <w:r>
        <w:rPr>
          <w:rFonts w:hint="eastAsia" w:hAnsi="黑体"/>
          <w:b/>
          <w:sz w:val="32"/>
          <w:szCs w:val="32"/>
          <w:lang w:val="en-US" w:eastAsia="zh-CN"/>
        </w:rPr>
        <w:t>九、国有资本经营预算收入支出决算情况</w:t>
      </w:r>
    </w:p>
    <w:p w14:paraId="39A2AB8E">
      <w:pPr>
        <w:pStyle w:val="13"/>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宋体" w:hAnsi="宋体" w:eastAsia="宋体"/>
          <w:sz w:val="32"/>
          <w:szCs w:val="32"/>
        </w:rPr>
        <w:t xml:space="preserve"> </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本部门未发生</w:t>
      </w:r>
      <w:r>
        <w:rPr>
          <w:rFonts w:hint="eastAsia" w:ascii="仿宋_GB2312" w:hAnsi="仿宋_GB2312" w:eastAsia="仿宋_GB2312" w:cs="仿宋_GB2312"/>
          <w:color w:val="auto"/>
          <w:sz w:val="32"/>
          <w:szCs w:val="32"/>
          <w:lang w:val="en-US" w:eastAsia="zh-CN"/>
        </w:rPr>
        <w:t>国有资本经营预算收入</w:t>
      </w:r>
      <w:r>
        <w:rPr>
          <w:rFonts w:hint="eastAsia" w:ascii="仿宋_GB2312" w:hAnsi="仿宋_GB2312" w:eastAsia="仿宋_GB2312" w:cs="仿宋_GB2312"/>
          <w:color w:val="auto"/>
          <w:sz w:val="32"/>
          <w:szCs w:val="32"/>
          <w:lang w:eastAsia="zh-CN"/>
        </w:rPr>
        <w:t>。</w:t>
      </w:r>
    </w:p>
    <w:p w14:paraId="20702F60">
      <w:pPr>
        <w:pStyle w:val="13"/>
        <w:ind w:left="0" w:leftChars="0" w:firstLine="640" w:firstLineChars="200"/>
        <w:rPr>
          <w:rFonts w:hint="eastAsia" w:hAnsi="黑体"/>
          <w:b/>
          <w:sz w:val="32"/>
          <w:szCs w:val="32"/>
          <w:lang w:eastAsia="zh-CN"/>
        </w:rPr>
      </w:pPr>
      <w:r>
        <w:rPr>
          <w:rFonts w:hint="eastAsia" w:hAnsi="黑体"/>
          <w:b/>
          <w:sz w:val="32"/>
          <w:szCs w:val="32"/>
          <w:lang w:eastAsia="zh-CN"/>
        </w:rPr>
        <w:t>十</w:t>
      </w:r>
      <w:r>
        <w:rPr>
          <w:rFonts w:hint="eastAsia" w:hAnsi="黑体"/>
          <w:b/>
          <w:sz w:val="32"/>
          <w:szCs w:val="32"/>
        </w:rPr>
        <w:t>、国有资本经营预算财政拨款支出决算</w:t>
      </w:r>
      <w:r>
        <w:rPr>
          <w:rFonts w:hint="eastAsia" w:hAnsi="黑体"/>
          <w:b/>
          <w:sz w:val="32"/>
          <w:szCs w:val="32"/>
          <w:lang w:eastAsia="zh-CN"/>
        </w:rPr>
        <w:t>情况</w:t>
      </w:r>
    </w:p>
    <w:p w14:paraId="26C1AAAB">
      <w:pPr>
        <w:pStyle w:val="13"/>
        <w:ind w:left="0" w:leftChars="0" w:firstLine="640" w:firstLineChars="200"/>
        <w:rPr>
          <w:rFonts w:hint="eastAsia" w:ascii="仿宋_GB2312" w:hAnsi="仿宋_GB2312" w:eastAsia="仿宋_GB2312" w:cs="仿宋_GB2312"/>
          <w:sz w:val="32"/>
          <w:szCs w:val="32"/>
          <w:lang w:eastAsia="zh-CN"/>
        </w:rPr>
      </w:pPr>
      <w:r>
        <w:rPr>
          <w:rFonts w:hint="eastAsia" w:ascii="宋体" w:hAnsi="宋体" w:eastAsia="宋体"/>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国有资本经营预算财政拨款支出</w:t>
      </w:r>
    </w:p>
    <w:p w14:paraId="369FEEEA">
      <w:pPr>
        <w:pStyle w:val="13"/>
        <w:ind w:left="0" w:leftChars="0" w:firstLine="640" w:firstLineChars="200"/>
        <w:rPr>
          <w:rFonts w:hAnsi="黑体"/>
          <w:b/>
          <w:sz w:val="32"/>
          <w:szCs w:val="32"/>
        </w:rPr>
      </w:pPr>
      <w:r>
        <w:rPr>
          <w:rFonts w:hint="eastAsia" w:hAnsi="黑体"/>
          <w:b/>
          <w:sz w:val="32"/>
          <w:szCs w:val="32"/>
          <w:lang w:val="en-US" w:eastAsia="zh-CN"/>
        </w:rPr>
        <w:t>十一</w:t>
      </w:r>
      <w:r>
        <w:rPr>
          <w:rFonts w:hint="eastAsia" w:hAnsi="黑体"/>
          <w:b/>
          <w:sz w:val="32"/>
          <w:szCs w:val="32"/>
        </w:rPr>
        <w:t>、</w:t>
      </w:r>
      <w:r>
        <w:rPr>
          <w:rFonts w:hint="eastAsia" w:hAnsi="黑体"/>
          <w:b/>
          <w:sz w:val="32"/>
          <w:szCs w:val="32"/>
          <w:lang w:eastAsia="zh-CN"/>
        </w:rPr>
        <w:t>关于</w:t>
      </w:r>
      <w:r>
        <w:rPr>
          <w:rFonts w:hint="eastAsia" w:hAnsi="黑体"/>
          <w:b/>
          <w:sz w:val="32"/>
          <w:szCs w:val="32"/>
        </w:rPr>
        <w:t>机关运行经费支出说明</w:t>
      </w:r>
    </w:p>
    <w:p w14:paraId="219D285F">
      <w:pPr>
        <w:pStyle w:val="13"/>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本部门202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年度机关运行经费支出</w:t>
      </w:r>
      <w:r>
        <w:rPr>
          <w:rFonts w:hint="eastAsia" w:ascii="仿宋_GB2312" w:hAnsi="仿宋_GB2312" w:eastAsia="仿宋_GB2312" w:cs="仿宋_GB2312"/>
          <w:color w:val="auto"/>
          <w:sz w:val="32"/>
          <w:szCs w:val="32"/>
          <w:lang w:val="en-US" w:eastAsia="zh-CN"/>
        </w:rPr>
        <w:t>430.61</w:t>
      </w:r>
      <w:r>
        <w:rPr>
          <w:rFonts w:hint="eastAsia" w:ascii="仿宋_GB2312" w:hAnsi="仿宋_GB2312" w:eastAsia="仿宋_GB2312" w:cs="仿宋_GB2312"/>
          <w:color w:val="auto"/>
          <w:sz w:val="32"/>
          <w:szCs w:val="32"/>
        </w:rPr>
        <w:t>万元，比年初预算数</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60.27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12.28</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相关科室业务活动减少。</w:t>
      </w:r>
    </w:p>
    <w:p w14:paraId="224C05D1">
      <w:pPr>
        <w:pStyle w:val="13"/>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、一般性支出情况说明</w:t>
      </w:r>
    </w:p>
    <w:p w14:paraId="63113FE5">
      <w:pPr>
        <w:pStyle w:val="13"/>
        <w:ind w:left="0" w:lef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用于召开就业工作调研座谈会、”三保“督查调研座谈会会议费、财政收支和财源建设会议费等，人数</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sz w:val="32"/>
          <w:szCs w:val="32"/>
          <w:lang w:val="en-US" w:eastAsia="zh-CN"/>
        </w:rPr>
        <w:t>人，内容为会议工作总结、布置；开支培训费3.90万元，用于湖南交通2023新清单培训费、党员培训、事业单位工作人员培训费等；未举</w:t>
      </w:r>
      <w:r>
        <w:rPr>
          <w:rFonts w:hint="eastAsia" w:ascii="仿宋_GB2312" w:hAnsi="仿宋_GB2312" w:eastAsia="仿宋_GB2312" w:cs="仿宋_GB2312"/>
          <w:color w:val="000000"/>
          <w:kern w:val="0"/>
          <w:sz w:val="32"/>
          <w:szCs w:val="32"/>
          <w:lang w:val="en-US" w:eastAsia="zh-CN" w:bidi="ar-SA"/>
        </w:rPr>
        <w:t>办节庆、晚会、论坛、赛事活动。</w:t>
      </w:r>
    </w:p>
    <w:p w14:paraId="03B145C6">
      <w:pPr>
        <w:pStyle w:val="13"/>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w:t>
      </w:r>
      <w:r>
        <w:rPr>
          <w:rFonts w:hint="eastAsia" w:hAnsi="黑体"/>
          <w:b/>
          <w:sz w:val="32"/>
          <w:szCs w:val="32"/>
          <w:lang w:eastAsia="zh-CN"/>
        </w:rPr>
        <w:t>关于</w:t>
      </w:r>
      <w:r>
        <w:rPr>
          <w:rFonts w:hint="eastAsia" w:hAnsi="黑体"/>
          <w:b/>
          <w:sz w:val="32"/>
          <w:szCs w:val="32"/>
        </w:rPr>
        <w:t>政府采购支出说明</w:t>
      </w:r>
    </w:p>
    <w:p w14:paraId="11AB0123">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343.74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343.74</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63.37</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280.37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授予中小企业合同金额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%，其中：授予小微企业合同金额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14:paraId="717F0B57">
      <w:pPr>
        <w:pStyle w:val="13"/>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w:t>
      </w:r>
      <w:r>
        <w:rPr>
          <w:rFonts w:hint="eastAsia" w:hAnsi="黑体"/>
          <w:b/>
          <w:sz w:val="32"/>
          <w:szCs w:val="32"/>
          <w:lang w:eastAsia="zh-CN"/>
        </w:rPr>
        <w:t>关于</w:t>
      </w:r>
      <w:r>
        <w:rPr>
          <w:rFonts w:hint="eastAsia" w:hAnsi="黑体"/>
          <w:b/>
          <w:sz w:val="32"/>
          <w:szCs w:val="32"/>
        </w:rPr>
        <w:t>国有资产占用情况说明</w:t>
      </w:r>
    </w:p>
    <w:p w14:paraId="1EBC117A">
      <w:pPr>
        <w:pStyle w:val="13"/>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年12月31日，部门（单位）共有车辆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辆，其中，其他用车</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辆，其他用车主要是</w:t>
      </w:r>
      <w:r>
        <w:rPr>
          <w:rFonts w:hint="eastAsia" w:ascii="仿宋_GB2312" w:hAnsi="仿宋_GB2312" w:eastAsia="仿宋_GB2312" w:cs="仿宋_GB2312"/>
          <w:sz w:val="32"/>
          <w:szCs w:val="32"/>
          <w:lang w:eastAsia="zh-CN"/>
        </w:rPr>
        <w:t>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14:paraId="5395357A">
      <w:pPr>
        <w:pStyle w:val="13"/>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五</w:t>
      </w:r>
      <w:r>
        <w:rPr>
          <w:rFonts w:hint="eastAsia" w:hAnsi="黑体"/>
          <w:b/>
          <w:sz w:val="32"/>
          <w:szCs w:val="32"/>
        </w:rPr>
        <w:t>、</w:t>
      </w:r>
      <w:r>
        <w:rPr>
          <w:rFonts w:hint="eastAsia" w:hAnsi="黑体"/>
          <w:b/>
          <w:sz w:val="32"/>
          <w:szCs w:val="32"/>
          <w:lang w:eastAsia="zh-CN"/>
        </w:rPr>
        <w:t>关于</w:t>
      </w:r>
      <w:r>
        <w:rPr>
          <w:rFonts w:hint="eastAsia" w:hAnsi="黑体"/>
          <w:b/>
          <w:sz w:val="32"/>
          <w:szCs w:val="32"/>
        </w:rPr>
        <w:t>202</w:t>
      </w:r>
      <w:r>
        <w:rPr>
          <w:rFonts w:hint="eastAsia" w:hAnsi="黑体"/>
          <w:b/>
          <w:sz w:val="32"/>
          <w:szCs w:val="32"/>
          <w:lang w:val="en-US" w:eastAsia="zh-CN"/>
        </w:rPr>
        <w:t>3</w:t>
      </w:r>
      <w:r>
        <w:rPr>
          <w:rFonts w:hint="eastAsia" w:hAnsi="黑体"/>
          <w:b/>
          <w:sz w:val="32"/>
          <w:szCs w:val="32"/>
        </w:rPr>
        <w:t>年度预算绩效情况说明</w:t>
      </w:r>
    </w:p>
    <w:p w14:paraId="31B553A9">
      <w:pPr>
        <w:autoSpaceDE w:val="0"/>
        <w:autoSpaceDN w:val="0"/>
        <w:adjustRightInd w:val="0"/>
        <w:ind w:left="0" w:leftChars="0" w:firstLine="640" w:firstLineChars="200"/>
        <w:jc w:val="left"/>
        <w:rPr>
          <w:rFonts w:ascii="宋体" w:hAnsi="宋体" w:cs="黑体"/>
          <w:color w:val="000000"/>
          <w:kern w:val="0"/>
          <w:sz w:val="32"/>
          <w:szCs w:val="32"/>
        </w:rPr>
      </w:pPr>
      <w:r>
        <w:rPr>
          <w:rFonts w:hint="eastAsia" w:ascii="宋体" w:hAnsi="宋体" w:cs="黑体"/>
          <w:b/>
          <w:color w:val="000000"/>
          <w:kern w:val="0"/>
          <w:sz w:val="32"/>
          <w:szCs w:val="32"/>
        </w:rPr>
        <w:t>（1）绩效管理评价工作开展情况</w:t>
      </w:r>
      <w:r>
        <w:rPr>
          <w:rFonts w:hint="eastAsia" w:ascii="宋体" w:hAnsi="宋体" w:cs="黑体"/>
          <w:color w:val="000000"/>
          <w:kern w:val="0"/>
          <w:sz w:val="32"/>
          <w:szCs w:val="32"/>
        </w:rPr>
        <w:t>。</w:t>
      </w:r>
    </w:p>
    <w:p w14:paraId="24F08A17">
      <w:pPr>
        <w:pStyle w:val="10"/>
        <w:widowControl/>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根据预算绩效管理要求，我部门组织对</w:t>
      </w:r>
      <w:r>
        <w:rPr>
          <w:rFonts w:hint="eastAsia" w:ascii="仿宋_GB2312" w:hAnsi="仿宋_GB2312" w:eastAsia="仿宋_GB2312" w:cs="仿宋_GB2312"/>
          <w:color w:val="000000"/>
          <w:kern w:val="0"/>
          <w:sz w:val="32"/>
          <w:szCs w:val="32"/>
          <w:lang w:eastAsia="zh-CN"/>
        </w:rPr>
        <w:t>怀化市财政局</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个单位开展整体支出绩效评价，涉及一般公共预算支出</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，国有资本经营预算项目支出</w:t>
      </w:r>
      <w:r>
        <w:rPr>
          <w:rFonts w:hint="eastAsia" w:ascii="仿宋_GB2312" w:hAnsi="仿宋_GB2312" w:eastAsia="仿宋_GB2312" w:cs="仿宋_GB2312"/>
          <w:color w:val="000000"/>
          <w:kern w:val="0"/>
          <w:sz w:val="32"/>
          <w:szCs w:val="32"/>
          <w:lang w:val="en-US" w:eastAsia="zh-CN"/>
        </w:rPr>
        <w:t>0元</w:t>
      </w:r>
      <w:r>
        <w:rPr>
          <w:rFonts w:hint="eastAsia" w:ascii="仿宋_GB2312" w:hAnsi="仿宋_GB2312" w:eastAsia="仿宋_GB2312" w:cs="仿宋_GB2312"/>
          <w:color w:val="000000"/>
          <w:kern w:val="0"/>
          <w:sz w:val="32"/>
          <w:szCs w:val="32"/>
        </w:rPr>
        <w:t>。从评价情况来看，</w:t>
      </w:r>
      <w:r>
        <w:rPr>
          <w:rFonts w:hint="eastAsia" w:ascii="仿宋_GB2312" w:hAnsi="仿宋_GB2312" w:eastAsia="仿宋_GB2312" w:cs="仿宋_GB2312"/>
          <w:color w:val="000000"/>
          <w:kern w:val="0"/>
          <w:sz w:val="32"/>
          <w:szCs w:val="32"/>
          <w:lang w:val="en-US" w:eastAsia="zh-CN"/>
        </w:rPr>
        <w:t>2023</w:t>
      </w:r>
      <w:r>
        <w:rPr>
          <w:rFonts w:hint="eastAsia" w:ascii="仿宋_GB2312" w:hAnsi="仿宋_GB2312" w:eastAsia="仿宋_GB2312" w:cs="仿宋_GB2312"/>
          <w:color w:val="000000"/>
          <w:kern w:val="0"/>
          <w:sz w:val="32"/>
          <w:szCs w:val="32"/>
        </w:rPr>
        <w:t>年怀化市财政局</w:t>
      </w:r>
      <w:r>
        <w:rPr>
          <w:rFonts w:hint="eastAsia" w:ascii="仿宋_GB2312" w:hAnsi="仿宋_GB2312" w:eastAsia="仿宋_GB2312" w:cs="仿宋_GB2312"/>
          <w:color w:val="000000"/>
          <w:kern w:val="0"/>
          <w:sz w:val="32"/>
          <w:szCs w:val="32"/>
          <w:lang w:eastAsia="zh-CN"/>
        </w:rPr>
        <w:t>财政拨款</w:t>
      </w:r>
      <w:r>
        <w:rPr>
          <w:rFonts w:hint="eastAsia" w:ascii="仿宋_GB2312" w:hAnsi="仿宋_GB2312" w:eastAsia="仿宋_GB2312" w:cs="仿宋_GB2312"/>
          <w:color w:val="000000"/>
          <w:kern w:val="0"/>
          <w:sz w:val="32"/>
          <w:szCs w:val="32"/>
        </w:rPr>
        <w:t>总支出为</w:t>
      </w:r>
      <w:r>
        <w:rPr>
          <w:rFonts w:hint="eastAsia" w:ascii="仿宋_GB2312" w:hAnsi="仿宋_GB2312" w:eastAsia="仿宋_GB2312" w:cs="仿宋_GB2312"/>
          <w:sz w:val="32"/>
          <w:szCs w:val="32"/>
          <w:lang w:val="en-US" w:eastAsia="zh-CN"/>
        </w:rPr>
        <w:t>4671.25</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其中：</w:t>
      </w:r>
      <w:r>
        <w:rPr>
          <w:rFonts w:hint="eastAsia" w:ascii="仿宋_GB2312" w:hAnsi="仿宋_GB2312" w:eastAsia="仿宋_GB2312" w:cs="仿宋_GB2312"/>
          <w:color w:val="000000"/>
          <w:kern w:val="0"/>
          <w:sz w:val="32"/>
          <w:szCs w:val="32"/>
        </w:rPr>
        <w:t>基本支出</w:t>
      </w:r>
      <w:r>
        <w:rPr>
          <w:rFonts w:hint="eastAsia" w:ascii="仿宋_GB2312" w:hAnsi="仿宋_GB2312" w:eastAsia="仿宋_GB2312" w:cs="仿宋_GB2312"/>
          <w:color w:val="000000"/>
          <w:kern w:val="0"/>
          <w:sz w:val="32"/>
          <w:szCs w:val="32"/>
          <w:lang w:val="en-US" w:eastAsia="zh-CN"/>
        </w:rPr>
        <w:t>3326.41万元，项目支出1344.84万元</w:t>
      </w:r>
      <w:r>
        <w:rPr>
          <w:rFonts w:hint="eastAsia" w:ascii="仿宋_GB2312" w:hAnsi="仿宋_GB2312" w:eastAsia="仿宋_GB2312" w:cs="仿宋_GB2312"/>
          <w:color w:val="000000"/>
          <w:kern w:val="0"/>
          <w:sz w:val="32"/>
          <w:szCs w:val="32"/>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000000"/>
          <w:kern w:val="0"/>
          <w:sz w:val="32"/>
          <w:szCs w:val="32"/>
          <w:lang w:eastAsia="zh-CN"/>
        </w:rPr>
        <w:t>项目支出核算的主要内容是财政局完成特定的工作任务或事业发展目标，在基本的预算支出以外，财政预算专款安排的支出。</w:t>
      </w:r>
    </w:p>
    <w:p w14:paraId="727E69D7">
      <w:pPr>
        <w:pStyle w:val="10"/>
        <w:widowControl/>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rPr>
      </w:pPr>
    </w:p>
    <w:p w14:paraId="1A317AB1">
      <w:pPr>
        <w:pStyle w:val="13"/>
        <w:ind w:left="0" w:leftChars="0" w:firstLine="1440" w:firstLineChars="200"/>
        <w:jc w:val="center"/>
        <w:rPr>
          <w:sz w:val="72"/>
          <w:szCs w:val="72"/>
        </w:rPr>
      </w:pPr>
    </w:p>
    <w:p w14:paraId="46522D2C">
      <w:pPr>
        <w:pStyle w:val="13"/>
        <w:ind w:left="0" w:leftChars="0" w:firstLine="1440" w:firstLineChars="200"/>
        <w:jc w:val="center"/>
        <w:rPr>
          <w:sz w:val="72"/>
          <w:szCs w:val="72"/>
        </w:rPr>
      </w:pPr>
    </w:p>
    <w:p w14:paraId="6E4B954B">
      <w:pPr>
        <w:pStyle w:val="13"/>
        <w:ind w:left="0" w:leftChars="0" w:firstLine="1440" w:firstLineChars="200"/>
        <w:jc w:val="center"/>
        <w:rPr>
          <w:sz w:val="72"/>
          <w:szCs w:val="72"/>
        </w:rPr>
      </w:pPr>
    </w:p>
    <w:p w14:paraId="05534E49">
      <w:pPr>
        <w:pStyle w:val="13"/>
        <w:ind w:left="0" w:leftChars="0" w:firstLine="1440" w:firstLineChars="200"/>
        <w:jc w:val="center"/>
        <w:rPr>
          <w:sz w:val="72"/>
          <w:szCs w:val="72"/>
        </w:rPr>
      </w:pPr>
    </w:p>
    <w:p w14:paraId="77405276">
      <w:pPr>
        <w:pStyle w:val="13"/>
        <w:ind w:left="0" w:leftChars="0" w:firstLine="1440" w:firstLineChars="200"/>
        <w:jc w:val="center"/>
        <w:rPr>
          <w:sz w:val="72"/>
          <w:szCs w:val="72"/>
        </w:rPr>
      </w:pPr>
    </w:p>
    <w:p w14:paraId="52CCE9BD">
      <w:pPr>
        <w:pStyle w:val="13"/>
        <w:ind w:left="0" w:leftChars="0" w:firstLine="1440" w:firstLineChars="200"/>
        <w:jc w:val="center"/>
        <w:rPr>
          <w:sz w:val="72"/>
          <w:szCs w:val="72"/>
        </w:rPr>
      </w:pPr>
    </w:p>
    <w:p w14:paraId="60C70721">
      <w:pPr>
        <w:pStyle w:val="13"/>
        <w:ind w:left="0" w:leftChars="0" w:firstLine="1440" w:firstLineChars="200"/>
        <w:jc w:val="center"/>
        <w:rPr>
          <w:sz w:val="72"/>
          <w:szCs w:val="72"/>
        </w:rPr>
      </w:pPr>
    </w:p>
    <w:p w14:paraId="499ED9CC">
      <w:pPr>
        <w:pStyle w:val="13"/>
        <w:ind w:left="0" w:leftChars="0" w:firstLine="1440" w:firstLineChars="200"/>
        <w:jc w:val="center"/>
        <w:rPr>
          <w:sz w:val="72"/>
          <w:szCs w:val="72"/>
        </w:rPr>
      </w:pPr>
    </w:p>
    <w:p w14:paraId="4409FF38">
      <w:pPr>
        <w:pStyle w:val="13"/>
        <w:ind w:left="0" w:leftChars="0" w:firstLine="1440" w:firstLineChars="200"/>
        <w:jc w:val="center"/>
        <w:rPr>
          <w:sz w:val="72"/>
          <w:szCs w:val="72"/>
        </w:rPr>
      </w:pPr>
    </w:p>
    <w:p w14:paraId="20134026">
      <w:pPr>
        <w:pStyle w:val="13"/>
        <w:jc w:val="center"/>
        <w:rPr>
          <w:sz w:val="72"/>
          <w:szCs w:val="72"/>
        </w:rPr>
      </w:pPr>
    </w:p>
    <w:p w14:paraId="57CED305">
      <w:pPr>
        <w:pStyle w:val="13"/>
        <w:rPr>
          <w:sz w:val="72"/>
          <w:szCs w:val="72"/>
        </w:rPr>
      </w:pPr>
    </w:p>
    <w:p w14:paraId="0197167F">
      <w:pPr>
        <w:pStyle w:val="13"/>
        <w:rPr>
          <w:sz w:val="72"/>
          <w:szCs w:val="72"/>
        </w:rPr>
      </w:pPr>
    </w:p>
    <w:p w14:paraId="2ECEE865">
      <w:pPr>
        <w:pStyle w:val="13"/>
        <w:jc w:val="center"/>
        <w:rPr>
          <w:sz w:val="72"/>
          <w:szCs w:val="72"/>
        </w:rPr>
      </w:pPr>
    </w:p>
    <w:p w14:paraId="0BA38D0B">
      <w:pPr>
        <w:pStyle w:val="13"/>
        <w:jc w:val="center"/>
        <w:rPr>
          <w:sz w:val="72"/>
          <w:szCs w:val="72"/>
        </w:rPr>
      </w:pPr>
    </w:p>
    <w:p w14:paraId="1F214B5D">
      <w:pPr>
        <w:pStyle w:val="13"/>
        <w:jc w:val="center"/>
        <w:rPr>
          <w:sz w:val="72"/>
          <w:szCs w:val="72"/>
        </w:rPr>
      </w:pPr>
      <w:r>
        <w:rPr>
          <w:rFonts w:hint="eastAsia"/>
          <w:sz w:val="72"/>
          <w:szCs w:val="72"/>
        </w:rPr>
        <w:t>第四部分</w:t>
      </w:r>
    </w:p>
    <w:p w14:paraId="1E51BFA9">
      <w:pPr>
        <w:jc w:val="center"/>
        <w:rPr>
          <w:rFonts w:ascii="黑体" w:eastAsia="黑体" w:cs="黑体"/>
          <w:color w:val="000000"/>
          <w:kern w:val="0"/>
          <w:sz w:val="70"/>
          <w:szCs w:val="70"/>
        </w:rPr>
      </w:pPr>
    </w:p>
    <w:p w14:paraId="74032F00">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1ECF4AC">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4B3FB91">
      <w:pPr>
        <w:ind w:firstLine="640" w:firstLineChars="200"/>
        <w:jc w:val="left"/>
        <w:rPr>
          <w:rFonts w:ascii="宋体" w:hAnsi="宋体" w:cs="黑体"/>
          <w:color w:val="000000"/>
          <w:kern w:val="0"/>
          <w:sz w:val="32"/>
          <w:szCs w:val="32"/>
        </w:rPr>
      </w:pPr>
    </w:p>
    <w:p w14:paraId="24FD7890">
      <w:pPr>
        <w:widowControl/>
        <w:spacing w:line="560" w:lineRule="exact"/>
        <w:ind w:left="648" w:leftChars="309" w:right="1005" w:rightChars="479" w:firstLine="609" w:firstLineChars="0"/>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4785202">
      <w:pPr>
        <w:ind w:left="648" w:leftChars="309" w:right="1005" w:rightChars="479" w:firstLine="609" w:firstLineChars="0"/>
        <w:rPr>
          <w:rFonts w:hint="eastAsia" w:ascii="仿宋_GB2312" w:eastAsia="仿宋_GB2312"/>
          <w:sz w:val="30"/>
          <w:szCs w:val="30"/>
        </w:rPr>
      </w:pPr>
      <w:r>
        <w:rPr>
          <w:rFonts w:hint="eastAsia" w:ascii="楷体_GB2312" w:hAnsi="楷体_GB2312" w:eastAsia="楷体_GB2312" w:cs="楷体_GB2312"/>
          <w:b/>
          <w:bCs/>
          <w:sz w:val="32"/>
          <w:szCs w:val="32"/>
        </w:rPr>
        <w:t>2.“三公”经费：</w:t>
      </w:r>
      <w:r>
        <w:rPr>
          <w:rFonts w:hint="eastAsia"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19AC403">
      <w:pPr>
        <w:pStyle w:val="13"/>
        <w:jc w:val="center"/>
        <w:rPr>
          <w:sz w:val="72"/>
          <w:szCs w:val="72"/>
        </w:rPr>
      </w:pPr>
    </w:p>
    <w:p w14:paraId="2773BFB6">
      <w:pPr>
        <w:pStyle w:val="13"/>
        <w:jc w:val="center"/>
        <w:rPr>
          <w:sz w:val="72"/>
          <w:szCs w:val="72"/>
        </w:rPr>
      </w:pPr>
    </w:p>
    <w:p w14:paraId="5B9704F8">
      <w:pPr>
        <w:pStyle w:val="13"/>
        <w:jc w:val="center"/>
        <w:rPr>
          <w:sz w:val="72"/>
          <w:szCs w:val="72"/>
        </w:rPr>
      </w:pPr>
    </w:p>
    <w:p w14:paraId="66ECC02F">
      <w:pPr>
        <w:pStyle w:val="13"/>
        <w:jc w:val="center"/>
        <w:rPr>
          <w:sz w:val="72"/>
          <w:szCs w:val="72"/>
        </w:rPr>
      </w:pPr>
    </w:p>
    <w:p w14:paraId="5ADC6E84">
      <w:pPr>
        <w:pStyle w:val="13"/>
        <w:jc w:val="center"/>
        <w:rPr>
          <w:sz w:val="72"/>
          <w:szCs w:val="72"/>
        </w:rPr>
      </w:pPr>
    </w:p>
    <w:p w14:paraId="794231E8">
      <w:pPr>
        <w:pStyle w:val="13"/>
        <w:jc w:val="center"/>
        <w:rPr>
          <w:sz w:val="72"/>
          <w:szCs w:val="72"/>
        </w:rPr>
      </w:pPr>
    </w:p>
    <w:p w14:paraId="672A2FBC">
      <w:pPr>
        <w:pStyle w:val="13"/>
        <w:jc w:val="center"/>
        <w:rPr>
          <w:sz w:val="72"/>
          <w:szCs w:val="72"/>
        </w:rPr>
      </w:pPr>
    </w:p>
    <w:p w14:paraId="17D39829">
      <w:pPr>
        <w:pStyle w:val="13"/>
        <w:jc w:val="center"/>
        <w:rPr>
          <w:sz w:val="72"/>
          <w:szCs w:val="72"/>
        </w:rPr>
      </w:pPr>
    </w:p>
    <w:p w14:paraId="6C8D72B5">
      <w:pPr>
        <w:pStyle w:val="13"/>
        <w:jc w:val="center"/>
        <w:rPr>
          <w:sz w:val="72"/>
          <w:szCs w:val="72"/>
        </w:rPr>
      </w:pPr>
    </w:p>
    <w:p w14:paraId="4B77A2F1">
      <w:pPr>
        <w:pStyle w:val="13"/>
        <w:jc w:val="center"/>
        <w:rPr>
          <w:sz w:val="72"/>
          <w:szCs w:val="72"/>
        </w:rPr>
      </w:pPr>
    </w:p>
    <w:p w14:paraId="2AAF0D48">
      <w:pPr>
        <w:pStyle w:val="13"/>
        <w:jc w:val="center"/>
        <w:rPr>
          <w:sz w:val="72"/>
          <w:szCs w:val="72"/>
        </w:rPr>
      </w:pPr>
      <w:r>
        <w:rPr>
          <w:rFonts w:hint="eastAsia"/>
          <w:sz w:val="72"/>
          <w:szCs w:val="72"/>
        </w:rPr>
        <w:t>第五部分</w:t>
      </w:r>
    </w:p>
    <w:p w14:paraId="55142CF6">
      <w:pPr>
        <w:jc w:val="center"/>
        <w:rPr>
          <w:rFonts w:ascii="黑体" w:eastAsia="黑体" w:cs="黑体"/>
          <w:color w:val="000000"/>
          <w:kern w:val="0"/>
          <w:sz w:val="70"/>
          <w:szCs w:val="70"/>
        </w:rPr>
      </w:pPr>
    </w:p>
    <w:p w14:paraId="0B9973EC">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0F070B9F">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1AC3480">
      <w:pPr>
        <w:widowControl/>
        <w:shd w:val="clear" w:color="auto" w:fill="FFFFFF"/>
        <w:spacing w:line="600" w:lineRule="atLeast"/>
        <w:ind w:left="0" w:leftChars="0" w:firstLine="0" w:firstLineChars="0"/>
        <w:jc w:val="center"/>
        <w:rPr>
          <w:rFonts w:hint="eastAsia" w:ascii="黑体" w:hAnsi="黑体" w:eastAsia="黑体" w:cs="黑体"/>
          <w:b/>
          <w:spacing w:val="-2"/>
          <w:sz w:val="36"/>
          <w:szCs w:val="36"/>
          <w:lang w:eastAsia="zh-CN"/>
        </w:rPr>
      </w:pPr>
    </w:p>
    <w:p w14:paraId="308439B9">
      <w:pPr>
        <w:widowControl/>
        <w:shd w:val="clear" w:color="auto" w:fill="FFFFFF"/>
        <w:spacing w:line="600" w:lineRule="atLeast"/>
        <w:ind w:left="0" w:leftChars="0" w:firstLine="0" w:firstLineChars="0"/>
        <w:jc w:val="center"/>
        <w:rPr>
          <w:rFonts w:hint="eastAsia" w:eastAsia="仿宋_GB2312"/>
          <w:b/>
          <w:spacing w:val="-2"/>
          <w:sz w:val="36"/>
          <w:szCs w:val="36"/>
        </w:rPr>
      </w:pPr>
      <w:r>
        <w:rPr>
          <w:rFonts w:hint="eastAsia" w:ascii="黑体" w:hAnsi="黑体" w:eastAsia="黑体" w:cs="黑体"/>
          <w:b/>
          <w:spacing w:val="-2"/>
          <w:sz w:val="36"/>
          <w:szCs w:val="36"/>
          <w:lang w:eastAsia="zh-CN"/>
        </w:rPr>
        <w:t>怀化市财政局</w:t>
      </w:r>
      <w:r>
        <w:rPr>
          <w:rFonts w:hint="eastAsia" w:ascii="黑体" w:hAnsi="黑体" w:eastAsia="黑体" w:cs="黑体"/>
          <w:b/>
          <w:spacing w:val="-2"/>
          <w:sz w:val="36"/>
          <w:szCs w:val="36"/>
          <w:lang w:val="en-US" w:eastAsia="zh-CN"/>
        </w:rPr>
        <w:t>2023年</w:t>
      </w:r>
      <w:r>
        <w:rPr>
          <w:rFonts w:hint="eastAsia" w:ascii="黑体" w:hAnsi="黑体" w:eastAsia="黑体" w:cs="黑体"/>
          <w:b/>
          <w:spacing w:val="-2"/>
          <w:sz w:val="36"/>
          <w:szCs w:val="36"/>
        </w:rPr>
        <w:t>部门整体支出绩效</w:t>
      </w:r>
      <w:r>
        <w:rPr>
          <w:rFonts w:hint="eastAsia" w:ascii="黑体" w:hAnsi="黑体" w:eastAsia="黑体" w:cs="黑体"/>
          <w:b/>
          <w:spacing w:val="-2"/>
          <w:sz w:val="36"/>
          <w:szCs w:val="36"/>
          <w:lang w:eastAsia="zh-CN"/>
        </w:rPr>
        <w:t>自</w:t>
      </w:r>
      <w:r>
        <w:rPr>
          <w:rFonts w:hint="eastAsia" w:ascii="黑体" w:hAnsi="黑体" w:eastAsia="黑体" w:cs="黑体"/>
          <w:b/>
          <w:spacing w:val="-2"/>
          <w:sz w:val="36"/>
          <w:szCs w:val="36"/>
        </w:rPr>
        <w:t>评报告</w:t>
      </w:r>
    </w:p>
    <w:p w14:paraId="0150758C">
      <w:pPr>
        <w:pStyle w:val="10"/>
        <w:widowControl/>
        <w:spacing w:before="0" w:beforeAutospacing="0" w:after="0" w:afterAutospacing="0" w:line="375" w:lineRule="atLeast"/>
        <w:ind w:left="1440" w:right="0" w:hanging="720"/>
        <w:jc w:val="left"/>
        <w:rPr>
          <w:rFonts w:hint="eastAsia" w:ascii="黑体" w:hAnsi="黑体" w:eastAsia="黑体" w:cs="黑体"/>
          <w:sz w:val="32"/>
          <w:szCs w:val="32"/>
        </w:rPr>
      </w:pPr>
      <w:r>
        <w:rPr>
          <w:rFonts w:hint="eastAsia" w:ascii="黑体" w:hAnsi="黑体" w:eastAsia="黑体" w:cs="黑体"/>
          <w:color w:val="313131"/>
          <w:sz w:val="32"/>
          <w:szCs w:val="32"/>
        </w:rPr>
        <w:t>一、 部门概况</w:t>
      </w:r>
    </w:p>
    <w:p w14:paraId="5A1FF642">
      <w:pPr>
        <w:pStyle w:val="10"/>
        <w:widowControl/>
        <w:spacing w:before="0" w:beforeAutospacing="0" w:after="0" w:afterAutospacing="0" w:line="375" w:lineRule="atLeast"/>
        <w:ind w:left="0" w:right="0" w:firstLine="480"/>
        <w:jc w:val="left"/>
        <w:rPr>
          <w:rFonts w:hint="eastAsia" w:ascii="黑体" w:hAnsi="黑体" w:eastAsia="黑体" w:cs="黑体"/>
          <w:sz w:val="32"/>
          <w:szCs w:val="32"/>
        </w:rPr>
      </w:pPr>
      <w:r>
        <w:rPr>
          <w:rFonts w:hint="eastAsia" w:ascii="黑体" w:hAnsi="黑体" w:eastAsia="黑体" w:cs="黑体"/>
          <w:color w:val="313131"/>
          <w:sz w:val="32"/>
          <w:szCs w:val="32"/>
        </w:rPr>
        <w:t>（一）部门基本情况</w:t>
      </w:r>
    </w:p>
    <w:p w14:paraId="14014F35">
      <w:pPr>
        <w:pStyle w:val="10"/>
        <w:widowControl/>
        <w:spacing w:before="0" w:beforeAutospacing="0" w:after="0" w:afterAutospacing="0" w:line="375" w:lineRule="atLeast"/>
        <w:ind w:left="0" w:right="0" w:firstLine="640"/>
        <w:jc w:val="left"/>
        <w:rPr>
          <w:rFonts w:hint="eastAsia" w:ascii="仿宋" w:hAnsi="仿宋" w:eastAsia="仿宋" w:cs="仿宋"/>
          <w:sz w:val="32"/>
          <w:szCs w:val="32"/>
        </w:rPr>
      </w:pPr>
      <w:r>
        <w:rPr>
          <w:rFonts w:hint="eastAsia" w:ascii="仿宋" w:hAnsi="仿宋" w:eastAsia="仿宋" w:cs="仿宋"/>
          <w:b/>
          <w:color w:val="313131"/>
          <w:sz w:val="32"/>
          <w:szCs w:val="32"/>
        </w:rPr>
        <w:t>1、人员机构情况</w:t>
      </w:r>
    </w:p>
    <w:p w14:paraId="6DB5EB81">
      <w:pPr>
        <w:pStyle w:val="10"/>
        <w:widowControl/>
        <w:spacing w:before="0" w:beforeAutospacing="0" w:after="0" w:afterAutospacing="0" w:line="375" w:lineRule="atLeast"/>
        <w:ind w:left="0" w:right="0" w:firstLine="640"/>
        <w:jc w:val="both"/>
        <w:rPr>
          <w:rFonts w:hint="eastAsia" w:ascii="仿宋" w:hAnsi="仿宋" w:eastAsia="仿宋" w:cs="仿宋"/>
          <w:sz w:val="32"/>
          <w:szCs w:val="32"/>
          <w:highlight w:val="none"/>
        </w:rPr>
      </w:pPr>
      <w:r>
        <w:rPr>
          <w:rFonts w:hint="eastAsia" w:ascii="仿宋" w:hAnsi="仿宋" w:eastAsia="仿宋" w:cs="仿宋"/>
          <w:color w:val="313131"/>
          <w:sz w:val="32"/>
          <w:szCs w:val="32"/>
        </w:rPr>
        <w:t>怀化市财政局属依法设立的怀化市人民政府工作部门，属全额拨款的行政事业单位，行政级别正处级。下设2</w:t>
      </w:r>
      <w:r>
        <w:rPr>
          <w:rFonts w:hint="eastAsia" w:ascii="仿宋" w:hAnsi="仿宋" w:eastAsia="仿宋" w:cs="仿宋"/>
          <w:color w:val="313131"/>
          <w:sz w:val="32"/>
          <w:szCs w:val="32"/>
          <w:lang w:val="en-US" w:eastAsia="zh-CN"/>
        </w:rPr>
        <w:t>1</w:t>
      </w:r>
      <w:r>
        <w:rPr>
          <w:rFonts w:hint="eastAsia" w:ascii="仿宋" w:hAnsi="仿宋" w:eastAsia="仿宋" w:cs="仿宋"/>
          <w:color w:val="313131"/>
          <w:sz w:val="32"/>
          <w:szCs w:val="32"/>
        </w:rPr>
        <w:t>个内设机构、</w:t>
      </w:r>
      <w:r>
        <w:rPr>
          <w:rFonts w:hint="eastAsia" w:ascii="仿宋" w:hAnsi="仿宋" w:eastAsia="仿宋" w:cs="仿宋"/>
          <w:color w:val="313131"/>
          <w:sz w:val="32"/>
          <w:szCs w:val="32"/>
          <w:lang w:val="en-US" w:eastAsia="zh-CN"/>
        </w:rPr>
        <w:t>2</w:t>
      </w:r>
      <w:r>
        <w:rPr>
          <w:rFonts w:hint="eastAsia" w:ascii="仿宋" w:hAnsi="仿宋" w:eastAsia="仿宋" w:cs="仿宋"/>
          <w:color w:val="313131"/>
          <w:sz w:val="32"/>
          <w:szCs w:val="32"/>
        </w:rPr>
        <w:t>个副处级参公管理</w:t>
      </w:r>
      <w:r>
        <w:rPr>
          <w:rFonts w:hint="eastAsia" w:ascii="仿宋" w:hAnsi="仿宋" w:eastAsia="仿宋" w:cs="仿宋"/>
          <w:color w:val="313131"/>
          <w:sz w:val="32"/>
          <w:szCs w:val="32"/>
          <w:lang w:eastAsia="zh-CN"/>
        </w:rPr>
        <w:t>事业</w:t>
      </w:r>
      <w:r>
        <w:rPr>
          <w:rFonts w:hint="eastAsia" w:ascii="仿宋" w:hAnsi="仿宋" w:eastAsia="仿宋" w:cs="仿宋"/>
          <w:color w:val="313131"/>
          <w:sz w:val="32"/>
          <w:szCs w:val="32"/>
        </w:rPr>
        <w:t>单位</w:t>
      </w:r>
      <w:r>
        <w:rPr>
          <w:rFonts w:hint="eastAsia" w:ascii="仿宋" w:hAnsi="仿宋" w:eastAsia="仿宋" w:cs="仿宋"/>
          <w:color w:val="313131"/>
          <w:sz w:val="32"/>
          <w:szCs w:val="32"/>
          <w:lang w:eastAsia="zh-CN"/>
        </w:rPr>
        <w:t>、</w:t>
      </w:r>
      <w:r>
        <w:rPr>
          <w:rFonts w:hint="eastAsia" w:ascii="仿宋" w:hAnsi="仿宋" w:eastAsia="仿宋" w:cs="仿宋"/>
          <w:color w:val="313131"/>
          <w:sz w:val="32"/>
          <w:szCs w:val="32"/>
          <w:lang w:val="en-US" w:eastAsia="zh-CN"/>
        </w:rPr>
        <w:t>1个副处级公益一类事业单位</w:t>
      </w:r>
      <w:r>
        <w:rPr>
          <w:rFonts w:hint="eastAsia" w:ascii="仿宋" w:hAnsi="仿宋" w:eastAsia="仿宋" w:cs="仿宋"/>
          <w:color w:val="313131"/>
          <w:sz w:val="32"/>
          <w:szCs w:val="32"/>
        </w:rPr>
        <w:t>及</w:t>
      </w:r>
      <w:r>
        <w:rPr>
          <w:rFonts w:hint="eastAsia" w:ascii="仿宋" w:hAnsi="仿宋" w:eastAsia="仿宋" w:cs="仿宋"/>
          <w:color w:val="313131"/>
          <w:sz w:val="32"/>
          <w:szCs w:val="32"/>
          <w:lang w:val="en-US" w:eastAsia="zh-CN"/>
        </w:rPr>
        <w:t>5</w:t>
      </w:r>
      <w:r>
        <w:rPr>
          <w:rFonts w:hint="eastAsia" w:ascii="仿宋" w:hAnsi="仿宋" w:eastAsia="仿宋" w:cs="仿宋"/>
          <w:color w:val="313131"/>
          <w:sz w:val="32"/>
          <w:szCs w:val="32"/>
        </w:rPr>
        <w:t>个事业科室，现有在</w:t>
      </w:r>
      <w:r>
        <w:rPr>
          <w:rFonts w:hint="eastAsia" w:ascii="仿宋" w:hAnsi="仿宋" w:eastAsia="仿宋" w:cs="仿宋"/>
          <w:color w:val="313131"/>
          <w:sz w:val="32"/>
          <w:szCs w:val="32"/>
          <w:highlight w:val="none"/>
        </w:rPr>
        <w:t>职干部职工</w:t>
      </w:r>
      <w:r>
        <w:rPr>
          <w:rFonts w:hint="eastAsia" w:ascii="仿宋" w:hAnsi="仿宋" w:eastAsia="仿宋" w:cs="仿宋"/>
          <w:color w:val="313131"/>
          <w:sz w:val="32"/>
          <w:szCs w:val="32"/>
          <w:highlight w:val="none"/>
          <w:lang w:val="en-US" w:eastAsia="zh-CN"/>
        </w:rPr>
        <w:t>201</w:t>
      </w:r>
      <w:r>
        <w:rPr>
          <w:rFonts w:hint="eastAsia" w:ascii="仿宋" w:hAnsi="仿宋" w:eastAsia="仿宋" w:cs="仿宋"/>
          <w:color w:val="313131"/>
          <w:sz w:val="32"/>
          <w:szCs w:val="32"/>
          <w:highlight w:val="none"/>
        </w:rPr>
        <w:t>人</w:t>
      </w:r>
      <w:r>
        <w:rPr>
          <w:rFonts w:hint="eastAsia" w:ascii="仿宋" w:hAnsi="仿宋" w:eastAsia="仿宋" w:cs="仿宋"/>
          <w:color w:val="313131"/>
          <w:sz w:val="32"/>
          <w:szCs w:val="32"/>
          <w:highlight w:val="none"/>
          <w:lang w:val="en-US" w:eastAsia="zh-CN"/>
        </w:rPr>
        <w:t>,</w:t>
      </w:r>
      <w:r>
        <w:rPr>
          <w:rFonts w:hint="eastAsia" w:ascii="仿宋" w:hAnsi="仿宋" w:eastAsia="仿宋" w:cs="仿宋"/>
          <w:sz w:val="32"/>
          <w:szCs w:val="32"/>
          <w:highlight w:val="none"/>
        </w:rPr>
        <w:t>离休人员</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人</w:t>
      </w:r>
      <w:r>
        <w:rPr>
          <w:rFonts w:hint="eastAsia" w:ascii="仿宋" w:hAnsi="仿宋" w:eastAsia="仿宋" w:cs="仿宋"/>
          <w:color w:val="313131"/>
          <w:sz w:val="32"/>
          <w:szCs w:val="32"/>
          <w:highlight w:val="none"/>
        </w:rPr>
        <w:t>。</w:t>
      </w:r>
    </w:p>
    <w:p w14:paraId="11A9CD07">
      <w:pPr>
        <w:pStyle w:val="10"/>
        <w:widowControl/>
        <w:spacing w:before="0" w:beforeAutospacing="0" w:after="0" w:afterAutospacing="0" w:line="375" w:lineRule="atLeast"/>
        <w:ind w:left="0" w:right="0" w:firstLine="640"/>
        <w:jc w:val="both"/>
        <w:rPr>
          <w:rFonts w:hint="eastAsia" w:ascii="仿宋" w:hAnsi="仿宋" w:eastAsia="仿宋" w:cs="仿宋"/>
          <w:sz w:val="32"/>
          <w:szCs w:val="32"/>
        </w:rPr>
      </w:pPr>
      <w:r>
        <w:rPr>
          <w:rFonts w:hint="eastAsia" w:ascii="仿宋" w:hAnsi="仿宋" w:eastAsia="仿宋" w:cs="仿宋"/>
          <w:b/>
          <w:color w:val="313131"/>
          <w:sz w:val="32"/>
          <w:szCs w:val="32"/>
        </w:rPr>
        <w:t>2、主要职责</w:t>
      </w:r>
    </w:p>
    <w:p w14:paraId="2E2F9376">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14:paraId="14E22DB9">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（2）代政府起草财政、财务、会议管理的制度及办法。</w:t>
      </w:r>
    </w:p>
    <w:p w14:paraId="42F8283E">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14:paraId="4064D277">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（4）负责政府非税收入管理；负责政府性基金管理，按规定管理行政事业性收费；负责管理财政票据；负责制定彩票管理政策，管理彩票市场，按规定管理彩票资金。</w:t>
      </w:r>
    </w:p>
    <w:p w14:paraId="76E03F1A">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（5）组织制定国库管理制度、国库集中收付制度，指导和监督市本级国库业务，按规定开展国库现金管理工作。负责制定政府采购制度并监督管理。</w:t>
      </w:r>
    </w:p>
    <w:p w14:paraId="77A216EC">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（6）贯彻执行国家财税法律、法规和税收调整政策，反馈政策执行情况，提出调整建议；参与市管理权限内有关税收政策及税收政策调整方案的调查研究，提出对策建议。</w:t>
      </w:r>
    </w:p>
    <w:p w14:paraId="685FF419">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14:paraId="0A5B2A0E">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14:paraId="3579FE0A">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14:paraId="3B09D7CD">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（10）会同有关部门管理市级财政社会保障和就业及医疗卫生支出，组织实施社会保障资金(基金)的财务管理制度，编制市社会保障预决算草案。</w:t>
      </w:r>
    </w:p>
    <w:p w14:paraId="5B17FF08">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14:paraId="0B579998">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（12）负责管理全市的会计工作，监督和规范会计行为，组织实施国家统一的会计制度，组织实施全省会计行政法规规章，指导和监督注册会计师和会计师事务所的业务，指导和管理社会审计。</w:t>
      </w:r>
    </w:p>
    <w:p w14:paraId="7F1751BF">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（13）监督检查财税法规、政策的执行情况，反映财政收支管理中的重大问题，提出加强财政管理的政策和建议。</w:t>
      </w:r>
    </w:p>
    <w:p w14:paraId="622BC6D7">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（14）研究分析国家金融政策、宏观金融形势和全市金融运行情况，会同有关部门推进全市金融市场体系建设。</w:t>
      </w:r>
    </w:p>
    <w:p w14:paraId="27A26101">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 （15）负责联系省驻怀金融管理部门、各类金额融机构；组织开展政府与金融机构合作、金融机构和企业对接，引导、协调和鼓励金融机构加大对全市经济社会发展的支持力度。</w:t>
      </w:r>
    </w:p>
    <w:p w14:paraId="561C0164">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 （16）指导全市村镇银行、小额贷款公司、融资性担保机构等地方金融机构的改革、发展、监管和重组；会同有关部门推进全市社会信用体系建设和金融安全区创建，推进改善金融生态环境。</w:t>
      </w:r>
    </w:p>
    <w:p w14:paraId="493FBC0E">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7</w:t>
      </w:r>
      <w:r>
        <w:rPr>
          <w:rFonts w:hint="eastAsia" w:ascii="仿宋" w:hAnsi="仿宋" w:eastAsia="仿宋" w:cs="仿宋"/>
          <w:sz w:val="32"/>
          <w:szCs w:val="32"/>
        </w:rPr>
        <w:t>）指导、协调发行地方政府债券工作。</w:t>
      </w:r>
    </w:p>
    <w:p w14:paraId="11DD5EDB">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18</w:t>
      </w:r>
      <w:r>
        <w:rPr>
          <w:rFonts w:hint="eastAsia" w:ascii="仿宋" w:hAnsi="仿宋" w:eastAsia="仿宋" w:cs="仿宋"/>
          <w:sz w:val="32"/>
          <w:szCs w:val="32"/>
        </w:rPr>
        <w:t>）</w:t>
      </w:r>
      <w:r>
        <w:rPr>
          <w:rFonts w:hint="eastAsia" w:ascii="仿宋" w:hAnsi="仿宋" w:eastAsia="仿宋" w:cs="仿宋"/>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14:paraId="546C93D7">
      <w:pPr>
        <w:widowControl/>
        <w:spacing w:line="500" w:lineRule="auto"/>
        <w:ind w:firstLine="627" w:firstLineChars="196"/>
        <w:rPr>
          <w:rFonts w:hint="eastAsia" w:ascii="仿宋" w:hAnsi="仿宋" w:eastAsia="仿宋" w:cs="仿宋"/>
          <w:sz w:val="32"/>
          <w:szCs w:val="32"/>
        </w:rPr>
      </w:pPr>
      <w:r>
        <w:rPr>
          <w:rFonts w:hint="eastAsia" w:ascii="仿宋" w:hAnsi="仿宋" w:eastAsia="仿宋" w:cs="仿宋"/>
          <w:sz w:val="32"/>
          <w:szCs w:val="32"/>
          <w:lang w:val="en-US" w:eastAsia="zh-CN"/>
        </w:rPr>
        <w:t>（19）</w:t>
      </w:r>
      <w:r>
        <w:rPr>
          <w:rFonts w:hint="eastAsia" w:ascii="仿宋" w:hAnsi="仿宋" w:eastAsia="仿宋" w:cs="仿宋"/>
          <w:sz w:val="32"/>
          <w:szCs w:val="32"/>
        </w:rPr>
        <w:t>承办市委、市人民政府交办的其他事项。</w:t>
      </w:r>
    </w:p>
    <w:p w14:paraId="1DCF9453">
      <w:pPr>
        <w:pStyle w:val="10"/>
        <w:widowControl/>
        <w:spacing w:before="0" w:beforeAutospacing="0" w:after="0" w:afterAutospacing="0" w:line="375" w:lineRule="atLeast"/>
        <w:ind w:left="440" w:right="0" w:firstLine="160"/>
        <w:jc w:val="both"/>
        <w:rPr>
          <w:rFonts w:hint="eastAsia" w:ascii="仿宋" w:hAnsi="仿宋" w:eastAsia="仿宋" w:cs="仿宋"/>
          <w:sz w:val="32"/>
          <w:szCs w:val="32"/>
        </w:rPr>
      </w:pPr>
      <w:r>
        <w:rPr>
          <w:rFonts w:hint="eastAsia" w:ascii="仿宋" w:hAnsi="仿宋" w:eastAsia="仿宋" w:cs="仿宋"/>
          <w:color w:val="313131"/>
          <w:sz w:val="32"/>
          <w:szCs w:val="32"/>
        </w:rPr>
        <w:t>（二）部门整体支出规模、使用方向和主要内容</w:t>
      </w:r>
    </w:p>
    <w:p w14:paraId="7C3196E1">
      <w:pPr>
        <w:pStyle w:val="10"/>
        <w:widowControl/>
        <w:spacing w:before="0" w:beforeAutospacing="0" w:after="0" w:afterAutospacing="0" w:line="375" w:lineRule="atLeast"/>
        <w:ind w:left="0" w:right="0" w:firstLine="640"/>
        <w:jc w:val="both"/>
        <w:rPr>
          <w:rFonts w:hint="eastAsia" w:ascii="仿宋" w:hAnsi="仿宋" w:eastAsia="仿宋" w:cs="仿宋"/>
          <w:sz w:val="32"/>
          <w:szCs w:val="32"/>
          <w:lang w:eastAsia="zh-CN"/>
        </w:rPr>
      </w:pPr>
      <w:r>
        <w:rPr>
          <w:rFonts w:hint="eastAsia" w:ascii="仿宋" w:hAnsi="仿宋" w:eastAsia="仿宋" w:cs="仿宋"/>
          <w:color w:val="313131"/>
          <w:sz w:val="32"/>
          <w:szCs w:val="32"/>
          <w:lang w:val="en-US" w:eastAsia="zh-CN"/>
        </w:rPr>
        <w:t>2023</w:t>
      </w:r>
      <w:r>
        <w:rPr>
          <w:rFonts w:hint="eastAsia" w:ascii="仿宋" w:hAnsi="仿宋" w:eastAsia="仿宋" w:cs="仿宋"/>
          <w:color w:val="313131"/>
          <w:sz w:val="32"/>
          <w:szCs w:val="32"/>
        </w:rPr>
        <w:t>年怀化市财政局总支出为</w:t>
      </w:r>
      <w:r>
        <w:rPr>
          <w:rFonts w:hint="eastAsia" w:ascii="仿宋" w:hAnsi="仿宋" w:eastAsia="仿宋" w:cs="仿宋"/>
          <w:color w:val="313131"/>
          <w:sz w:val="32"/>
          <w:szCs w:val="32"/>
          <w:lang w:val="en-US" w:eastAsia="zh-CN"/>
        </w:rPr>
        <w:t>4671.25</w:t>
      </w:r>
      <w:r>
        <w:rPr>
          <w:rFonts w:hint="eastAsia" w:ascii="仿宋" w:hAnsi="仿宋" w:eastAsia="仿宋" w:cs="仿宋"/>
          <w:color w:val="313131"/>
          <w:sz w:val="32"/>
          <w:szCs w:val="32"/>
        </w:rPr>
        <w:t>万元，</w:t>
      </w:r>
      <w:r>
        <w:rPr>
          <w:rFonts w:hint="eastAsia" w:ascii="仿宋" w:hAnsi="仿宋" w:eastAsia="仿宋" w:cs="仿宋"/>
          <w:color w:val="313131"/>
          <w:sz w:val="32"/>
          <w:szCs w:val="32"/>
          <w:lang w:eastAsia="zh-CN"/>
        </w:rPr>
        <w:t>其中：</w:t>
      </w:r>
      <w:r>
        <w:rPr>
          <w:rFonts w:hint="eastAsia" w:ascii="仿宋" w:hAnsi="仿宋" w:eastAsia="仿宋" w:cs="仿宋"/>
          <w:color w:val="313131"/>
          <w:sz w:val="32"/>
          <w:szCs w:val="32"/>
        </w:rPr>
        <w:t>基本支出</w:t>
      </w:r>
      <w:r>
        <w:rPr>
          <w:rFonts w:hint="eastAsia" w:ascii="仿宋" w:hAnsi="仿宋" w:eastAsia="仿宋" w:cs="仿宋"/>
          <w:color w:val="313131"/>
          <w:sz w:val="32"/>
          <w:szCs w:val="32"/>
          <w:lang w:val="en-US" w:eastAsia="zh-CN"/>
        </w:rPr>
        <w:t>3326.41万元，项目支出1344.84万元</w:t>
      </w:r>
      <w:r>
        <w:rPr>
          <w:rFonts w:hint="eastAsia" w:ascii="仿宋" w:hAnsi="仿宋" w:eastAsia="仿宋" w:cs="仿宋"/>
          <w:color w:val="313131"/>
          <w:sz w:val="32"/>
          <w:szCs w:val="32"/>
        </w:rPr>
        <w:t>。基本支出核算的主要内容是为保障财政局机关正常运转、完成日常工作任务而发生的人员支出和公用支出，涉及范围为局机关在职及离退休人员。</w:t>
      </w:r>
      <w:r>
        <w:rPr>
          <w:rFonts w:hint="eastAsia" w:ascii="仿宋" w:hAnsi="仿宋" w:eastAsia="仿宋" w:cs="仿宋"/>
          <w:color w:val="313131"/>
          <w:sz w:val="32"/>
          <w:szCs w:val="32"/>
          <w:lang w:eastAsia="zh-CN"/>
        </w:rPr>
        <w:t>项目支出核算的主要内容是财政局完成特定的工作任务或事业发展目标，在基本的预算支出以外，财政预算专款安排的支出。</w:t>
      </w:r>
    </w:p>
    <w:p w14:paraId="0F94334C">
      <w:pPr>
        <w:pStyle w:val="10"/>
        <w:widowControl/>
        <w:spacing w:before="0" w:beforeAutospacing="0" w:after="0" w:afterAutospacing="0" w:line="375" w:lineRule="atLeast"/>
        <w:ind w:left="1440" w:right="0" w:hanging="720"/>
        <w:jc w:val="both"/>
        <w:rPr>
          <w:rFonts w:hint="eastAsia" w:ascii="黑体" w:hAnsi="黑体" w:eastAsia="黑体" w:cs="黑体"/>
          <w:sz w:val="32"/>
          <w:szCs w:val="32"/>
        </w:rPr>
      </w:pPr>
      <w:r>
        <w:rPr>
          <w:rFonts w:hint="eastAsia" w:ascii="黑体" w:hAnsi="黑体" w:eastAsia="黑体" w:cs="黑体"/>
          <w:color w:val="313131"/>
          <w:sz w:val="32"/>
          <w:szCs w:val="32"/>
        </w:rPr>
        <w:t>二、 部门整体支出管理及使用情况</w:t>
      </w:r>
    </w:p>
    <w:p w14:paraId="10BC8C62">
      <w:pPr>
        <w:pStyle w:val="10"/>
        <w:widowControl/>
        <w:wordWrap/>
        <w:adjustRightInd/>
        <w:snapToGrid/>
        <w:spacing w:before="0" w:beforeAutospacing="0" w:after="0" w:afterAutospacing="0" w:line="240" w:lineRule="auto"/>
        <w:ind w:left="0" w:right="0" w:firstLine="629"/>
        <w:jc w:val="left"/>
        <w:textAlignment w:val="auto"/>
        <w:outlineLvl w:val="9"/>
        <w:rPr>
          <w:rFonts w:hint="eastAsia" w:ascii="仿宋" w:hAnsi="仿宋" w:eastAsia="仿宋" w:cs="仿宋"/>
          <w:color w:val="313131"/>
          <w:sz w:val="32"/>
          <w:szCs w:val="32"/>
        </w:rPr>
      </w:pPr>
      <w:r>
        <w:rPr>
          <w:rFonts w:hint="eastAsia" w:ascii="仿宋" w:hAnsi="仿宋" w:eastAsia="仿宋" w:cs="仿宋"/>
          <w:b/>
          <w:spacing w:val="-2"/>
          <w:sz w:val="32"/>
          <w:szCs w:val="32"/>
        </w:rPr>
        <w:t>（一）基本支出</w:t>
      </w:r>
    </w:p>
    <w:p w14:paraId="635C5909">
      <w:pPr>
        <w:pStyle w:val="10"/>
        <w:widowControl/>
        <w:wordWrap/>
        <w:adjustRightInd/>
        <w:snapToGrid/>
        <w:spacing w:before="0" w:beforeAutospacing="0" w:after="0" w:afterAutospacing="0" w:line="240" w:lineRule="auto"/>
        <w:ind w:left="0" w:right="0" w:firstLine="629"/>
        <w:jc w:val="left"/>
        <w:textAlignment w:val="auto"/>
        <w:outlineLvl w:val="9"/>
        <w:rPr>
          <w:rFonts w:hint="eastAsia" w:ascii="仿宋" w:hAnsi="仿宋" w:eastAsia="仿宋" w:cs="仿宋"/>
          <w:color w:val="313131"/>
          <w:sz w:val="32"/>
          <w:szCs w:val="32"/>
          <w:lang w:eastAsia="zh-CN"/>
        </w:rPr>
      </w:pPr>
      <w:r>
        <w:rPr>
          <w:rFonts w:hint="eastAsia" w:ascii="仿宋" w:hAnsi="仿宋" w:eastAsia="仿宋" w:cs="仿宋"/>
          <w:color w:val="313131"/>
          <w:sz w:val="32"/>
          <w:szCs w:val="32"/>
        </w:rPr>
        <w:t>市财政局经费支出是为保障机关正常运转和完成日</w:t>
      </w:r>
      <w:r>
        <w:rPr>
          <w:rFonts w:hint="eastAsia" w:ascii="仿宋" w:hAnsi="仿宋" w:eastAsia="仿宋" w:cs="仿宋"/>
          <w:color w:val="313131"/>
          <w:sz w:val="32"/>
          <w:szCs w:val="32"/>
          <w:lang w:eastAsia="zh-CN"/>
        </w:rPr>
        <w:t>常工</w:t>
      </w:r>
      <w:r>
        <w:rPr>
          <w:rFonts w:hint="eastAsia" w:ascii="仿宋" w:hAnsi="仿宋" w:eastAsia="仿宋" w:cs="仿宋"/>
          <w:color w:val="313131"/>
          <w:sz w:val="32"/>
          <w:szCs w:val="32"/>
        </w:rPr>
        <w:t>作任务而产生的支出，包括基本工资、津贴补贴、退休费等人员经费以及办公费、印刷费、水电费、办公设备购置费、差旅费、公务用车运行等日常公用经费。</w:t>
      </w:r>
      <w:r>
        <w:rPr>
          <w:rFonts w:hint="eastAsia" w:ascii="仿宋" w:hAnsi="仿宋" w:eastAsia="仿宋" w:cs="仿宋"/>
          <w:color w:val="313131"/>
          <w:sz w:val="32"/>
          <w:szCs w:val="32"/>
          <w:lang w:val="en-US" w:eastAsia="zh-CN"/>
        </w:rPr>
        <w:t>2023</w:t>
      </w:r>
      <w:r>
        <w:rPr>
          <w:rFonts w:hint="eastAsia" w:ascii="仿宋" w:hAnsi="仿宋" w:eastAsia="仿宋" w:cs="仿宋"/>
          <w:color w:val="313131"/>
          <w:sz w:val="32"/>
          <w:szCs w:val="32"/>
        </w:rPr>
        <w:t>年市财政局基本支出为</w:t>
      </w:r>
      <w:r>
        <w:rPr>
          <w:rFonts w:hint="eastAsia" w:ascii="仿宋" w:hAnsi="仿宋" w:eastAsia="仿宋" w:cs="仿宋"/>
          <w:color w:val="313131"/>
          <w:sz w:val="32"/>
          <w:szCs w:val="32"/>
          <w:lang w:val="en-US" w:eastAsia="zh-CN"/>
        </w:rPr>
        <w:t>3326.41</w:t>
      </w:r>
      <w:r>
        <w:rPr>
          <w:rFonts w:hint="eastAsia" w:ascii="仿宋" w:hAnsi="仿宋" w:eastAsia="仿宋" w:cs="仿宋"/>
          <w:color w:val="313131"/>
          <w:sz w:val="32"/>
          <w:szCs w:val="32"/>
        </w:rPr>
        <w:t>万元，较上年同比</w:t>
      </w:r>
      <w:r>
        <w:rPr>
          <w:rFonts w:hint="eastAsia" w:ascii="仿宋" w:hAnsi="仿宋" w:eastAsia="仿宋" w:cs="仿宋"/>
          <w:color w:val="313131"/>
          <w:sz w:val="32"/>
          <w:szCs w:val="32"/>
          <w:lang w:val="en-US" w:eastAsia="zh-CN"/>
        </w:rPr>
        <w:t>下降9.36%</w:t>
      </w:r>
      <w:r>
        <w:rPr>
          <w:rFonts w:hint="eastAsia" w:ascii="仿宋" w:hAnsi="仿宋" w:eastAsia="仿宋" w:cs="仿宋"/>
          <w:color w:val="313131"/>
          <w:sz w:val="32"/>
          <w:szCs w:val="32"/>
        </w:rPr>
        <w:t>。其中：“三公经费”支出</w:t>
      </w:r>
      <w:r>
        <w:rPr>
          <w:rFonts w:hint="eastAsia" w:ascii="仿宋" w:hAnsi="仿宋" w:eastAsia="仿宋" w:cs="仿宋"/>
          <w:color w:val="313131"/>
          <w:sz w:val="32"/>
          <w:szCs w:val="32"/>
          <w:lang w:val="en-US" w:eastAsia="zh-CN"/>
        </w:rPr>
        <w:t>23.94</w:t>
      </w:r>
      <w:r>
        <w:rPr>
          <w:rFonts w:hint="eastAsia" w:ascii="仿宋" w:hAnsi="仿宋" w:eastAsia="仿宋" w:cs="仿宋"/>
          <w:color w:val="313131"/>
          <w:sz w:val="32"/>
          <w:szCs w:val="32"/>
        </w:rPr>
        <w:t>万元（公车运行维护费用</w:t>
      </w:r>
      <w:r>
        <w:rPr>
          <w:rFonts w:hint="eastAsia" w:ascii="仿宋" w:hAnsi="仿宋" w:eastAsia="仿宋" w:cs="仿宋"/>
          <w:color w:val="313131"/>
          <w:sz w:val="32"/>
          <w:szCs w:val="32"/>
          <w:lang w:val="en-US" w:eastAsia="zh-CN"/>
        </w:rPr>
        <w:t>20.77</w:t>
      </w:r>
      <w:r>
        <w:rPr>
          <w:rFonts w:hint="eastAsia" w:ascii="仿宋" w:hAnsi="仿宋" w:eastAsia="仿宋" w:cs="仿宋"/>
          <w:color w:val="313131"/>
          <w:sz w:val="32"/>
          <w:szCs w:val="32"/>
        </w:rPr>
        <w:t>万元，公务接待费</w:t>
      </w:r>
      <w:r>
        <w:rPr>
          <w:rFonts w:hint="eastAsia" w:ascii="仿宋" w:hAnsi="仿宋" w:eastAsia="仿宋" w:cs="仿宋"/>
          <w:color w:val="313131"/>
          <w:sz w:val="32"/>
          <w:szCs w:val="32"/>
          <w:lang w:val="en-US" w:eastAsia="zh-CN"/>
        </w:rPr>
        <w:t>3.17</w:t>
      </w:r>
      <w:r>
        <w:rPr>
          <w:rFonts w:hint="eastAsia" w:ascii="仿宋" w:hAnsi="仿宋" w:eastAsia="仿宋" w:cs="仿宋"/>
          <w:color w:val="313131"/>
          <w:sz w:val="32"/>
          <w:szCs w:val="32"/>
        </w:rPr>
        <w:t>万元），较上年同比</w:t>
      </w:r>
      <w:r>
        <w:rPr>
          <w:rFonts w:hint="eastAsia" w:ascii="仿宋" w:hAnsi="仿宋" w:eastAsia="仿宋" w:cs="仿宋"/>
          <w:color w:val="313131"/>
          <w:sz w:val="32"/>
          <w:szCs w:val="32"/>
          <w:lang w:eastAsia="zh-CN"/>
        </w:rPr>
        <w:t>增长</w:t>
      </w:r>
      <w:r>
        <w:rPr>
          <w:rFonts w:hint="eastAsia" w:ascii="仿宋" w:hAnsi="仿宋" w:eastAsia="仿宋" w:cs="仿宋"/>
          <w:color w:val="313131"/>
          <w:sz w:val="32"/>
          <w:szCs w:val="32"/>
          <w:lang w:val="en-US" w:eastAsia="zh-CN"/>
        </w:rPr>
        <w:t>7.5</w:t>
      </w:r>
      <w:r>
        <w:rPr>
          <w:rFonts w:hint="eastAsia" w:ascii="仿宋" w:hAnsi="仿宋" w:eastAsia="仿宋" w:cs="仿宋"/>
          <w:color w:val="313131"/>
          <w:sz w:val="32"/>
          <w:szCs w:val="32"/>
        </w:rPr>
        <w:t>%，完成预算指标数的</w:t>
      </w:r>
      <w:r>
        <w:rPr>
          <w:rFonts w:hint="eastAsia" w:ascii="仿宋" w:hAnsi="仿宋" w:eastAsia="仿宋" w:cs="仿宋"/>
          <w:color w:val="313131"/>
          <w:sz w:val="32"/>
          <w:szCs w:val="32"/>
          <w:lang w:val="en-US" w:eastAsia="zh-CN"/>
        </w:rPr>
        <w:t>66.5</w:t>
      </w:r>
      <w:r>
        <w:rPr>
          <w:rFonts w:hint="eastAsia" w:ascii="仿宋" w:hAnsi="仿宋" w:eastAsia="仿宋" w:cs="仿宋"/>
          <w:color w:val="313131"/>
          <w:sz w:val="32"/>
          <w:szCs w:val="32"/>
        </w:rPr>
        <w:t>%</w:t>
      </w:r>
      <w:r>
        <w:rPr>
          <w:rFonts w:hint="eastAsia" w:ascii="仿宋" w:hAnsi="仿宋" w:eastAsia="仿宋" w:cs="仿宋"/>
          <w:color w:val="313131"/>
          <w:sz w:val="32"/>
          <w:szCs w:val="32"/>
          <w:lang w:eastAsia="zh-CN"/>
        </w:rPr>
        <w:t>。</w:t>
      </w:r>
    </w:p>
    <w:p w14:paraId="7652F77D">
      <w:pPr>
        <w:pStyle w:val="10"/>
        <w:widowControl/>
        <w:wordWrap/>
        <w:adjustRightInd/>
        <w:snapToGrid/>
        <w:spacing w:before="0" w:beforeAutospacing="0" w:after="0" w:afterAutospacing="0" w:line="240" w:lineRule="auto"/>
        <w:ind w:left="0" w:right="0" w:firstLine="629"/>
        <w:jc w:val="both"/>
        <w:textAlignment w:val="auto"/>
        <w:outlineLvl w:val="9"/>
        <w:rPr>
          <w:rFonts w:hint="eastAsia" w:ascii="仿宋" w:hAnsi="仿宋" w:eastAsia="仿宋" w:cs="仿宋"/>
          <w:sz w:val="32"/>
          <w:szCs w:val="32"/>
        </w:rPr>
      </w:pPr>
      <w:r>
        <w:rPr>
          <w:rFonts w:hint="eastAsia" w:ascii="仿宋" w:hAnsi="仿宋" w:eastAsia="仿宋" w:cs="仿宋"/>
          <w:color w:val="313131"/>
          <w:sz w:val="32"/>
          <w:szCs w:val="32"/>
        </w:rPr>
        <w:t>  </w:t>
      </w:r>
      <w:r>
        <w:rPr>
          <w:rFonts w:hint="eastAsia" w:ascii="仿宋" w:hAnsi="仿宋" w:eastAsia="仿宋" w:cs="仿宋"/>
          <w:b/>
          <w:bCs/>
          <w:color w:val="313131"/>
          <w:sz w:val="32"/>
          <w:szCs w:val="32"/>
          <w:lang w:eastAsia="zh-CN"/>
        </w:rPr>
        <w:t>202</w:t>
      </w:r>
      <w:r>
        <w:rPr>
          <w:rFonts w:hint="eastAsia" w:ascii="仿宋" w:hAnsi="仿宋" w:eastAsia="仿宋" w:cs="仿宋"/>
          <w:b/>
          <w:bCs/>
          <w:color w:val="313131"/>
          <w:sz w:val="32"/>
          <w:szCs w:val="32"/>
          <w:lang w:val="en-US" w:eastAsia="zh-CN"/>
        </w:rPr>
        <w:t>3</w:t>
      </w:r>
      <w:r>
        <w:rPr>
          <w:rFonts w:hint="eastAsia" w:ascii="仿宋" w:hAnsi="仿宋" w:eastAsia="仿宋" w:cs="仿宋"/>
          <w:b/>
          <w:bCs/>
          <w:color w:val="313131"/>
          <w:sz w:val="32"/>
          <w:szCs w:val="32"/>
        </w:rPr>
        <w:t>年“三公”经费执行情况表（单位：万元）</w:t>
      </w:r>
    </w:p>
    <w:tbl>
      <w:tblPr>
        <w:tblStyle w:val="11"/>
        <w:tblW w:w="84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33"/>
        <w:gridCol w:w="1567"/>
        <w:gridCol w:w="1642"/>
        <w:gridCol w:w="1611"/>
        <w:gridCol w:w="1850"/>
      </w:tblGrid>
      <w:tr w14:paraId="674F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62B1DA5">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费用项目</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E801509">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2023</w:t>
            </w:r>
            <w:r>
              <w:rPr>
                <w:rFonts w:hint="eastAsia" w:ascii="仿宋" w:hAnsi="仿宋" w:eastAsia="仿宋" w:cs="仿宋"/>
                <w:sz w:val="32"/>
                <w:szCs w:val="32"/>
              </w:rPr>
              <w:t>年</w:t>
            </w:r>
          </w:p>
          <w:p w14:paraId="06D370C2">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实际数</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FAB851F">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2023</w:t>
            </w:r>
            <w:r>
              <w:rPr>
                <w:rFonts w:hint="eastAsia" w:ascii="仿宋" w:hAnsi="仿宋" w:eastAsia="仿宋" w:cs="仿宋"/>
                <w:sz w:val="32"/>
                <w:szCs w:val="32"/>
              </w:rPr>
              <w:t>年</w:t>
            </w:r>
          </w:p>
          <w:p w14:paraId="54273BBF">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控制数</w:t>
            </w:r>
          </w:p>
        </w:tc>
        <w:tc>
          <w:tcPr>
            <w:tcW w:w="1611"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744AE0B">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2022</w:t>
            </w:r>
            <w:r>
              <w:rPr>
                <w:rFonts w:hint="eastAsia" w:ascii="仿宋" w:hAnsi="仿宋" w:eastAsia="仿宋" w:cs="仿宋"/>
                <w:sz w:val="32"/>
                <w:szCs w:val="32"/>
              </w:rPr>
              <w:t>年</w:t>
            </w:r>
          </w:p>
          <w:p w14:paraId="7E98CBF7">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实际数</w:t>
            </w:r>
          </w:p>
        </w:tc>
        <w:tc>
          <w:tcPr>
            <w:tcW w:w="185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9D5896C">
            <w:pPr>
              <w:pStyle w:val="10"/>
              <w:widowControl/>
              <w:wordWrap/>
              <w:adjustRightInd/>
              <w:snapToGrid/>
              <w:spacing w:beforeAutospacing="0" w:afterAutospacing="0" w:line="28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增减</w:t>
            </w:r>
          </w:p>
          <w:p w14:paraId="79415A1E">
            <w:pPr>
              <w:pStyle w:val="10"/>
              <w:widowControl/>
              <w:wordWrap/>
              <w:adjustRightInd/>
              <w:snapToGrid/>
              <w:spacing w:beforeAutospacing="0" w:afterAutospacing="0" w:line="28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情况</w:t>
            </w:r>
          </w:p>
        </w:tc>
      </w:tr>
      <w:tr w14:paraId="2939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4A975ECB">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公车运行费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4F08592">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20.77</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0F9ED81C">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30.00</w:t>
            </w:r>
          </w:p>
        </w:tc>
        <w:tc>
          <w:tcPr>
            <w:tcW w:w="1611"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C1B4F73">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20.06</w:t>
            </w:r>
          </w:p>
        </w:tc>
        <w:tc>
          <w:tcPr>
            <w:tcW w:w="185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C6D3A36">
            <w:pPr>
              <w:pStyle w:val="10"/>
              <w:widowControl/>
              <w:wordWrap/>
              <w:adjustRightInd/>
              <w:snapToGrid/>
              <w:spacing w:beforeAutospacing="0" w:afterAutospacing="0" w:line="280" w:lineRule="exact"/>
              <w:ind w:firstLine="640" w:firstLineChars="200"/>
              <w:jc w:val="both"/>
              <w:textAlignment w:val="auto"/>
              <w:outlineLvl w:val="9"/>
              <w:rPr>
                <w:rFonts w:hint="eastAsia" w:ascii="仿宋" w:hAnsi="仿宋" w:eastAsia="仿宋" w:cs="仿宋"/>
                <w:sz w:val="32"/>
                <w:szCs w:val="32"/>
                <w:lang w:val="en-US"/>
              </w:rPr>
            </w:pPr>
            <w:r>
              <w:rPr>
                <w:rFonts w:hint="eastAsia" w:ascii="仿宋" w:hAnsi="仿宋" w:eastAsia="仿宋" w:cs="仿宋"/>
                <w:sz w:val="32"/>
                <w:szCs w:val="32"/>
                <w:lang w:val="en-US" w:eastAsia="zh-CN"/>
              </w:rPr>
              <w:t>3.54%</w:t>
            </w:r>
          </w:p>
        </w:tc>
      </w:tr>
      <w:tr w14:paraId="23B86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249E096">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公务接待费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6E12EF">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3.17</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4AF9D992">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6.00</w:t>
            </w:r>
          </w:p>
        </w:tc>
        <w:tc>
          <w:tcPr>
            <w:tcW w:w="1611"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03511DD">
            <w:pPr>
              <w:pStyle w:val="10"/>
              <w:widowControl/>
              <w:wordWrap/>
              <w:adjustRightInd/>
              <w:snapToGrid/>
              <w:spacing w:beforeAutospacing="0" w:afterAutospacing="0" w:line="280" w:lineRule="exact"/>
              <w:ind w:firstLine="320" w:firstLineChars="1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2.21</w:t>
            </w:r>
          </w:p>
        </w:tc>
        <w:tc>
          <w:tcPr>
            <w:tcW w:w="185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7AFD8DE">
            <w:pPr>
              <w:pStyle w:val="10"/>
              <w:widowControl/>
              <w:wordWrap/>
              <w:adjustRightInd/>
              <w:snapToGrid/>
              <w:spacing w:beforeAutospacing="0" w:afterAutospacing="0" w:line="28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43.44</w:t>
            </w:r>
            <w:r>
              <w:rPr>
                <w:rFonts w:hint="eastAsia" w:ascii="仿宋" w:hAnsi="仿宋" w:eastAsia="仿宋" w:cs="仿宋"/>
                <w:sz w:val="32"/>
                <w:szCs w:val="32"/>
              </w:rPr>
              <w:t>%</w:t>
            </w:r>
          </w:p>
        </w:tc>
      </w:tr>
      <w:tr w14:paraId="6D348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A856A8E">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出国费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64E8A93">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250891F">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611"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52FEEF2">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85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C963173">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r>
      <w:tr w14:paraId="2DE5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593663F">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公车购置费</w:t>
            </w:r>
          </w:p>
        </w:tc>
        <w:tc>
          <w:tcPr>
            <w:tcW w:w="1567"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172CA27">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642"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00EA8C0">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611"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5206568">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c>
          <w:tcPr>
            <w:tcW w:w="185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3317459">
            <w:pPr>
              <w:pStyle w:val="10"/>
              <w:widowControl/>
              <w:wordWrap/>
              <w:adjustRightInd/>
              <w:snapToGrid/>
              <w:spacing w:beforeAutospacing="0" w:afterAutospacing="0" w:line="280" w:lineRule="exact"/>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tc>
      </w:tr>
    </w:tbl>
    <w:p w14:paraId="58DAF4EF">
      <w:pPr>
        <w:pStyle w:val="10"/>
        <w:widowControl/>
        <w:spacing w:before="0" w:beforeAutospacing="0" w:after="0" w:afterAutospacing="0" w:line="375" w:lineRule="atLeast"/>
        <w:ind w:left="0" w:leftChars="0" w:right="0" w:firstLine="640" w:firstLineChars="200"/>
        <w:jc w:val="both"/>
        <w:rPr>
          <w:rFonts w:hint="eastAsia" w:ascii="仿宋" w:hAnsi="仿宋" w:eastAsia="仿宋" w:cs="仿宋"/>
          <w:sz w:val="32"/>
          <w:szCs w:val="32"/>
        </w:rPr>
      </w:pPr>
      <w:r>
        <w:rPr>
          <w:rFonts w:hint="eastAsia" w:ascii="仿宋" w:hAnsi="仿宋" w:eastAsia="仿宋" w:cs="仿宋"/>
          <w:color w:val="313131"/>
          <w:sz w:val="32"/>
          <w:szCs w:val="32"/>
        </w:rPr>
        <w:t>  在支出管理方面，</w:t>
      </w:r>
      <w:r>
        <w:rPr>
          <w:rFonts w:hint="eastAsia" w:ascii="仿宋" w:hAnsi="仿宋" w:eastAsia="仿宋" w:cs="仿宋"/>
          <w:b/>
          <w:color w:val="313131"/>
          <w:sz w:val="32"/>
          <w:szCs w:val="32"/>
        </w:rPr>
        <w:t>一是完善制度，规范管理。</w:t>
      </w:r>
      <w:r>
        <w:rPr>
          <w:rFonts w:hint="eastAsia" w:ascii="仿宋" w:hAnsi="仿宋" w:eastAsia="仿宋" w:cs="仿宋"/>
          <w:color w:val="313131"/>
          <w:sz w:val="32"/>
          <w:szCs w:val="32"/>
        </w:rPr>
        <w:t>坚决贯彻落实省委省政府关于党政机关厉行节约工作的有关精神，</w:t>
      </w:r>
      <w:r>
        <w:rPr>
          <w:rFonts w:hint="eastAsia" w:ascii="仿宋" w:hAnsi="仿宋" w:eastAsia="仿宋" w:cs="仿宋"/>
          <w:color w:val="313131"/>
          <w:sz w:val="32"/>
          <w:szCs w:val="32"/>
          <w:lang w:eastAsia="zh-CN"/>
        </w:rPr>
        <w:t>认真</w:t>
      </w:r>
      <w:r>
        <w:rPr>
          <w:rFonts w:hint="eastAsia" w:ascii="仿宋" w:hAnsi="仿宋" w:eastAsia="仿宋" w:cs="仿宋"/>
          <w:color w:val="313131"/>
          <w:sz w:val="32"/>
          <w:szCs w:val="32"/>
        </w:rPr>
        <w:t>执行中央“八项规定”、省委“九项规定”的要求，加强机关财务管理，严格控制单位行政运行支出；</w:t>
      </w:r>
      <w:r>
        <w:rPr>
          <w:rFonts w:hint="eastAsia" w:ascii="仿宋" w:hAnsi="仿宋" w:eastAsia="仿宋" w:cs="仿宋"/>
          <w:b/>
          <w:color w:val="313131"/>
          <w:sz w:val="32"/>
          <w:szCs w:val="32"/>
        </w:rPr>
        <w:t>二是严格执行预算，控制各项支出。</w:t>
      </w:r>
      <w:r>
        <w:rPr>
          <w:rFonts w:hint="eastAsia" w:ascii="仿宋" w:hAnsi="仿宋" w:eastAsia="仿宋" w:cs="仿宋"/>
          <w:color w:val="313131"/>
          <w:sz w:val="32"/>
          <w:szCs w:val="32"/>
        </w:rPr>
        <w:t>公务支出执行公务卡结算制度，做到全覆盖；出国费全年支出为0；车辆管理方面，所有公车实行定点维修、统一加油和统一报废制度，公车使用执行派车单制度，节假日公车统一停放在指定位置；公务接待执行公函</w:t>
      </w:r>
      <w:r>
        <w:rPr>
          <w:rFonts w:hint="eastAsia" w:ascii="仿宋" w:hAnsi="仿宋" w:eastAsia="仿宋" w:cs="仿宋"/>
          <w:color w:val="313131"/>
          <w:sz w:val="32"/>
          <w:szCs w:val="32"/>
          <w:lang w:eastAsia="zh-CN"/>
        </w:rPr>
        <w:t>、</w:t>
      </w:r>
      <w:r>
        <w:rPr>
          <w:rFonts w:hint="eastAsia" w:ascii="仿宋" w:hAnsi="仿宋" w:eastAsia="仿宋" w:cs="仿宋"/>
          <w:color w:val="313131"/>
          <w:sz w:val="32"/>
          <w:szCs w:val="32"/>
        </w:rPr>
        <w:t>菜单、接待清单和审批制度，严格控制接待指标、范围和次数，严禁大吃大喝、铺张浪费；机关大宗商品购置一律按政府采购规定实施，耗材及办公用品实行</w:t>
      </w:r>
      <w:r>
        <w:rPr>
          <w:rFonts w:hint="eastAsia" w:ascii="仿宋" w:hAnsi="仿宋" w:eastAsia="仿宋" w:cs="仿宋"/>
          <w:color w:val="313131"/>
          <w:sz w:val="32"/>
          <w:szCs w:val="32"/>
          <w:lang w:eastAsia="zh-CN"/>
        </w:rPr>
        <w:t>政彩云</w:t>
      </w:r>
      <w:r>
        <w:rPr>
          <w:rFonts w:hint="eastAsia" w:ascii="仿宋" w:hAnsi="仿宋" w:eastAsia="仿宋" w:cs="仿宋"/>
          <w:color w:val="313131"/>
          <w:sz w:val="32"/>
          <w:szCs w:val="32"/>
        </w:rPr>
        <w:t>采购；加强差旅费的管理，实行出差申报审批制度，控制出差人数和天数，严禁无明确公务目的的差旅活动。</w:t>
      </w:r>
    </w:p>
    <w:p w14:paraId="4A422C6F">
      <w:pPr>
        <w:widowControl/>
        <w:shd w:val="clear" w:color="auto" w:fill="FFFFFF"/>
        <w:spacing w:line="600" w:lineRule="atLeast"/>
        <w:ind w:firstLine="643"/>
        <w:rPr>
          <w:rFonts w:hint="eastAsia" w:ascii="仿宋" w:hAnsi="仿宋" w:eastAsia="仿宋" w:cs="仿宋"/>
          <w:b/>
          <w:spacing w:val="-2"/>
          <w:sz w:val="32"/>
          <w:szCs w:val="32"/>
        </w:rPr>
      </w:pPr>
      <w:r>
        <w:rPr>
          <w:rFonts w:hint="eastAsia" w:ascii="仿宋" w:hAnsi="仿宋" w:eastAsia="仿宋" w:cs="仿宋"/>
          <w:b/>
          <w:spacing w:val="-2"/>
          <w:sz w:val="32"/>
          <w:szCs w:val="32"/>
        </w:rPr>
        <w:t>（二）专项支出</w:t>
      </w:r>
    </w:p>
    <w:p w14:paraId="0408540C">
      <w:pPr>
        <w:widowControl/>
        <w:shd w:val="clear" w:color="auto" w:fill="FFFFFF"/>
        <w:spacing w:line="600" w:lineRule="atLeast"/>
        <w:ind w:firstLine="640"/>
        <w:rPr>
          <w:rFonts w:hint="eastAsia" w:ascii="仿宋" w:hAnsi="仿宋" w:eastAsia="仿宋" w:cs="仿宋"/>
          <w:spacing w:val="-2"/>
          <w:sz w:val="32"/>
          <w:szCs w:val="32"/>
          <w:lang w:val="en-US" w:eastAsia="zh-CN"/>
        </w:rPr>
      </w:pPr>
      <w:r>
        <w:rPr>
          <w:rFonts w:hint="eastAsia" w:ascii="仿宋" w:hAnsi="仿宋" w:eastAsia="仿宋" w:cs="仿宋"/>
          <w:color w:val="313131"/>
          <w:kern w:val="0"/>
          <w:sz w:val="32"/>
          <w:szCs w:val="32"/>
          <w:lang w:val="en-US" w:eastAsia="zh-CN" w:bidi="ar-SA"/>
        </w:rPr>
        <w:t>1、2023年项目支出预算共计1534.70万元，其中：专项业务（工作）经费498万元，政府投审分离专项经费415万元，非税票据专项经费70万元，收入征管经费540万元,注会和会计考试考务费11.70万元。</w:t>
      </w:r>
    </w:p>
    <w:p w14:paraId="2C509AF8">
      <w:pPr>
        <w:widowControl/>
        <w:shd w:val="clear" w:color="auto" w:fill="FFFFFF"/>
        <w:spacing w:line="600" w:lineRule="atLeast"/>
        <w:ind w:firstLine="640"/>
        <w:rPr>
          <w:rFonts w:hint="eastAsia" w:ascii="仿宋" w:hAnsi="仿宋" w:eastAsia="仿宋" w:cs="仿宋"/>
          <w:color w:val="FF6600"/>
          <w:kern w:val="0"/>
          <w:sz w:val="32"/>
          <w:szCs w:val="32"/>
          <w:lang w:val="en-US" w:eastAsia="zh-CN" w:bidi="ar-SA"/>
        </w:rPr>
      </w:pPr>
      <w:r>
        <w:rPr>
          <w:rFonts w:hint="eastAsia" w:ascii="仿宋" w:hAnsi="仿宋" w:eastAsia="仿宋" w:cs="仿宋"/>
          <w:spacing w:val="-2"/>
          <w:sz w:val="32"/>
          <w:szCs w:val="32"/>
        </w:rPr>
        <w:t>2、</w:t>
      </w:r>
      <w:r>
        <w:rPr>
          <w:rFonts w:hint="eastAsia" w:ascii="仿宋" w:hAnsi="仿宋" w:eastAsia="仿宋" w:cs="仿宋"/>
          <w:color w:val="313131"/>
          <w:kern w:val="0"/>
          <w:sz w:val="32"/>
          <w:szCs w:val="32"/>
          <w:lang w:val="en-US" w:eastAsia="zh-CN" w:bidi="ar-SA"/>
        </w:rPr>
        <w:t>2023年项目支出共计1344.84万元，其中：专项业务（工作）经费463.39万元；收入征管经费513.80万元；政府投审分离专项经费286.18万元，较上年增长10.27%；非税票据专项经费70万元，较上年下降41.33%；注会和会计考试考务费11.47万元，</w:t>
      </w:r>
      <w:r>
        <w:rPr>
          <w:rFonts w:hint="eastAsia" w:ascii="仿宋" w:hAnsi="仿宋" w:eastAsia="仿宋" w:cs="仿宋"/>
          <w:color w:val="auto"/>
          <w:kern w:val="0"/>
          <w:sz w:val="32"/>
          <w:szCs w:val="32"/>
          <w:lang w:val="en-US" w:eastAsia="zh-CN" w:bidi="ar-SA"/>
        </w:rPr>
        <w:t>为2023年新增项目支出。</w:t>
      </w:r>
    </w:p>
    <w:p w14:paraId="2B77AF61">
      <w:pPr>
        <w:widowControl/>
        <w:shd w:val="clear" w:color="auto" w:fill="FFFFFF"/>
        <w:spacing w:line="600" w:lineRule="atLeast"/>
        <w:ind w:firstLine="640"/>
        <w:rPr>
          <w:rFonts w:hint="eastAsia" w:ascii="仿宋" w:hAnsi="仿宋" w:eastAsia="仿宋" w:cs="仿宋"/>
          <w:spacing w:val="-2"/>
          <w:sz w:val="32"/>
          <w:szCs w:val="32"/>
        </w:rPr>
      </w:pPr>
      <w:r>
        <w:rPr>
          <w:rFonts w:hint="eastAsia" w:ascii="仿宋" w:hAnsi="仿宋" w:eastAsia="仿宋" w:cs="仿宋"/>
          <w:spacing w:val="-2"/>
          <w:sz w:val="32"/>
          <w:szCs w:val="32"/>
        </w:rPr>
        <w:t>3、</w:t>
      </w:r>
      <w:r>
        <w:rPr>
          <w:rFonts w:hint="eastAsia" w:ascii="仿宋" w:hAnsi="仿宋" w:eastAsia="仿宋" w:cs="仿宋"/>
          <w:color w:val="313131"/>
          <w:kern w:val="0"/>
          <w:sz w:val="32"/>
          <w:szCs w:val="32"/>
          <w:lang w:val="en-US" w:eastAsia="zh-CN" w:bidi="ar-SA"/>
        </w:rPr>
        <w:t>项目支出资金的使用按照《怀化市财政投资评审管理办公室评审聘用人员管理办法》的通知、《湖南省财政厅关于取消财政票据工本费的通知》等相关文件规定。严格执行机关财务制度，控制项目支出的使用范围。</w:t>
      </w:r>
    </w:p>
    <w:p w14:paraId="7C5774D2">
      <w:pPr>
        <w:pStyle w:val="10"/>
        <w:widowControl/>
        <w:spacing w:before="0" w:beforeAutospacing="0" w:after="0" w:afterAutospacing="0" w:line="375" w:lineRule="atLeast"/>
        <w:ind w:left="0" w:right="0" w:firstLine="640"/>
        <w:jc w:val="both"/>
        <w:rPr>
          <w:rFonts w:hint="eastAsia" w:ascii="黑体" w:hAnsi="黑体" w:eastAsia="黑体" w:cs="黑体"/>
          <w:b/>
          <w:bCs/>
          <w:sz w:val="32"/>
          <w:szCs w:val="32"/>
        </w:rPr>
      </w:pPr>
      <w:r>
        <w:rPr>
          <w:rFonts w:hint="eastAsia" w:ascii="黑体" w:hAnsi="黑体" w:eastAsia="黑体" w:cs="黑体"/>
          <w:b/>
          <w:bCs/>
          <w:color w:val="313131"/>
          <w:sz w:val="32"/>
          <w:szCs w:val="32"/>
        </w:rPr>
        <w:t>三、资产管理情况</w:t>
      </w:r>
    </w:p>
    <w:p w14:paraId="5A85873B">
      <w:pPr>
        <w:pStyle w:val="10"/>
        <w:widowControl/>
        <w:spacing w:before="0" w:beforeAutospacing="0" w:after="0" w:afterAutospacing="0" w:line="375" w:lineRule="atLeast"/>
        <w:ind w:left="0" w:right="0" w:firstLine="640"/>
        <w:jc w:val="both"/>
        <w:rPr>
          <w:rFonts w:hint="eastAsia" w:ascii="仿宋" w:hAnsi="仿宋" w:eastAsia="仿宋" w:cs="仿宋"/>
          <w:sz w:val="32"/>
          <w:szCs w:val="32"/>
        </w:rPr>
      </w:pPr>
      <w:r>
        <w:rPr>
          <w:rFonts w:hint="eastAsia" w:ascii="仿宋" w:hAnsi="仿宋" w:eastAsia="仿宋" w:cs="仿宋"/>
          <w:color w:val="313131"/>
          <w:sz w:val="32"/>
          <w:szCs w:val="32"/>
        </w:rPr>
        <w:t>制定了详细的资产管理办法，对资产采购、保管、处置都有详细的规定，做到资产统一采购、专人管理、定期盘点、集中处置，确保资产账账相符、账实相符。</w:t>
      </w:r>
    </w:p>
    <w:p w14:paraId="5F09EBA1">
      <w:pPr>
        <w:widowControl/>
        <w:shd w:val="clear" w:color="auto" w:fill="FFFFFF"/>
        <w:spacing w:line="600" w:lineRule="atLeast"/>
        <w:ind w:firstLine="640"/>
        <w:rPr>
          <w:rFonts w:hint="eastAsia" w:ascii="黑体" w:hAnsi="黑体" w:eastAsia="黑体" w:cs="黑体"/>
          <w:b/>
          <w:spacing w:val="-2"/>
          <w:sz w:val="32"/>
          <w:szCs w:val="32"/>
        </w:rPr>
      </w:pPr>
      <w:r>
        <w:rPr>
          <w:rFonts w:hint="eastAsia" w:ascii="黑体" w:hAnsi="黑体" w:eastAsia="黑体" w:cs="黑体"/>
          <w:b/>
          <w:spacing w:val="-2"/>
          <w:sz w:val="32"/>
          <w:szCs w:val="32"/>
          <w:lang w:eastAsia="zh-CN"/>
        </w:rPr>
        <w:t>四</w:t>
      </w:r>
      <w:r>
        <w:rPr>
          <w:rFonts w:hint="eastAsia" w:ascii="黑体" w:hAnsi="黑体" w:eastAsia="黑体" w:cs="黑体"/>
          <w:b/>
          <w:spacing w:val="-2"/>
          <w:sz w:val="32"/>
          <w:szCs w:val="32"/>
        </w:rPr>
        <w:t>、部门整体支出绩效情况</w:t>
      </w:r>
    </w:p>
    <w:p w14:paraId="0D32AAB7">
      <w:pPr>
        <w:pStyle w:val="10"/>
        <w:widowControl/>
        <w:spacing w:before="0" w:beforeAutospacing="0" w:after="0" w:afterAutospacing="0" w:line="375" w:lineRule="atLeast"/>
        <w:ind w:left="0" w:right="0" w:firstLine="640"/>
        <w:jc w:val="both"/>
        <w:rPr>
          <w:rFonts w:hint="eastAsia" w:ascii="仿宋" w:hAnsi="仿宋" w:eastAsia="仿宋" w:cs="仿宋"/>
          <w:color w:val="313131"/>
          <w:kern w:val="0"/>
          <w:sz w:val="32"/>
          <w:szCs w:val="32"/>
          <w:lang w:val="en-US" w:eastAsia="zh-CN" w:bidi="ar-SA"/>
        </w:rPr>
      </w:pPr>
      <w:r>
        <w:rPr>
          <w:rFonts w:hint="eastAsia" w:ascii="仿宋" w:hAnsi="仿宋" w:eastAsia="仿宋" w:cs="仿宋"/>
          <w:color w:val="313131"/>
          <w:kern w:val="0"/>
          <w:sz w:val="32"/>
          <w:szCs w:val="32"/>
          <w:lang w:val="en-US" w:eastAsia="zh-CN" w:bidi="ar-SA"/>
        </w:rPr>
        <w:t>（1）效率分析</w:t>
      </w:r>
    </w:p>
    <w:p w14:paraId="23C93E5A">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rPr>
      </w:pPr>
      <w:r>
        <w:rPr>
          <w:rFonts w:hint="eastAsia" w:ascii="仿宋" w:hAnsi="仿宋" w:eastAsia="仿宋" w:cs="仿宋"/>
          <w:color w:val="313131"/>
          <w:sz w:val="32"/>
          <w:szCs w:val="32"/>
          <w:lang w:val="en-US" w:eastAsia="zh-CN"/>
        </w:rPr>
        <w:t>圆满完成收入任务。2023年，</w:t>
      </w:r>
      <w:r>
        <w:rPr>
          <w:rFonts w:hint="eastAsia" w:ascii="仿宋" w:hAnsi="仿宋" w:eastAsia="仿宋" w:cs="仿宋"/>
          <w:color w:val="313131"/>
          <w:sz w:val="32"/>
          <w:szCs w:val="32"/>
        </w:rPr>
        <w:t>全市完成地方一般公共预算收入</w:t>
      </w:r>
      <w:r>
        <w:rPr>
          <w:rFonts w:hint="eastAsia" w:ascii="仿宋" w:hAnsi="仿宋" w:eastAsia="仿宋" w:cs="仿宋"/>
          <w:color w:val="313131"/>
          <w:sz w:val="32"/>
          <w:szCs w:val="32"/>
          <w:lang w:val="en-US" w:eastAsia="zh-CN"/>
        </w:rPr>
        <w:t>124.18</w:t>
      </w:r>
      <w:r>
        <w:rPr>
          <w:rFonts w:hint="eastAsia" w:ascii="仿宋" w:hAnsi="仿宋" w:eastAsia="仿宋" w:cs="仿宋"/>
          <w:color w:val="313131"/>
          <w:sz w:val="32"/>
          <w:szCs w:val="32"/>
        </w:rPr>
        <w:t>亿元，同比增长</w:t>
      </w:r>
      <w:r>
        <w:rPr>
          <w:rFonts w:hint="eastAsia" w:ascii="仿宋" w:hAnsi="仿宋" w:eastAsia="仿宋" w:cs="仿宋"/>
          <w:color w:val="313131"/>
          <w:sz w:val="32"/>
          <w:szCs w:val="32"/>
          <w:lang w:val="en-US" w:eastAsia="zh-CN"/>
        </w:rPr>
        <w:t>3.87</w:t>
      </w:r>
      <w:r>
        <w:rPr>
          <w:rFonts w:hint="eastAsia" w:ascii="仿宋" w:hAnsi="仿宋" w:eastAsia="仿宋" w:cs="仿宋"/>
          <w:color w:val="313131"/>
          <w:sz w:val="32"/>
          <w:szCs w:val="32"/>
        </w:rPr>
        <w:t>%，增幅</w:t>
      </w:r>
      <w:r>
        <w:rPr>
          <w:rFonts w:hint="eastAsia" w:ascii="仿宋" w:hAnsi="仿宋" w:eastAsia="仿宋" w:cs="仿宋"/>
          <w:color w:val="313131"/>
          <w:sz w:val="32"/>
          <w:szCs w:val="32"/>
          <w:lang w:eastAsia="zh-CN"/>
        </w:rPr>
        <w:t>居</w:t>
      </w:r>
      <w:r>
        <w:rPr>
          <w:rFonts w:hint="eastAsia" w:ascii="仿宋" w:hAnsi="仿宋" w:eastAsia="仿宋" w:cs="仿宋"/>
          <w:color w:val="313131"/>
          <w:sz w:val="32"/>
          <w:szCs w:val="32"/>
        </w:rPr>
        <w:t>全省第6位；完成地方税收</w:t>
      </w:r>
      <w:r>
        <w:rPr>
          <w:rFonts w:hint="eastAsia" w:ascii="仿宋" w:hAnsi="仿宋" w:eastAsia="仿宋" w:cs="仿宋"/>
          <w:color w:val="313131"/>
          <w:sz w:val="32"/>
          <w:szCs w:val="32"/>
          <w:lang w:val="en-US" w:eastAsia="zh-CN"/>
        </w:rPr>
        <w:t>87.00</w:t>
      </w:r>
      <w:r>
        <w:rPr>
          <w:rFonts w:hint="eastAsia" w:ascii="仿宋" w:hAnsi="仿宋" w:eastAsia="仿宋" w:cs="仿宋"/>
          <w:color w:val="313131"/>
          <w:sz w:val="32"/>
          <w:szCs w:val="32"/>
        </w:rPr>
        <w:t>亿元，同比增长</w:t>
      </w:r>
      <w:r>
        <w:rPr>
          <w:rFonts w:hint="eastAsia" w:ascii="仿宋" w:hAnsi="仿宋" w:eastAsia="仿宋" w:cs="仿宋"/>
          <w:color w:val="313131"/>
          <w:sz w:val="32"/>
          <w:szCs w:val="32"/>
          <w:lang w:val="en-US" w:eastAsia="zh-CN"/>
        </w:rPr>
        <w:t>3.9</w:t>
      </w:r>
      <w:r>
        <w:rPr>
          <w:rFonts w:hint="eastAsia" w:ascii="仿宋" w:hAnsi="仿宋" w:eastAsia="仿宋" w:cs="仿宋"/>
          <w:color w:val="313131"/>
          <w:sz w:val="32"/>
          <w:szCs w:val="32"/>
        </w:rPr>
        <w:t>%，增幅</w:t>
      </w:r>
      <w:r>
        <w:rPr>
          <w:rFonts w:hint="eastAsia" w:ascii="仿宋" w:hAnsi="仿宋" w:eastAsia="仿宋" w:cs="仿宋"/>
          <w:color w:val="313131"/>
          <w:sz w:val="32"/>
          <w:szCs w:val="32"/>
          <w:lang w:eastAsia="zh-CN"/>
        </w:rPr>
        <w:t>居</w:t>
      </w:r>
      <w:r>
        <w:rPr>
          <w:rFonts w:hint="eastAsia" w:ascii="仿宋" w:hAnsi="仿宋" w:eastAsia="仿宋" w:cs="仿宋"/>
          <w:color w:val="313131"/>
          <w:sz w:val="32"/>
          <w:szCs w:val="32"/>
        </w:rPr>
        <w:t>全省第</w:t>
      </w:r>
      <w:r>
        <w:rPr>
          <w:rFonts w:hint="eastAsia" w:ascii="仿宋" w:hAnsi="仿宋" w:eastAsia="仿宋" w:cs="仿宋"/>
          <w:color w:val="313131"/>
          <w:sz w:val="32"/>
          <w:szCs w:val="32"/>
          <w:lang w:val="en-US" w:eastAsia="zh-CN"/>
        </w:rPr>
        <w:t>3</w:t>
      </w:r>
      <w:r>
        <w:rPr>
          <w:rFonts w:hint="eastAsia" w:ascii="仿宋" w:hAnsi="仿宋" w:eastAsia="仿宋" w:cs="仿宋"/>
          <w:color w:val="313131"/>
          <w:sz w:val="32"/>
          <w:szCs w:val="32"/>
        </w:rPr>
        <w:t>位；非税占比</w:t>
      </w:r>
      <w:r>
        <w:rPr>
          <w:rFonts w:hint="eastAsia" w:ascii="仿宋" w:hAnsi="仿宋" w:eastAsia="仿宋" w:cs="仿宋"/>
          <w:color w:val="313131"/>
          <w:sz w:val="32"/>
          <w:szCs w:val="32"/>
          <w:lang w:val="en-US" w:eastAsia="zh-CN"/>
        </w:rPr>
        <w:t>29.94</w:t>
      </w:r>
      <w:r>
        <w:rPr>
          <w:rFonts w:hint="eastAsia" w:ascii="仿宋" w:hAnsi="仿宋" w:eastAsia="仿宋" w:cs="仿宋"/>
          <w:color w:val="313131"/>
          <w:sz w:val="32"/>
          <w:szCs w:val="32"/>
        </w:rPr>
        <w:t>%，居全省第</w:t>
      </w:r>
      <w:r>
        <w:rPr>
          <w:rFonts w:hint="eastAsia" w:ascii="仿宋" w:hAnsi="仿宋" w:eastAsia="仿宋" w:cs="仿宋"/>
          <w:color w:val="313131"/>
          <w:sz w:val="32"/>
          <w:szCs w:val="32"/>
          <w:lang w:val="en-US" w:eastAsia="zh-CN"/>
        </w:rPr>
        <w:t>2</w:t>
      </w:r>
      <w:r>
        <w:rPr>
          <w:rFonts w:hint="eastAsia" w:ascii="仿宋" w:hAnsi="仿宋" w:eastAsia="仿宋" w:cs="仿宋"/>
          <w:color w:val="313131"/>
          <w:sz w:val="32"/>
          <w:szCs w:val="32"/>
          <w:lang w:eastAsia="zh-CN"/>
        </w:rPr>
        <w:t>位</w:t>
      </w:r>
      <w:r>
        <w:rPr>
          <w:rFonts w:hint="eastAsia" w:ascii="仿宋" w:hAnsi="仿宋" w:eastAsia="仿宋" w:cs="仿宋"/>
          <w:color w:val="313131"/>
          <w:sz w:val="32"/>
          <w:szCs w:val="32"/>
        </w:rPr>
        <w:t>。完成一般公共预算支出</w:t>
      </w:r>
      <w:r>
        <w:rPr>
          <w:rFonts w:hint="eastAsia" w:ascii="仿宋" w:hAnsi="仿宋" w:eastAsia="仿宋" w:cs="仿宋"/>
          <w:color w:val="313131"/>
          <w:sz w:val="32"/>
          <w:szCs w:val="32"/>
          <w:lang w:val="en-US" w:eastAsia="zh-CN"/>
        </w:rPr>
        <w:t>568.06</w:t>
      </w:r>
      <w:r>
        <w:rPr>
          <w:rFonts w:hint="eastAsia" w:ascii="仿宋" w:hAnsi="仿宋" w:eastAsia="仿宋" w:cs="仿宋"/>
          <w:color w:val="313131"/>
          <w:sz w:val="32"/>
          <w:szCs w:val="32"/>
        </w:rPr>
        <w:t>亿元，同比增长</w:t>
      </w:r>
      <w:r>
        <w:rPr>
          <w:rFonts w:hint="eastAsia" w:ascii="仿宋" w:hAnsi="仿宋" w:eastAsia="仿宋" w:cs="仿宋"/>
          <w:color w:val="313131"/>
          <w:sz w:val="32"/>
          <w:szCs w:val="32"/>
          <w:lang w:val="en-US" w:eastAsia="zh-CN"/>
        </w:rPr>
        <w:t>11.62</w:t>
      </w:r>
      <w:r>
        <w:rPr>
          <w:rFonts w:hint="eastAsia" w:ascii="仿宋" w:hAnsi="仿宋" w:eastAsia="仿宋" w:cs="仿宋"/>
          <w:color w:val="313131"/>
          <w:sz w:val="32"/>
          <w:szCs w:val="32"/>
        </w:rPr>
        <w:t>%。</w:t>
      </w:r>
      <w:r>
        <w:rPr>
          <w:rFonts w:hint="eastAsia" w:ascii="仿宋" w:hAnsi="仿宋" w:eastAsia="仿宋" w:cs="仿宋"/>
          <w:color w:val="313131"/>
          <w:sz w:val="32"/>
          <w:szCs w:val="32"/>
          <w:lang w:val="en-US" w:eastAsia="zh-CN"/>
        </w:rPr>
        <w:t>我局获评全省民族团结进步示范单位、全省清查处置盘活国有“三资”工作先进单位、全省资环财政财务管理工作先进单位、全省行政事业性国有资产报告工作先进单位、全省社保基金预算绩效管理工作一等奖，“清廉怀化建设”考核优秀单位、全市安全生产先进单位、推进乡村振兴战略先进单位，初评通过“清廉机关”考核验收，有望成为全市第一批挂牌单位，连续8年保持“全国文明单位”荣誉称号。</w:t>
      </w:r>
    </w:p>
    <w:p w14:paraId="74909AB1">
      <w:pPr>
        <w:pStyle w:val="10"/>
        <w:widowControl/>
        <w:spacing w:before="0" w:beforeAutospacing="0" w:after="0" w:afterAutospacing="0" w:line="375" w:lineRule="atLeast"/>
        <w:ind w:right="0" w:firstLine="320" w:firstLineChars="100"/>
        <w:jc w:val="both"/>
        <w:rPr>
          <w:rFonts w:hint="eastAsia" w:ascii="仿宋" w:hAnsi="仿宋" w:eastAsia="仿宋" w:cs="仿宋"/>
          <w:color w:val="313131"/>
          <w:sz w:val="32"/>
          <w:szCs w:val="32"/>
          <w:lang w:val="en-US" w:eastAsia="zh-CN"/>
        </w:rPr>
      </w:pPr>
      <w:r>
        <w:rPr>
          <w:rFonts w:hint="eastAsia" w:ascii="仿宋" w:hAnsi="仿宋" w:eastAsia="仿宋" w:cs="仿宋"/>
          <w:color w:val="313131"/>
          <w:sz w:val="32"/>
          <w:szCs w:val="32"/>
          <w:lang w:val="en-US" w:eastAsia="zh-CN"/>
        </w:rPr>
        <w:t>（2）经济效益分析</w:t>
      </w:r>
    </w:p>
    <w:p w14:paraId="70337E38">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color w:val="313131"/>
          <w:sz w:val="32"/>
          <w:szCs w:val="32"/>
          <w:lang w:val="en-US" w:eastAsia="zh-CN"/>
        </w:rPr>
        <w:t> 支出总额控制在预算总额以内，“三公”经费总体控制较好，未超过预算控制数。</w:t>
      </w:r>
    </w:p>
    <w:p w14:paraId="1B97657A">
      <w:pPr>
        <w:pStyle w:val="10"/>
        <w:widowControl/>
        <w:numPr>
          <w:ilvl w:val="0"/>
          <w:numId w:val="4"/>
        </w:numPr>
        <w:spacing w:before="0" w:beforeAutospacing="0" w:after="0" w:afterAutospacing="0" w:line="375" w:lineRule="atLeast"/>
        <w:ind w:left="0" w:leftChars="0" w:right="0" w:firstLine="419" w:firstLineChars="131"/>
        <w:jc w:val="both"/>
        <w:rPr>
          <w:rFonts w:hint="eastAsia" w:ascii="仿宋" w:hAnsi="仿宋" w:eastAsia="仿宋" w:cs="仿宋"/>
          <w:color w:val="313131"/>
          <w:kern w:val="0"/>
          <w:sz w:val="32"/>
          <w:szCs w:val="32"/>
          <w:lang w:val="en-US" w:eastAsia="zh-CN" w:bidi="ar-SA"/>
        </w:rPr>
      </w:pPr>
      <w:r>
        <w:rPr>
          <w:rFonts w:hint="eastAsia" w:ascii="仿宋" w:hAnsi="仿宋" w:eastAsia="仿宋" w:cs="仿宋"/>
          <w:color w:val="313131"/>
          <w:kern w:val="0"/>
          <w:sz w:val="32"/>
          <w:szCs w:val="32"/>
          <w:lang w:val="en-US" w:eastAsia="zh-CN" w:bidi="ar-SA"/>
        </w:rPr>
        <w:t>社会效益分析</w:t>
      </w:r>
    </w:p>
    <w:p w14:paraId="4345B451">
      <w:pPr>
        <w:pStyle w:val="10"/>
        <w:widowControl/>
        <w:spacing w:before="0" w:beforeAutospacing="0" w:after="0" w:afterAutospacing="0" w:line="375" w:lineRule="atLeast"/>
        <w:ind w:right="0" w:firstLine="320" w:firstLineChars="100"/>
        <w:jc w:val="both"/>
        <w:rPr>
          <w:rFonts w:hint="eastAsia" w:ascii="仿宋" w:hAnsi="仿宋" w:eastAsia="仿宋" w:cs="仿宋"/>
          <w:color w:val="313131"/>
          <w:sz w:val="32"/>
          <w:szCs w:val="32"/>
          <w:lang w:val="en-US" w:eastAsia="zh-CN"/>
        </w:rPr>
      </w:pPr>
      <w:r>
        <w:rPr>
          <w:rFonts w:hint="eastAsia" w:ascii="仿宋" w:hAnsi="仿宋" w:eastAsia="仿宋" w:cs="仿宋"/>
          <w:color w:val="313131"/>
          <w:sz w:val="32"/>
          <w:szCs w:val="32"/>
          <w:lang w:val="en-US" w:eastAsia="zh-CN"/>
        </w:rPr>
        <w:t>按照中央、省委省政府和市委决策部署，认真执行预算法及其实施条例，各项工作稳步推进。</w:t>
      </w:r>
    </w:p>
    <w:p w14:paraId="0FD609FC">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spacing w:val="0"/>
          <w:w w:val="100"/>
          <w:kern w:val="2"/>
          <w:sz w:val="32"/>
          <w:szCs w:val="32"/>
          <w:shd w:val="clear" w:color="auto" w:fill="auto"/>
          <w:lang w:val="en-US" w:eastAsia="zh-CN" w:bidi="ar-SA"/>
        </w:rPr>
        <w:t>1.打好减税降费、财源培植“组合拳”。</w:t>
      </w:r>
      <w:r>
        <w:rPr>
          <w:rFonts w:hint="eastAsia" w:ascii="仿宋" w:hAnsi="仿宋" w:eastAsia="仿宋" w:cs="仿宋"/>
          <w:color w:val="313131"/>
          <w:sz w:val="32"/>
          <w:szCs w:val="32"/>
          <w:lang w:val="en-US" w:eastAsia="zh-CN"/>
        </w:rPr>
        <w:t>不折不扣配合落实退税减税政策红利，全市新增减税降费及退税缓税缓费12.38亿元。积极开展财源建设提质三年行动，持续实施财源建设“八大攻坚”，纵深推进财源建设工程，全方位推进税费精诚共治，加力推进产业财源培植与税费管理提效，促进行业提升带动财税高质量发展，拓宽财政增收渠道。</w:t>
      </w:r>
    </w:p>
    <w:p w14:paraId="5C5D52E4">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spacing w:val="0"/>
          <w:w w:val="100"/>
          <w:kern w:val="2"/>
          <w:sz w:val="32"/>
          <w:szCs w:val="32"/>
          <w:shd w:val="clear" w:color="auto" w:fill="auto"/>
          <w:lang w:val="en-US" w:eastAsia="zh-CN" w:bidi="ar-SA"/>
        </w:rPr>
        <w:t>2.全力支持产业高质量发展。</w:t>
      </w:r>
      <w:r>
        <w:rPr>
          <w:rFonts w:hint="eastAsia" w:ascii="仿宋" w:hAnsi="仿宋" w:eastAsia="仿宋" w:cs="仿宋"/>
          <w:color w:val="313131"/>
          <w:sz w:val="32"/>
          <w:szCs w:val="32"/>
          <w:lang w:val="en-US" w:eastAsia="zh-CN"/>
        </w:rPr>
        <w:t>统筹财力3.45亿元，全力支持“5+N”现代化产业新体系、“14+2”产业链及特色产业建设。配合落实每年至少3亿元（连续五年）省级资金支持怀化国际陆港建设，兑现稳岗位、提技能、保就业16条相关财税政策，全力以赴帮助市场主体纾困解难。积极争取省级产业发展支持资金5428.99万元、</w:t>
      </w:r>
      <w:r>
        <w:rPr>
          <w:rFonts w:hint="eastAsia" w:ascii="仿宋" w:hAnsi="仿宋" w:eastAsia="仿宋" w:cs="仿宋"/>
          <w:color w:val="313131"/>
          <w:sz w:val="32"/>
          <w:szCs w:val="32"/>
          <w:lang w:eastAsia="zh-CN"/>
        </w:rPr>
        <w:t>先进制造业高地专项资金</w:t>
      </w:r>
      <w:r>
        <w:rPr>
          <w:rFonts w:hint="eastAsia" w:ascii="仿宋" w:hAnsi="仿宋" w:eastAsia="仿宋" w:cs="仿宋"/>
          <w:color w:val="313131"/>
          <w:sz w:val="32"/>
          <w:szCs w:val="32"/>
          <w:lang w:val="en-US" w:eastAsia="zh-CN"/>
        </w:rPr>
        <w:t>3905</w:t>
      </w:r>
      <w:r>
        <w:rPr>
          <w:rFonts w:hint="eastAsia" w:ascii="仿宋" w:hAnsi="仿宋" w:eastAsia="仿宋" w:cs="仿宋"/>
          <w:color w:val="313131"/>
          <w:sz w:val="32"/>
          <w:szCs w:val="32"/>
          <w:lang w:eastAsia="zh-CN"/>
        </w:rPr>
        <w:t>万元。</w:t>
      </w:r>
      <w:r>
        <w:rPr>
          <w:rFonts w:hint="eastAsia" w:ascii="仿宋" w:hAnsi="仿宋" w:eastAsia="仿宋" w:cs="仿宋"/>
          <w:color w:val="313131"/>
          <w:sz w:val="32"/>
          <w:szCs w:val="32"/>
          <w:lang w:val="en-US" w:eastAsia="zh-CN"/>
        </w:rPr>
        <w:t>兑现“园区进位奖”、“全市园区综合评价奖励”、“园区专业化建设奖”和省级新型工业化产业示范基地、先进制造产业集群奖励资金1200万元，兑现92家新入规企业奖补资金230万元。</w:t>
      </w:r>
    </w:p>
    <w:p w14:paraId="5289CDCD">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spacing w:val="0"/>
          <w:w w:val="100"/>
          <w:kern w:val="2"/>
          <w:sz w:val="32"/>
          <w:szCs w:val="32"/>
          <w:shd w:val="clear" w:color="auto" w:fill="auto"/>
          <w:lang w:val="en-US" w:eastAsia="zh-CN" w:bidi="ar-SA"/>
        </w:rPr>
        <w:t>3.扎实开展税源提升“十大行动”。</w:t>
      </w:r>
      <w:r>
        <w:rPr>
          <w:rFonts w:hint="eastAsia" w:ascii="仿宋" w:hAnsi="仿宋" w:eastAsia="仿宋" w:cs="仿宋"/>
          <w:color w:val="313131"/>
          <w:sz w:val="32"/>
          <w:szCs w:val="32"/>
          <w:lang w:val="en-US" w:eastAsia="zh-CN"/>
        </w:rPr>
        <w:t>相继出台《2023年财源建设工作要点》《2023年落实税源提升“十大行动” 支持打好发展“六仗”工作方案》《怀化市税费精诚共治2023年工作要点》，明确财源建设总方向，以行业税源提升促进税源结构调整，强化部门协作、社会协同、公众协助、信息协力，持续提高税费征管水平，十大重点行业税收明显增长。</w:t>
      </w:r>
    </w:p>
    <w:p w14:paraId="7C5DEB07">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w w:val="100"/>
          <w:kern w:val="2"/>
          <w:sz w:val="32"/>
          <w:szCs w:val="32"/>
          <w:shd w:val="clear" w:color="auto" w:fill="auto"/>
          <w:lang w:val="en-US" w:eastAsia="zh-CN" w:bidi="ar-SA"/>
        </w:rPr>
        <w:t>4.</w:t>
      </w:r>
      <w:r>
        <w:rPr>
          <w:rFonts w:hint="eastAsia" w:ascii="仿宋" w:hAnsi="仿宋" w:eastAsia="仿宋" w:cs="仿宋"/>
          <w:b/>
          <w:bCs/>
          <w:color w:val="auto"/>
          <w:w w:val="100"/>
          <w:kern w:val="2"/>
          <w:sz w:val="32"/>
          <w:szCs w:val="32"/>
          <w:shd w:val="clear" w:color="auto" w:fill="FFFFFF"/>
          <w:lang w:val="en-US" w:eastAsia="zh-CN" w:bidi="ar-SA"/>
        </w:rPr>
        <w:t>全力保障重点支出。</w:t>
      </w:r>
      <w:r>
        <w:rPr>
          <w:rFonts w:hint="eastAsia" w:ascii="仿宋" w:hAnsi="仿宋" w:eastAsia="仿宋" w:cs="仿宋"/>
          <w:color w:val="313131"/>
          <w:sz w:val="32"/>
          <w:szCs w:val="32"/>
          <w:lang w:val="en-US" w:eastAsia="zh-CN"/>
        </w:rPr>
        <w:t>集中财力支持推进鹤中一体化、一迎三创和环境污染防治等，全力保障市委、市政府实施一批民生重点项目及重大基础设施项目建设。安排科技与产业引导资金3.45亿元，落实省打造国家重要先进制造业高地、企业科技创新若干财政支持政策，全力支持重点产业发展。全力支持防汛等防灾减灾工作，安排救灾减灾及应急能力提升资金近8000万元。全力支持乡村振兴，安排乡村振兴及巩固脱贫资金1.1亿元，市级派驻工作队帮扶村144个按20万元/村的标准安排到位，探索“乡村振兴共享贷”金融服务向乡村下沉。坚持民生支出绝对优先的保障顺序，不折不扣落实省政府各项民生提标政策，兜牢兜实民生底线。残疾人“两项补贴”标准从75元提高到80元；全市农村低保标准从4600元/年提高到5052元/年，城市低保标准从600元/月提高到650元/月；城乡居民养老保险最低保障标准从118元/月提高到128元/月，累计发放城乡低保对象低保金4.4亿元。</w:t>
      </w:r>
    </w:p>
    <w:p w14:paraId="36CC4230">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color w:val="auto"/>
          <w:w w:val="100"/>
          <w:kern w:val="2"/>
          <w:sz w:val="32"/>
          <w:szCs w:val="32"/>
          <w:shd w:val="clear" w:color="auto" w:fill="FFFFFF"/>
          <w:lang w:val="en-US" w:eastAsia="zh-CN" w:bidi="ar-SA"/>
        </w:rPr>
        <w:t>5.财政支出持续增长。</w:t>
      </w:r>
      <w:r>
        <w:rPr>
          <w:rFonts w:hint="eastAsia" w:ascii="仿宋" w:hAnsi="仿宋" w:eastAsia="仿宋" w:cs="仿宋"/>
          <w:color w:val="313131"/>
          <w:sz w:val="32"/>
          <w:szCs w:val="32"/>
          <w:lang w:val="en-US" w:eastAsia="zh-CN"/>
        </w:rPr>
        <w:t>全市一般公共预算支出568.06亿元，同比增长11.62%。民生支出447.41亿元，同比增长12.22%，占一般公共预算支出比重80.01%，其中：教育支出98.81亿元，同比增长5.93%；社会保障和就业支出82.66亿元，同比增长17.64%；卫生健康支出66.98亿元，同比增长19.48%。农林水支出88.89亿元，同比增长3.06%。全市库款保障水平处于合理区间，财政资金保障水平进一步提升。市县两级财政均能按时、足额发放工资，“三保”应保尽保。</w:t>
      </w:r>
    </w:p>
    <w:p w14:paraId="5D1D6FAB">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kern w:val="2"/>
          <w:sz w:val="32"/>
          <w:szCs w:val="32"/>
          <w:lang w:val="en-US" w:eastAsia="zh-CN" w:bidi="ar-SA"/>
        </w:rPr>
        <w:t>6</w:t>
      </w:r>
      <w:r>
        <w:rPr>
          <w:rFonts w:hint="eastAsia" w:ascii="仿宋" w:hAnsi="仿宋" w:eastAsia="仿宋" w:cs="仿宋"/>
          <w:b/>
          <w:bCs/>
          <w:color w:val="auto"/>
          <w:kern w:val="2"/>
          <w:sz w:val="32"/>
          <w:szCs w:val="32"/>
          <w:highlight w:val="none"/>
          <w:lang w:val="en-US" w:eastAsia="zh-CN" w:bidi="ar-SA"/>
        </w:rPr>
        <w:t>.扎实开展重点绩效评价。</w:t>
      </w:r>
      <w:r>
        <w:rPr>
          <w:rFonts w:hint="eastAsia" w:ascii="仿宋" w:hAnsi="仿宋" w:eastAsia="仿宋" w:cs="仿宋"/>
          <w:color w:val="313131"/>
          <w:sz w:val="32"/>
          <w:szCs w:val="32"/>
          <w:lang w:val="en-US" w:eastAsia="zh-CN"/>
        </w:rPr>
        <w:t>根据“选择党委和政府高度重视、公众普遍关注的重大政策和项目进行重点绩效评价”的标准，选择对土地指标收储成本、提质扩容建设一期工程政府专项债券、2021年湖南西部区域肿瘤防治中心建设、就业资金、怀化师专迁建二期建设、普通国省干线大中修工程市级配套资金、2020-2022年驻点及产业招商专项等7个项目及宏宇中学整体支出进行重点绩效评价，提出整改意见，实现信息共享。</w:t>
      </w:r>
    </w:p>
    <w:p w14:paraId="25BEEA02">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kern w:val="2"/>
          <w:sz w:val="32"/>
          <w:szCs w:val="32"/>
          <w:lang w:val="en-US" w:eastAsia="zh-CN" w:bidi="ar-SA"/>
        </w:rPr>
        <w:t>7、“三资”盘活成效明显。</w:t>
      </w:r>
      <w:r>
        <w:rPr>
          <w:rFonts w:hint="eastAsia" w:ascii="仿宋" w:hAnsi="仿宋" w:eastAsia="仿宋" w:cs="仿宋"/>
          <w:color w:val="313131"/>
          <w:sz w:val="32"/>
          <w:szCs w:val="32"/>
          <w:lang w:val="en-US" w:eastAsia="zh-CN"/>
        </w:rPr>
        <w:t>截至12月底，全市共清理矿产资源5.53亿吨；林业资源28.52万亩；县市级取水许可量1059.44亿立方米；河道疏浚采砂量7891.83万吨；已纳入和拟纳入盘活存量资产清理水库474座；大、中型灌区28个；城乡集中供水工程507个；石煤资源储量83.6亿吨；行政事业单位土地4.5万亩，房屋131.21万平方米；国有企业土地2667.4亩，房屋34.91万平方米；园区土地4124.8亩，房屋60.92万平方米；特许经营权包装项目51项；闲置、低效资金3.31亿元。</w:t>
      </w:r>
    </w:p>
    <w:p w14:paraId="6C0F9752">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color w:val="313131"/>
          <w:sz w:val="32"/>
          <w:szCs w:val="32"/>
          <w:lang w:val="en-US" w:eastAsia="zh-CN"/>
        </w:rPr>
        <w:t>全市共盘活国有“三资”收益 301.47 亿元。其中市本级清理存量资产价值173.99亿元，盘活国有“三资”处置收益71.67亿元。</w:t>
      </w:r>
    </w:p>
    <w:p w14:paraId="0806D7C2">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b/>
          <w:bCs/>
          <w:kern w:val="2"/>
          <w:sz w:val="32"/>
          <w:szCs w:val="32"/>
          <w:lang w:val="en-US" w:eastAsia="zh-CN" w:bidi="ar-SA"/>
        </w:rPr>
        <w:t>8、风险防控坚如磐石。</w:t>
      </w:r>
      <w:r>
        <w:rPr>
          <w:rFonts w:hint="eastAsia" w:ascii="仿宋" w:hAnsi="仿宋" w:eastAsia="仿宋" w:cs="仿宋"/>
          <w:color w:val="313131"/>
          <w:sz w:val="32"/>
          <w:szCs w:val="32"/>
          <w:lang w:val="en-US" w:eastAsia="zh-CN"/>
        </w:rPr>
        <w:t>截至12月底，完成转化92.58亿元，刚兑产品减少15.50亿元，占比从35.77%降低到25.93%，减少9.84个百分点，债务结构进一步优化；三类债务短转长7.35亿元、高转低69.73亿元，平均利率从6.39%降低到4.94%，降低1.45个百分点，年节约利息1.01亿元。</w:t>
      </w:r>
    </w:p>
    <w:p w14:paraId="7CA663DE">
      <w:pPr>
        <w:pStyle w:val="10"/>
        <w:widowControl/>
        <w:numPr>
          <w:ilvl w:val="0"/>
          <w:numId w:val="0"/>
        </w:numPr>
        <w:spacing w:before="0" w:beforeAutospacing="0" w:after="0" w:afterAutospacing="0" w:line="375" w:lineRule="atLeast"/>
        <w:ind w:right="0" w:firstLine="640" w:firstLineChars="200"/>
        <w:jc w:val="both"/>
        <w:rPr>
          <w:rFonts w:hint="eastAsia" w:ascii="黑体" w:hAnsi="黑体" w:eastAsia="黑体" w:cs="黑体"/>
          <w:color w:val="313131"/>
          <w:sz w:val="32"/>
          <w:szCs w:val="32"/>
        </w:rPr>
      </w:pPr>
      <w:r>
        <w:rPr>
          <w:rFonts w:hint="eastAsia" w:ascii="黑体" w:hAnsi="黑体" w:eastAsia="黑体" w:cs="黑体"/>
          <w:color w:val="313131"/>
          <w:sz w:val="32"/>
          <w:szCs w:val="32"/>
          <w:lang w:val="en-US" w:eastAsia="zh-CN"/>
        </w:rPr>
        <w:t xml:space="preserve">五、 </w:t>
      </w:r>
      <w:r>
        <w:rPr>
          <w:rFonts w:hint="eastAsia" w:ascii="黑体" w:hAnsi="黑体" w:eastAsia="黑体" w:cs="黑体"/>
          <w:color w:val="313131"/>
          <w:sz w:val="32"/>
          <w:szCs w:val="32"/>
        </w:rPr>
        <w:t>存在的主要问题</w:t>
      </w:r>
    </w:p>
    <w:p w14:paraId="05CDCD95">
      <w:pPr>
        <w:pStyle w:val="10"/>
        <w:widowControl/>
        <w:spacing w:before="0" w:beforeAutospacing="0" w:after="0" w:afterAutospacing="0" w:line="375" w:lineRule="atLeast"/>
        <w:ind w:left="0" w:right="0" w:firstLine="640"/>
        <w:jc w:val="both"/>
        <w:rPr>
          <w:rFonts w:hint="eastAsia" w:ascii="仿宋" w:hAnsi="仿宋" w:eastAsia="仿宋" w:cs="仿宋"/>
          <w:color w:val="313131"/>
          <w:sz w:val="32"/>
          <w:szCs w:val="32"/>
          <w:lang w:val="en-US" w:eastAsia="zh-CN"/>
        </w:rPr>
      </w:pPr>
      <w:r>
        <w:rPr>
          <w:rFonts w:hint="eastAsia" w:ascii="仿宋" w:hAnsi="仿宋" w:eastAsia="仿宋" w:cs="仿宋"/>
          <w:color w:val="313131"/>
          <w:sz w:val="32"/>
          <w:szCs w:val="32"/>
          <w:lang w:val="en-US" w:eastAsia="zh-CN"/>
        </w:rPr>
        <w:t>基本支出预算安排与实际支出存在一定差异。除基本工资、津补贴、社保、绩效工资等以外的人员经费支出，预算安排精细化、规范化程度不够，造成了预算数与执行数的偏差。项目支出个别科目执行与预算存在差异，项目支出预算编制与部门年度工作计划不同步。部门预算编报时间一般在九月左右，而部门下年度工作计划一般在年末，时间上不同步。财务人员无法预先准确掌握下年度各部门工作计划及经费需求，加之预算编制时间紧、任务重，所以只能根据上年的决算数据及下年度预计经费需求测算编制，导致全年预算编制不够全面。</w:t>
      </w:r>
    </w:p>
    <w:p w14:paraId="649FA693">
      <w:pPr>
        <w:pStyle w:val="10"/>
        <w:widowControl/>
        <w:spacing w:before="0" w:beforeAutospacing="0" w:after="0" w:afterAutospacing="0" w:line="375" w:lineRule="atLeast"/>
        <w:ind w:left="0" w:right="0" w:firstLine="641"/>
        <w:jc w:val="both"/>
        <w:rPr>
          <w:rFonts w:hint="eastAsia" w:ascii="仿宋" w:hAnsi="仿宋" w:eastAsia="仿宋" w:cs="仿宋"/>
          <w:sz w:val="32"/>
          <w:szCs w:val="32"/>
        </w:rPr>
      </w:pPr>
      <w:r>
        <w:rPr>
          <w:rFonts w:hint="eastAsia" w:ascii="仿宋" w:hAnsi="仿宋" w:eastAsia="仿宋" w:cs="仿宋"/>
          <w:color w:val="313131"/>
          <w:sz w:val="32"/>
          <w:szCs w:val="32"/>
        </w:rPr>
        <w:t>六、改进措施和建议</w:t>
      </w:r>
    </w:p>
    <w:p w14:paraId="14840490">
      <w:pPr>
        <w:pStyle w:val="10"/>
        <w:widowControl/>
        <w:spacing w:before="0" w:beforeAutospacing="0" w:after="0" w:afterAutospacing="0" w:line="375" w:lineRule="atLeast"/>
        <w:ind w:left="0" w:right="0" w:firstLine="641"/>
        <w:jc w:val="both"/>
        <w:rPr>
          <w:rFonts w:hint="eastAsia" w:ascii="仿宋" w:hAnsi="仿宋" w:eastAsia="仿宋" w:cs="仿宋"/>
          <w:sz w:val="32"/>
          <w:szCs w:val="32"/>
        </w:rPr>
      </w:pPr>
      <w:r>
        <w:rPr>
          <w:rFonts w:hint="eastAsia" w:ascii="仿宋" w:hAnsi="仿宋" w:eastAsia="仿宋" w:cs="仿宋"/>
          <w:b/>
          <w:color w:val="313131"/>
          <w:sz w:val="32"/>
          <w:szCs w:val="32"/>
        </w:rPr>
        <w:t>1、细化预算编制工作，做好预算编制。</w:t>
      </w:r>
      <w:r>
        <w:rPr>
          <w:rFonts w:hint="eastAsia" w:ascii="仿宋" w:hAnsi="仿宋" w:eastAsia="仿宋" w:cs="仿宋"/>
          <w:color w:val="313131"/>
          <w:sz w:val="32"/>
          <w:szCs w:val="32"/>
        </w:rPr>
        <w:t>进一步加强局内部机构各科室的预算管理意识，严格按照预算编制的相关制度和要求进行预算编制。</w:t>
      </w:r>
    </w:p>
    <w:p w14:paraId="1D5170BA">
      <w:pPr>
        <w:pStyle w:val="10"/>
        <w:widowControl/>
        <w:spacing w:before="0" w:beforeAutospacing="0" w:after="0" w:afterAutospacing="0" w:line="375" w:lineRule="atLeast"/>
        <w:ind w:left="0" w:right="0" w:firstLine="641"/>
        <w:jc w:val="both"/>
        <w:rPr>
          <w:rFonts w:hint="eastAsia" w:ascii="仿宋" w:hAnsi="仿宋" w:eastAsia="仿宋" w:cs="仿宋"/>
          <w:sz w:val="32"/>
          <w:szCs w:val="32"/>
        </w:rPr>
      </w:pPr>
      <w:r>
        <w:rPr>
          <w:rFonts w:hint="eastAsia" w:ascii="仿宋" w:hAnsi="仿宋" w:eastAsia="仿宋" w:cs="仿宋"/>
          <w:b/>
          <w:color w:val="313131"/>
          <w:sz w:val="32"/>
          <w:szCs w:val="32"/>
        </w:rPr>
        <w:t>2、加强财务管理，严格财务审核。</w:t>
      </w:r>
      <w:r>
        <w:rPr>
          <w:rFonts w:hint="eastAsia" w:ascii="仿宋" w:hAnsi="仿宋" w:eastAsia="仿宋" w:cs="仿宋"/>
          <w:color w:val="313131"/>
          <w:sz w:val="32"/>
          <w:szCs w:val="32"/>
        </w:rPr>
        <w:t>在费用报账支付时，按照预算规定的费用项目和用途进行资金使用审核。</w:t>
      </w:r>
    </w:p>
    <w:p w14:paraId="49C3CB16">
      <w:pPr>
        <w:widowControl/>
        <w:shd w:val="clear" w:color="auto" w:fill="FFFFFF"/>
        <w:spacing w:line="600" w:lineRule="atLeast"/>
        <w:ind w:firstLine="640"/>
        <w:jc w:val="both"/>
        <w:rPr>
          <w:rFonts w:hint="eastAsia" w:ascii="仿宋" w:hAnsi="仿宋" w:eastAsia="仿宋" w:cs="仿宋"/>
          <w:b/>
          <w:spacing w:val="-2"/>
          <w:sz w:val="32"/>
          <w:szCs w:val="32"/>
          <w:lang w:eastAsia="zh-CN"/>
        </w:rPr>
      </w:pPr>
      <w:r>
        <w:rPr>
          <w:rFonts w:hint="eastAsia" w:ascii="仿宋" w:hAnsi="仿宋" w:eastAsia="仿宋" w:cs="仿宋"/>
          <w:b/>
          <w:color w:val="313131"/>
          <w:sz w:val="32"/>
          <w:szCs w:val="32"/>
        </w:rPr>
        <w:t>3、继续抓好“三公”经费控制管理。</w:t>
      </w:r>
      <w:r>
        <w:rPr>
          <w:rFonts w:hint="eastAsia" w:ascii="仿宋" w:hAnsi="仿宋" w:eastAsia="仿宋" w:cs="仿宋"/>
          <w:color w:val="313131"/>
          <w:sz w:val="32"/>
          <w:szCs w:val="32"/>
        </w:rPr>
        <w:t>严格按制“三公”经费的规模和比例 ，</w:t>
      </w:r>
      <w:r>
        <w:rPr>
          <w:rFonts w:hint="eastAsia" w:ascii="仿宋" w:hAnsi="仿宋" w:eastAsia="仿宋" w:cs="仿宋"/>
          <w:color w:val="313131"/>
          <w:sz w:val="32"/>
          <w:szCs w:val="32"/>
          <w:lang w:eastAsia="zh-CN"/>
        </w:rPr>
        <w:t>进一步细化“三公”经费的管理，</w:t>
      </w:r>
      <w:r>
        <w:rPr>
          <w:rFonts w:hint="eastAsia" w:ascii="仿宋" w:hAnsi="仿宋" w:eastAsia="仿宋" w:cs="仿宋"/>
          <w:color w:val="313131"/>
          <w:sz w:val="32"/>
          <w:szCs w:val="32"/>
        </w:rPr>
        <w:t>把</w:t>
      </w:r>
      <w:r>
        <w:rPr>
          <w:rFonts w:hint="eastAsia" w:ascii="仿宋" w:hAnsi="仿宋" w:eastAsia="仿宋" w:cs="仿宋"/>
          <w:color w:val="313131"/>
          <w:sz w:val="32"/>
          <w:szCs w:val="32"/>
          <w:lang w:eastAsia="zh-CN"/>
        </w:rPr>
        <w:t>好</w:t>
      </w:r>
      <w:r>
        <w:rPr>
          <w:rFonts w:hint="eastAsia" w:ascii="仿宋" w:hAnsi="仿宋" w:eastAsia="仿宋" w:cs="仿宋"/>
          <w:color w:val="313131"/>
          <w:sz w:val="32"/>
          <w:szCs w:val="32"/>
        </w:rPr>
        <w:t>“三公经费支出的审核、审批</w:t>
      </w:r>
      <w:r>
        <w:rPr>
          <w:rFonts w:hint="eastAsia" w:ascii="仿宋" w:hAnsi="仿宋" w:eastAsia="仿宋" w:cs="仿宋"/>
          <w:color w:val="313131"/>
          <w:sz w:val="32"/>
          <w:szCs w:val="32"/>
          <w:lang w:eastAsia="zh-CN"/>
        </w:rPr>
        <w:t>关。</w:t>
      </w:r>
    </w:p>
    <w:p w14:paraId="382D7C8A">
      <w:pPr>
        <w:rPr>
          <w:rFonts w:hint="eastAsia" w:ascii="仿宋" w:hAnsi="仿宋" w:eastAsia="仿宋" w:cs="仿宋"/>
          <w:sz w:val="32"/>
          <w:szCs w:val="32"/>
        </w:rPr>
      </w:pPr>
    </w:p>
    <w:p w14:paraId="37515D5C">
      <w:pPr>
        <w:ind w:firstLine="640" w:firstLineChars="200"/>
        <w:jc w:val="left"/>
        <w:rPr>
          <w:rFonts w:hint="eastAsia" w:ascii="仿宋" w:hAnsi="仿宋" w:eastAsia="仿宋" w:cs="仿宋"/>
          <w:color w:val="000000"/>
          <w:kern w:val="0"/>
          <w:sz w:val="32"/>
          <w:szCs w:val="32"/>
        </w:rPr>
      </w:pPr>
    </w:p>
    <w:sectPr>
      <w:pgSz w:w="11906" w:h="16838"/>
      <w:pgMar w:top="1117" w:right="1117" w:bottom="1117" w:left="1684" w:header="851" w:footer="992" w:gutter="0"/>
      <w:cols w:space="720" w:num="1"/>
      <w:rtlGutter w:val="0"/>
      <w:docGrid w:type="linesAndChar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DAEA8"/>
    <w:multiLevelType w:val="singleLevel"/>
    <w:tmpl w:val="EAFDAEA8"/>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BB91A9"/>
    <w:multiLevelType w:val="singleLevel"/>
    <w:tmpl w:val="3ABB91A9"/>
    <w:lvl w:ilvl="0" w:tentative="0">
      <w:start w:val="3"/>
      <w:numFmt w:val="decimal"/>
      <w:suff w:val="nothing"/>
      <w:lvlText w:val="(%1）"/>
      <w:lvlJc w:val="left"/>
    </w:lvl>
  </w:abstractNum>
  <w:abstractNum w:abstractNumId="3">
    <w:nsid w:val="63312B1C"/>
    <w:multiLevelType w:val="singleLevel"/>
    <w:tmpl w:val="63312B1C"/>
    <w:lvl w:ilvl="0" w:tentative="0">
      <w:start w:val="3"/>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c2NWNjMDI1NWRhYTM3MGQ1MjViZWFmOTE2NDM1ZjkifQ=="/>
  </w:docVars>
  <w:rsids>
    <w:rsidRoot w:val="00000000"/>
    <w:rsid w:val="132A635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12">
    <w:name w:val="Default Paragraph Font"/>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index 5"/>
    <w:basedOn w:val="1"/>
    <w:next w:val="1"/>
    <w:unhideWhenUsed/>
    <w:qFormat/>
    <w:uiPriority w:val="99"/>
    <w:pPr>
      <w:ind w:left="168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unhideWhenUsed/>
    <w:qFormat/>
    <w:uiPriority w:val="99"/>
    <w:rPr>
      <w:sz w:val="18"/>
      <w:szCs w:val="18"/>
    </w:rPr>
  </w:style>
  <w:style w:type="paragraph" w:styleId="7">
    <w:name w:val="footer"/>
    <w:basedOn w:val="1"/>
    <w:next w:val="3"/>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13">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customStyle="1" w:styleId="14">
    <w:name w:val="List Paragraph"/>
    <w:basedOn w:val="1"/>
    <w:qFormat/>
    <w:uiPriority w:val="34"/>
    <w:pPr>
      <w:ind w:firstLine="420" w:firstLineChars="200"/>
    </w:pPr>
  </w:style>
  <w:style w:type="character" w:customStyle="1" w:styleId="15">
    <w:name w:val="页眉 Char Char"/>
    <w:basedOn w:val="12"/>
    <w:link w:val="8"/>
    <w:qFormat/>
    <w:uiPriority w:val="99"/>
    <w:rPr>
      <w:sz w:val="18"/>
      <w:szCs w:val="18"/>
    </w:rPr>
  </w:style>
  <w:style w:type="character" w:customStyle="1" w:styleId="16">
    <w:name w:val="页脚 Char Char"/>
    <w:basedOn w:val="12"/>
    <w:link w:val="7"/>
    <w:qFormat/>
    <w:uiPriority w:val="99"/>
    <w:rPr>
      <w:sz w:val="18"/>
      <w:szCs w:val="18"/>
    </w:rPr>
  </w:style>
  <w:style w:type="character" w:customStyle="1" w:styleId="17">
    <w:name w:val="批注框文本 Char Char"/>
    <w:basedOn w:val="12"/>
    <w:link w:val="6"/>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11046</Words>
  <Characters>12029</Characters>
  <Lines>69</Lines>
  <Paragraphs>19</Paragraphs>
  <TotalTime>0</TotalTime>
  <ScaleCrop>false</ScaleCrop>
  <LinksUpToDate>false</LinksUpToDate>
  <CharactersWithSpaces>12062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清欢</cp:lastModifiedBy>
  <cp:lastPrinted>2022-09-26T07:27:00Z</cp:lastPrinted>
  <dcterms:modified xsi:type="dcterms:W3CDTF">2024-09-29T08:32:02Z</dcterms:modified>
  <dc:title>2023年度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6BC89757A7804701859B2194A558B31F</vt:lpwstr>
  </property>
</Properties>
</file>