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jc w:val="center"/>
        <w:rPr>
          <w:rFonts w:hint="eastAsia"/>
          <w:sz w:val="56"/>
          <w:szCs w:val="56"/>
        </w:rPr>
      </w:pPr>
    </w:p>
    <w:p>
      <w:pPr>
        <w:pStyle w:val="16"/>
        <w:jc w:val="center"/>
        <w:rPr>
          <w:sz w:val="56"/>
          <w:szCs w:val="56"/>
        </w:rPr>
      </w:pPr>
    </w:p>
    <w:p>
      <w:pPr>
        <w:pStyle w:val="16"/>
        <w:jc w:val="center"/>
        <w:rPr>
          <w:sz w:val="56"/>
          <w:szCs w:val="56"/>
        </w:rPr>
      </w:pPr>
    </w:p>
    <w:p>
      <w:pPr>
        <w:pStyle w:val="16"/>
        <w:jc w:val="center"/>
        <w:rPr>
          <w:sz w:val="84"/>
          <w:szCs w:val="84"/>
        </w:rPr>
      </w:pPr>
    </w:p>
    <w:p>
      <w:pPr>
        <w:pStyle w:val="16"/>
        <w:jc w:val="center"/>
        <w:rPr>
          <w:sz w:val="84"/>
          <w:szCs w:val="84"/>
        </w:rPr>
      </w:pPr>
    </w:p>
    <w:p>
      <w:pPr>
        <w:pStyle w:val="16"/>
        <w:jc w:val="center"/>
        <w:rPr>
          <w:sz w:val="84"/>
          <w:szCs w:val="84"/>
        </w:rPr>
      </w:pPr>
      <w:r>
        <w:rPr>
          <w:rFonts w:hint="eastAsia"/>
          <w:sz w:val="84"/>
          <w:szCs w:val="84"/>
        </w:rPr>
        <w:t>202</w:t>
      </w:r>
      <w:r>
        <w:rPr>
          <w:rFonts w:hint="eastAsia"/>
          <w:sz w:val="84"/>
          <w:szCs w:val="84"/>
          <w:lang w:val="en-US" w:eastAsia="zh-CN"/>
        </w:rPr>
        <w:t>4</w:t>
      </w:r>
      <w:r>
        <w:rPr>
          <w:rFonts w:hint="eastAsia"/>
          <w:sz w:val="84"/>
          <w:szCs w:val="84"/>
        </w:rPr>
        <w:t>年度</w:t>
      </w:r>
    </w:p>
    <w:p>
      <w:pPr>
        <w:pStyle w:val="16"/>
        <w:jc w:val="center"/>
        <w:rPr>
          <w:sz w:val="84"/>
          <w:szCs w:val="84"/>
        </w:rPr>
      </w:pPr>
      <w:r>
        <w:rPr>
          <w:rFonts w:hint="eastAsia"/>
          <w:sz w:val="84"/>
          <w:szCs w:val="84"/>
          <w:lang w:eastAsia="zh-CN"/>
        </w:rPr>
        <w:t>怀化市财政局</w:t>
      </w:r>
      <w:r>
        <w:rPr>
          <w:rFonts w:hint="eastAsia"/>
          <w:sz w:val="84"/>
          <w:szCs w:val="84"/>
        </w:rPr>
        <w:t>部门决算</w:t>
      </w:r>
    </w:p>
    <w:p>
      <w:pPr>
        <w:pStyle w:val="16"/>
        <w:jc w:val="center"/>
        <w:rPr>
          <w:sz w:val="56"/>
          <w:szCs w:val="56"/>
        </w:rPr>
      </w:pPr>
    </w:p>
    <w:p>
      <w:pPr>
        <w:pStyle w:val="16"/>
        <w:jc w:val="center"/>
        <w:rPr>
          <w:sz w:val="56"/>
          <w:szCs w:val="56"/>
        </w:rPr>
      </w:pPr>
    </w:p>
    <w:p>
      <w:pPr>
        <w:pStyle w:val="16"/>
        <w:jc w:val="center"/>
        <w:rPr>
          <w:sz w:val="56"/>
          <w:szCs w:val="56"/>
        </w:rPr>
      </w:pPr>
    </w:p>
    <w:p>
      <w:pPr>
        <w:pStyle w:val="16"/>
        <w:jc w:val="center"/>
        <w:rPr>
          <w:sz w:val="56"/>
          <w:szCs w:val="56"/>
        </w:rPr>
      </w:pPr>
    </w:p>
    <w:p>
      <w:pPr>
        <w:pStyle w:val="16"/>
        <w:jc w:val="center"/>
        <w:rPr>
          <w:sz w:val="32"/>
          <w:szCs w:val="32"/>
        </w:rPr>
      </w:pPr>
    </w:p>
    <w:p>
      <w:pPr>
        <w:pStyle w:val="16"/>
        <w:jc w:val="center"/>
        <w:rPr>
          <w:sz w:val="32"/>
          <w:szCs w:val="32"/>
        </w:rPr>
      </w:pPr>
    </w:p>
    <w:p>
      <w:pPr>
        <w:pStyle w:val="16"/>
        <w:jc w:val="center"/>
        <w:rPr>
          <w:sz w:val="32"/>
          <w:szCs w:val="32"/>
        </w:rPr>
      </w:pPr>
    </w:p>
    <w:p>
      <w:pPr>
        <w:pStyle w:val="16"/>
        <w:jc w:val="center"/>
        <w:rPr>
          <w:sz w:val="32"/>
          <w:szCs w:val="32"/>
        </w:rPr>
      </w:pPr>
    </w:p>
    <w:p>
      <w:pPr>
        <w:pStyle w:val="16"/>
        <w:jc w:val="center"/>
        <w:rPr>
          <w:sz w:val="32"/>
          <w:szCs w:val="32"/>
        </w:rPr>
      </w:pPr>
    </w:p>
    <w:p>
      <w:pPr>
        <w:pStyle w:val="16"/>
        <w:jc w:val="center"/>
        <w:rPr>
          <w:sz w:val="32"/>
          <w:szCs w:val="32"/>
        </w:rPr>
      </w:pPr>
    </w:p>
    <w:p>
      <w:pPr>
        <w:pStyle w:val="16"/>
        <w:spacing w:line="500" w:lineRule="exact"/>
        <w:jc w:val="center"/>
        <w:rPr>
          <w:b/>
          <w:sz w:val="36"/>
          <w:szCs w:val="28"/>
        </w:rPr>
      </w:pPr>
      <w:r>
        <w:rPr>
          <w:rFonts w:hint="eastAsia"/>
          <w:b/>
          <w:sz w:val="36"/>
          <w:szCs w:val="28"/>
        </w:rPr>
        <w:t>目录</w:t>
      </w:r>
    </w:p>
    <w:p>
      <w:pPr>
        <w:pStyle w:val="16"/>
        <w:keepNext w:val="0"/>
        <w:keepLines w:val="0"/>
        <w:pageBreakBefore w:val="0"/>
        <w:widowControl w:val="0"/>
        <w:kinsoku/>
        <w:wordWrap/>
        <w:overflowPunct/>
        <w:topLinePunct w:val="0"/>
        <w:bidi w:val="0"/>
        <w:snapToGrid/>
        <w:spacing w:line="480" w:lineRule="exact"/>
        <w:ind w:left="0" w:leftChars="0" w:right="0" w:rightChars="0"/>
        <w:jc w:val="left"/>
        <w:textAlignment w:val="auto"/>
        <w:outlineLvl w:val="9"/>
        <w:rPr>
          <w:rFonts w:hint="eastAsia"/>
          <w:b/>
          <w:sz w:val="13"/>
          <w:szCs w:val="13"/>
        </w:rPr>
      </w:pPr>
    </w:p>
    <w:p>
      <w:pPr>
        <w:pStyle w:val="16"/>
        <w:keepNext w:val="0"/>
        <w:keepLines w:val="0"/>
        <w:pageBreakBefore w:val="0"/>
        <w:widowControl w:val="0"/>
        <w:kinsoku/>
        <w:wordWrap/>
        <w:overflowPunct/>
        <w:topLinePunct w:val="0"/>
        <w:bidi w:val="0"/>
        <w:snapToGrid/>
        <w:spacing w:line="480" w:lineRule="exact"/>
        <w:ind w:left="0" w:leftChars="0" w:right="0" w:rightChars="0"/>
        <w:jc w:val="left"/>
        <w:textAlignment w:val="auto"/>
        <w:outlineLvl w:val="9"/>
        <w:rPr>
          <w:rFonts w:ascii="仿宋_GB2312" w:hAnsi="仿宋_GB2312" w:cs="仿宋_GB2312"/>
          <w:b/>
          <w:sz w:val="32"/>
          <w:szCs w:val="32"/>
        </w:rPr>
      </w:pPr>
      <w:r>
        <w:rPr>
          <w:rFonts w:hint="eastAsia"/>
          <w:b/>
          <w:sz w:val="32"/>
          <w:szCs w:val="32"/>
        </w:rPr>
        <w:t>第一部分</w:t>
      </w:r>
      <w:r>
        <w:rPr>
          <w:rFonts w:hint="eastAsia"/>
          <w:b/>
          <w:sz w:val="32"/>
          <w:szCs w:val="32"/>
          <w:lang w:val="en-US" w:eastAsia="zh-CN"/>
        </w:rPr>
        <w:t xml:space="preserve"> </w:t>
      </w:r>
      <w:r>
        <w:rPr>
          <w:rFonts w:hint="eastAsia"/>
          <w:b/>
          <w:sz w:val="32"/>
          <w:szCs w:val="32"/>
          <w:lang w:eastAsia="zh-CN"/>
        </w:rPr>
        <w:t>怀化市财政局</w:t>
      </w:r>
      <w:r>
        <w:rPr>
          <w:rFonts w:hint="eastAsia"/>
          <w:b/>
          <w:sz w:val="32"/>
          <w:szCs w:val="32"/>
        </w:rPr>
        <w:t>概况</w:t>
      </w:r>
    </w:p>
    <w:p>
      <w:pPr>
        <w:pStyle w:val="16"/>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一、部门职责</w:t>
      </w:r>
    </w:p>
    <w:p>
      <w:pPr>
        <w:pStyle w:val="16"/>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二、机构设置</w:t>
      </w:r>
    </w:p>
    <w:p>
      <w:pPr>
        <w:pStyle w:val="16"/>
        <w:keepNext w:val="0"/>
        <w:keepLines w:val="0"/>
        <w:pageBreakBefore w:val="0"/>
        <w:widowControl w:val="0"/>
        <w:kinsoku/>
        <w:wordWrap/>
        <w:overflowPunct/>
        <w:topLinePunct w:val="0"/>
        <w:bidi w:val="0"/>
        <w:snapToGrid/>
        <w:spacing w:line="480" w:lineRule="exact"/>
        <w:ind w:left="0" w:leftChars="0" w:right="0" w:rightChars="0"/>
        <w:jc w:val="left"/>
        <w:textAlignment w:val="auto"/>
        <w:outlineLvl w:val="9"/>
        <w:rPr>
          <w:rFonts w:ascii="仿宋_GB2312" w:hAnsi="仿宋_GB2312" w:cs="仿宋_GB2312"/>
          <w:b/>
          <w:sz w:val="32"/>
          <w:szCs w:val="32"/>
        </w:rPr>
      </w:pPr>
      <w:r>
        <w:rPr>
          <w:rFonts w:hint="eastAsia" w:hAnsi="仿宋_GB2312"/>
          <w:b/>
          <w:sz w:val="32"/>
          <w:szCs w:val="32"/>
        </w:rPr>
        <w:t>第二部分</w:t>
      </w:r>
      <w:r>
        <w:rPr>
          <w:rFonts w:hint="eastAsia" w:hAnsi="仿宋_GB2312"/>
          <w:b/>
          <w:sz w:val="32"/>
          <w:szCs w:val="32"/>
          <w:lang w:val="en-US" w:eastAsia="zh-CN"/>
        </w:rPr>
        <w:t xml:space="preserve"> </w:t>
      </w:r>
      <w:r>
        <w:rPr>
          <w:rFonts w:hint="eastAsia" w:hAnsi="仿宋_GB2312"/>
          <w:b/>
          <w:sz w:val="32"/>
          <w:szCs w:val="32"/>
        </w:rPr>
        <w:t>部门决算表</w:t>
      </w:r>
    </w:p>
    <w:p>
      <w:pPr>
        <w:pStyle w:val="16"/>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一、收入支出决算总表</w:t>
      </w:r>
    </w:p>
    <w:p>
      <w:pPr>
        <w:pStyle w:val="16"/>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二、收入决算表</w:t>
      </w:r>
    </w:p>
    <w:p>
      <w:pPr>
        <w:pStyle w:val="16"/>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三、支出决算表</w:t>
      </w:r>
    </w:p>
    <w:p>
      <w:pPr>
        <w:pStyle w:val="16"/>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四、财政拨款收入支出决算总表</w:t>
      </w:r>
    </w:p>
    <w:p>
      <w:pPr>
        <w:pStyle w:val="16"/>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五、一般公共预算财政拨款支出决算表</w:t>
      </w:r>
    </w:p>
    <w:p>
      <w:pPr>
        <w:pStyle w:val="16"/>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六、一般公共预算财政拨款基本支出决算</w:t>
      </w:r>
      <w:r>
        <w:rPr>
          <w:rFonts w:hint="eastAsia" w:cs="仿宋_GB2312" w:asciiTheme="minorEastAsia" w:hAnsiTheme="minorEastAsia" w:eastAsiaTheme="minorEastAsia"/>
          <w:sz w:val="32"/>
          <w:szCs w:val="32"/>
        </w:rPr>
        <w:t>明细</w:t>
      </w:r>
      <w:r>
        <w:rPr>
          <w:rFonts w:cs="仿宋_GB2312" w:asciiTheme="minorEastAsia" w:hAnsiTheme="minorEastAsia" w:eastAsiaTheme="minorEastAsia"/>
          <w:sz w:val="32"/>
          <w:szCs w:val="32"/>
        </w:rPr>
        <w:t>表</w:t>
      </w:r>
    </w:p>
    <w:p>
      <w:pPr>
        <w:pStyle w:val="16"/>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hint="eastAsia" w:cs="仿宋_GB2312" w:asciiTheme="minorEastAsia" w:hAnsiTheme="minorEastAsia" w:eastAsiaTheme="minorEastAsia"/>
          <w:sz w:val="32"/>
          <w:szCs w:val="32"/>
        </w:rPr>
      </w:pPr>
      <w:r>
        <w:rPr>
          <w:rFonts w:hint="eastAsia" w:cs="仿宋_GB2312" w:asciiTheme="minorEastAsia" w:hAnsiTheme="minorEastAsia" w:eastAsiaTheme="minorEastAsia"/>
          <w:sz w:val="32"/>
          <w:szCs w:val="32"/>
        </w:rPr>
        <w:t>七、政府性基金预算财政拨款收入支出决算表</w:t>
      </w:r>
    </w:p>
    <w:p>
      <w:pPr>
        <w:pStyle w:val="16"/>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hint="eastAsia" w:cs="仿宋_GB2312" w:asciiTheme="minorEastAsia" w:hAnsiTheme="minorEastAsia" w:eastAsiaTheme="minorEastAsia"/>
          <w:sz w:val="32"/>
          <w:szCs w:val="32"/>
        </w:rPr>
      </w:pPr>
      <w:r>
        <w:rPr>
          <w:rFonts w:hint="eastAsia" w:cs="仿宋_GB2312" w:asciiTheme="minorEastAsia" w:hAnsiTheme="minorEastAsia" w:eastAsiaTheme="minorEastAsia"/>
          <w:sz w:val="32"/>
          <w:szCs w:val="32"/>
        </w:rPr>
        <w:t>八、国有资本经营预算财政拨款支出决算表</w:t>
      </w:r>
    </w:p>
    <w:p>
      <w:pPr>
        <w:pStyle w:val="16"/>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hint="eastAsia" w:cs="仿宋_GB2312" w:asciiTheme="minorEastAsia" w:hAnsiTheme="minorEastAsia" w:eastAsiaTheme="minorEastAsia"/>
          <w:sz w:val="32"/>
          <w:szCs w:val="32"/>
        </w:rPr>
      </w:pPr>
      <w:r>
        <w:rPr>
          <w:rFonts w:hint="eastAsia" w:cs="仿宋_GB2312" w:asciiTheme="minorEastAsia" w:hAnsiTheme="minorEastAsia" w:eastAsiaTheme="minorEastAsia"/>
          <w:sz w:val="32"/>
          <w:szCs w:val="32"/>
        </w:rPr>
        <w:t>九、财政拨款“三公”经费支出决算表</w:t>
      </w:r>
    </w:p>
    <w:p>
      <w:pPr>
        <w:pStyle w:val="16"/>
        <w:keepNext w:val="0"/>
        <w:keepLines w:val="0"/>
        <w:pageBreakBefore w:val="0"/>
        <w:widowControl w:val="0"/>
        <w:kinsoku/>
        <w:wordWrap/>
        <w:overflowPunct/>
        <w:topLinePunct w:val="0"/>
        <w:bidi w:val="0"/>
        <w:snapToGrid/>
        <w:spacing w:line="480" w:lineRule="exact"/>
        <w:ind w:left="0" w:leftChars="0" w:right="0" w:rightChars="0"/>
        <w:jc w:val="left"/>
        <w:textAlignment w:val="auto"/>
        <w:outlineLvl w:val="9"/>
        <w:rPr>
          <w:rFonts w:ascii="仿宋_GB2312" w:hAnsi="仿宋_GB2312" w:cs="仿宋_GB2312"/>
          <w:b/>
          <w:sz w:val="32"/>
          <w:szCs w:val="32"/>
        </w:rPr>
      </w:pPr>
      <w:r>
        <w:rPr>
          <w:rFonts w:hint="eastAsia" w:hAnsi="仿宋_GB2312"/>
          <w:b/>
          <w:sz w:val="32"/>
          <w:szCs w:val="32"/>
        </w:rPr>
        <w:t>第三部分</w:t>
      </w:r>
      <w:r>
        <w:rPr>
          <w:rFonts w:hint="eastAsia" w:hAnsi="仿宋_GB2312"/>
          <w:b/>
          <w:sz w:val="32"/>
          <w:szCs w:val="32"/>
          <w:lang w:val="en-US" w:eastAsia="zh-CN"/>
        </w:rPr>
        <w:t xml:space="preserve"> </w:t>
      </w:r>
      <w:r>
        <w:rPr>
          <w:rFonts w:hint="eastAsia" w:hAnsi="仿宋_GB2312"/>
          <w:b/>
          <w:sz w:val="32"/>
          <w:szCs w:val="32"/>
        </w:rPr>
        <w:t>部门决算情况说明</w:t>
      </w:r>
    </w:p>
    <w:p>
      <w:pPr>
        <w:pStyle w:val="16"/>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cs="仿宋_GB2312" w:asciiTheme="minorEastAsia" w:hAnsiTheme="minorEastAsia" w:eastAsiaTheme="minorEastAsia"/>
          <w:sz w:val="32"/>
          <w:szCs w:val="32"/>
        </w:rPr>
      </w:pPr>
      <w:r>
        <w:rPr>
          <w:rFonts w:cs="仿宋_GB2312" w:asciiTheme="minorEastAsia" w:hAnsiTheme="minorEastAsia" w:eastAsiaTheme="minorEastAsia"/>
          <w:sz w:val="32"/>
          <w:szCs w:val="32"/>
        </w:rPr>
        <w:t>一、收入支出决算总体情况说明</w:t>
      </w:r>
    </w:p>
    <w:p>
      <w:pPr>
        <w:keepNext w:val="0"/>
        <w:keepLines w:val="0"/>
        <w:pageBreakBefore w:val="0"/>
        <w:widowControl w:val="0"/>
        <w:kinsoku/>
        <w:wordWrap/>
        <w:overflowPunct/>
        <w:topLinePunct w:val="0"/>
        <w:bidi w:val="0"/>
        <w:snapToGrid/>
        <w:spacing w:line="480" w:lineRule="exact"/>
        <w:ind w:left="0" w:leftChars="0" w:right="0" w:rightChars="0" w:firstLine="800" w:firstLineChars="250"/>
        <w:jc w:val="left"/>
        <w:textAlignment w:val="auto"/>
        <w:outlineLvl w:val="9"/>
        <w:rPr>
          <w:rFonts w:ascii="仿宋_GB2312" w:hAnsi="仿宋_GB2312" w:cs="仿宋_GB2312"/>
          <w:sz w:val="32"/>
          <w:szCs w:val="32"/>
        </w:rPr>
      </w:pPr>
      <w:r>
        <w:rPr>
          <w:rFonts w:ascii="仿宋_GB2312" w:hAnsi="仿宋_GB2312" w:cs="仿宋_GB2312"/>
          <w:sz w:val="32"/>
          <w:szCs w:val="32"/>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ascii="仿宋_GB2312" w:hAnsi="仿宋_GB2312" w:cs="仿宋_GB2312"/>
          <w:color w:val="000000"/>
          <w:kern w:val="0"/>
          <w:sz w:val="32"/>
          <w:szCs w:val="32"/>
        </w:rPr>
      </w:pPr>
      <w:r>
        <w:rPr>
          <w:rFonts w:ascii="仿宋_GB2312" w:hAnsi="仿宋_GB2312" w:cs="仿宋_GB2312"/>
          <w:color w:val="000000"/>
          <w:kern w:val="0"/>
          <w:sz w:val="32"/>
          <w:szCs w:val="32"/>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ascii="仿宋_GB2312" w:hAnsi="仿宋_GB2312" w:cs="仿宋_GB2312"/>
          <w:color w:val="000000"/>
          <w:kern w:val="0"/>
          <w:sz w:val="32"/>
          <w:szCs w:val="32"/>
        </w:rPr>
      </w:pPr>
      <w:r>
        <w:rPr>
          <w:rFonts w:ascii="仿宋_GB2312" w:hAnsi="仿宋_GB2312" w:cs="仿宋_GB2312"/>
          <w:color w:val="000000"/>
          <w:kern w:val="0"/>
          <w:sz w:val="32"/>
          <w:szCs w:val="32"/>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ascii="仿宋_GB2312" w:hAnsi="仿宋_GB2312" w:cs="仿宋_GB2312"/>
          <w:color w:val="000000"/>
          <w:kern w:val="0"/>
          <w:sz w:val="32"/>
          <w:szCs w:val="32"/>
        </w:rPr>
      </w:pPr>
      <w:r>
        <w:rPr>
          <w:rFonts w:ascii="仿宋_GB2312" w:hAnsi="仿宋_GB2312" w:cs="仿宋_GB2312"/>
          <w:color w:val="000000"/>
          <w:kern w:val="0"/>
          <w:sz w:val="32"/>
          <w:szCs w:val="32"/>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ascii="仿宋_GB2312" w:hAnsi="仿宋_GB2312" w:cs="仿宋_GB2312"/>
          <w:color w:val="000000"/>
          <w:kern w:val="0"/>
          <w:sz w:val="32"/>
          <w:szCs w:val="32"/>
        </w:rPr>
      </w:pPr>
      <w:r>
        <w:rPr>
          <w:rFonts w:ascii="仿宋_GB2312" w:hAnsi="仿宋_GB2312" w:cs="仿宋_GB2312"/>
          <w:color w:val="000000"/>
          <w:kern w:val="0"/>
          <w:sz w:val="32"/>
          <w:szCs w:val="32"/>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hint="eastAsia" w:ascii="仿宋_GB2312" w:hAnsi="仿宋_GB2312" w:cs="仿宋_GB2312"/>
          <w:color w:val="000000"/>
          <w:kern w:val="0"/>
          <w:sz w:val="32"/>
          <w:szCs w:val="32"/>
        </w:rPr>
      </w:pPr>
      <w:r>
        <w:rPr>
          <w:rFonts w:hint="eastAsia" w:ascii="仿宋_GB2312" w:hAnsi="仿宋_GB2312" w:cs="仿宋_GB2312"/>
          <w:color w:val="000000"/>
          <w:kern w:val="0"/>
          <w:sz w:val="32"/>
          <w:szCs w:val="32"/>
        </w:rPr>
        <w:t>七、财政拨款三公经费支出决算情况说明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hint="eastAsia" w:ascii="仿宋_GB2312" w:hAnsi="仿宋_GB2312" w:cs="仿宋_GB2312"/>
          <w:color w:val="000000"/>
          <w:kern w:val="0"/>
          <w:sz w:val="32"/>
          <w:szCs w:val="32"/>
        </w:rPr>
      </w:pPr>
      <w:r>
        <w:rPr>
          <w:rFonts w:hint="eastAsia" w:ascii="仿宋_GB2312" w:hAnsi="仿宋_GB2312" w:cs="仿宋_GB2312"/>
          <w:color w:val="000000"/>
          <w:kern w:val="0"/>
          <w:sz w:val="32"/>
          <w:szCs w:val="32"/>
        </w:rPr>
        <w:t>八、政府性基金预算收入支出决算情况</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hint="eastAsia" w:ascii="仿宋_GB2312" w:hAnsi="仿宋_GB2312" w:cs="仿宋_GB2312"/>
          <w:color w:val="auto"/>
          <w:kern w:val="0"/>
          <w:sz w:val="32"/>
          <w:szCs w:val="32"/>
        </w:rPr>
      </w:pPr>
      <w:r>
        <w:rPr>
          <w:rFonts w:hint="eastAsia" w:ascii="仿宋_GB2312" w:hAnsi="仿宋_GB2312" w:cs="仿宋_GB2312"/>
          <w:color w:val="auto"/>
          <w:kern w:val="0"/>
          <w:sz w:val="32"/>
          <w:szCs w:val="32"/>
          <w:lang w:val="en-US" w:eastAsia="zh-CN"/>
        </w:rPr>
        <w:t>九、国有资本经营预算收入支出决算情况</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_GB2312" w:hAnsi="仿宋_GB2312" w:cs="仿宋_GB2312" w:eastAsiaTheme="minorEastAsia"/>
          <w:color w:val="000000"/>
          <w:kern w:val="0"/>
          <w:sz w:val="32"/>
          <w:szCs w:val="32"/>
          <w:lang w:eastAsia="zh-CN"/>
        </w:rPr>
      </w:pPr>
      <w:r>
        <w:rPr>
          <w:rFonts w:hint="eastAsia" w:ascii="仿宋_GB2312" w:hAnsi="仿宋_GB2312" w:cs="仿宋_GB2312"/>
          <w:color w:val="000000"/>
          <w:kern w:val="0"/>
          <w:sz w:val="32"/>
          <w:szCs w:val="32"/>
          <w:lang w:eastAsia="zh-CN"/>
        </w:rPr>
        <w:t>十</w:t>
      </w:r>
      <w:r>
        <w:rPr>
          <w:rFonts w:ascii="仿宋_GB2312" w:hAnsi="仿宋_GB2312" w:cs="仿宋_GB2312"/>
          <w:color w:val="000000"/>
          <w:kern w:val="0"/>
          <w:sz w:val="32"/>
          <w:szCs w:val="32"/>
        </w:rPr>
        <w:t>、</w:t>
      </w:r>
      <w:r>
        <w:rPr>
          <w:rFonts w:hint="eastAsia" w:cs="仿宋_GB2312" w:asciiTheme="minorEastAsia" w:hAnsiTheme="minorEastAsia" w:eastAsiaTheme="minorEastAsia"/>
          <w:sz w:val="32"/>
          <w:szCs w:val="32"/>
        </w:rPr>
        <w:t>国有资本经营预算财政拨款支出决算</w:t>
      </w:r>
      <w:r>
        <w:rPr>
          <w:rFonts w:hint="eastAsia" w:cs="仿宋_GB2312" w:asciiTheme="minorEastAsia" w:hAnsiTheme="minorEastAsia"/>
          <w:sz w:val="32"/>
          <w:szCs w:val="32"/>
          <w:lang w:eastAsia="zh-CN"/>
        </w:rPr>
        <w:t>情况</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hint="eastAsia" w:ascii="仿宋_GB2312" w:hAnsi="仿宋_GB2312" w:cs="仿宋_GB2312"/>
          <w:color w:val="auto"/>
          <w:kern w:val="0"/>
          <w:sz w:val="32"/>
          <w:szCs w:val="32"/>
          <w:lang w:val="en-US" w:eastAsia="zh-CN"/>
        </w:rPr>
      </w:pPr>
      <w:r>
        <w:rPr>
          <w:rFonts w:hint="eastAsia" w:ascii="仿宋_GB2312" w:hAnsi="仿宋_GB2312" w:cs="仿宋_GB2312"/>
          <w:color w:val="auto"/>
          <w:kern w:val="0"/>
          <w:sz w:val="32"/>
          <w:szCs w:val="32"/>
          <w:lang w:val="en-US" w:eastAsia="zh-CN"/>
        </w:rPr>
        <w:t>十一、关于机关运行经费支出说明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hint="eastAsia" w:ascii="仿宋_GB2312" w:hAnsi="仿宋_GB2312" w:cs="仿宋_GB2312"/>
          <w:color w:val="auto"/>
          <w:kern w:val="0"/>
          <w:sz w:val="32"/>
          <w:szCs w:val="32"/>
          <w:lang w:val="en-US" w:eastAsia="zh-CN"/>
        </w:rPr>
      </w:pPr>
      <w:r>
        <w:rPr>
          <w:rFonts w:hint="eastAsia" w:ascii="仿宋_GB2312" w:hAnsi="仿宋_GB2312" w:cs="仿宋_GB2312"/>
          <w:color w:val="auto"/>
          <w:kern w:val="0"/>
          <w:sz w:val="32"/>
          <w:szCs w:val="32"/>
          <w:lang w:val="en-US" w:eastAsia="zh-CN"/>
        </w:rPr>
        <w:t>十二、一般性支出情况说明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hint="eastAsia" w:ascii="仿宋_GB2312" w:hAnsi="仿宋_GB2312" w:cs="仿宋_GB2312"/>
          <w:color w:val="auto"/>
          <w:kern w:val="0"/>
          <w:sz w:val="32"/>
          <w:szCs w:val="32"/>
          <w:lang w:val="en-US" w:eastAsia="zh-CN"/>
        </w:rPr>
      </w:pPr>
      <w:r>
        <w:rPr>
          <w:rFonts w:hint="eastAsia" w:ascii="仿宋_GB2312" w:hAnsi="仿宋_GB2312" w:cs="仿宋_GB2312"/>
          <w:color w:val="auto"/>
          <w:kern w:val="0"/>
          <w:sz w:val="32"/>
          <w:szCs w:val="32"/>
          <w:lang w:val="en-US" w:eastAsia="zh-CN"/>
        </w:rPr>
        <w:t>十三、关于政府采购支出说明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hint="eastAsia" w:ascii="仿宋_GB2312" w:hAnsi="仿宋_GB2312" w:cs="仿宋_GB2312"/>
          <w:color w:val="000000"/>
          <w:kern w:val="0"/>
          <w:sz w:val="32"/>
          <w:szCs w:val="32"/>
        </w:rPr>
      </w:pPr>
      <w:r>
        <w:rPr>
          <w:rFonts w:hint="eastAsia" w:ascii="仿宋_GB2312" w:hAnsi="仿宋_GB2312" w:cs="仿宋_GB2312"/>
          <w:color w:val="000000"/>
          <w:kern w:val="0"/>
          <w:sz w:val="32"/>
          <w:szCs w:val="32"/>
        </w:rPr>
        <w:t>十</w:t>
      </w:r>
      <w:r>
        <w:rPr>
          <w:rFonts w:hint="eastAsia" w:ascii="仿宋_GB2312" w:hAnsi="仿宋_GB2312" w:cs="仿宋_GB2312"/>
          <w:color w:val="000000"/>
          <w:kern w:val="0"/>
          <w:sz w:val="32"/>
          <w:szCs w:val="32"/>
          <w:lang w:eastAsia="zh-CN"/>
        </w:rPr>
        <w:t>四</w:t>
      </w:r>
      <w:r>
        <w:rPr>
          <w:rFonts w:hint="eastAsia" w:ascii="仿宋_GB2312" w:hAnsi="仿宋_GB2312" w:cs="仿宋_GB2312"/>
          <w:color w:val="000000"/>
          <w:kern w:val="0"/>
          <w:sz w:val="32"/>
          <w:szCs w:val="32"/>
        </w:rPr>
        <w:t>、关于国有资产占用情况说明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800" w:firstLineChars="250"/>
        <w:jc w:val="left"/>
        <w:textAlignment w:val="auto"/>
        <w:outlineLvl w:val="9"/>
        <w:rPr>
          <w:rFonts w:hint="eastAsia" w:ascii="仿宋_GB2312" w:hAnsi="仿宋_GB2312" w:cs="仿宋_GB2312"/>
          <w:color w:val="000000"/>
          <w:kern w:val="0"/>
          <w:sz w:val="32"/>
          <w:szCs w:val="32"/>
        </w:rPr>
      </w:pPr>
      <w:r>
        <w:rPr>
          <w:rFonts w:hint="eastAsia" w:ascii="仿宋_GB2312" w:hAnsi="仿宋_GB2312" w:cs="仿宋_GB2312"/>
          <w:color w:val="000000"/>
          <w:kern w:val="0"/>
          <w:sz w:val="32"/>
          <w:szCs w:val="32"/>
        </w:rPr>
        <w:t>十</w:t>
      </w:r>
      <w:r>
        <w:rPr>
          <w:rFonts w:hint="eastAsia" w:ascii="仿宋_GB2312" w:hAnsi="仿宋_GB2312" w:cs="仿宋_GB2312"/>
          <w:color w:val="000000"/>
          <w:kern w:val="0"/>
          <w:sz w:val="32"/>
          <w:szCs w:val="32"/>
          <w:lang w:eastAsia="zh-CN"/>
        </w:rPr>
        <w:t>五</w:t>
      </w:r>
      <w:r>
        <w:rPr>
          <w:rFonts w:hint="eastAsia" w:ascii="仿宋_GB2312" w:hAnsi="仿宋_GB2312" w:cs="仿宋_GB2312"/>
          <w:color w:val="000000"/>
          <w:kern w:val="0"/>
          <w:sz w:val="32"/>
          <w:szCs w:val="32"/>
        </w:rPr>
        <w:t>、关于</w:t>
      </w:r>
      <w:r>
        <w:rPr>
          <w:rFonts w:hint="default" w:ascii="仿宋_GB2312" w:hAnsi="仿宋_GB2312" w:cs="仿宋_GB2312"/>
          <w:color w:val="000000"/>
          <w:kern w:val="0"/>
          <w:sz w:val="32"/>
          <w:szCs w:val="32"/>
        </w:rPr>
        <w:t>202</w:t>
      </w:r>
      <w:r>
        <w:rPr>
          <w:rFonts w:hint="eastAsia" w:ascii="仿宋_GB2312" w:hAnsi="仿宋_GB2312" w:cs="仿宋_GB2312"/>
          <w:color w:val="000000"/>
          <w:kern w:val="0"/>
          <w:sz w:val="32"/>
          <w:szCs w:val="32"/>
          <w:lang w:val="en-US" w:eastAsia="zh-CN"/>
        </w:rPr>
        <w:t>4</w:t>
      </w:r>
      <w:r>
        <w:rPr>
          <w:rFonts w:hint="eastAsia" w:ascii="仿宋_GB2312" w:hAnsi="仿宋_GB2312" w:cs="仿宋_GB2312"/>
          <w:color w:val="000000"/>
          <w:kern w:val="0"/>
          <w:sz w:val="32"/>
          <w:szCs w:val="32"/>
        </w:rPr>
        <w:t>年度</w:t>
      </w:r>
      <w:r>
        <w:rPr>
          <w:rFonts w:hint="eastAsia" w:ascii="仿宋_GB2312" w:hAnsi="仿宋_GB2312" w:cs="仿宋_GB2312"/>
          <w:color w:val="000000"/>
          <w:kern w:val="0"/>
          <w:sz w:val="32"/>
          <w:szCs w:val="32"/>
          <w:lang w:eastAsia="zh-CN"/>
        </w:rPr>
        <w:t>预算</w:t>
      </w:r>
      <w:r>
        <w:rPr>
          <w:rFonts w:hint="eastAsia" w:ascii="仿宋_GB2312" w:hAnsi="仿宋_GB2312" w:cs="仿宋_GB2312"/>
          <w:color w:val="000000"/>
          <w:kern w:val="0"/>
          <w:sz w:val="32"/>
          <w:szCs w:val="32"/>
        </w:rPr>
        <w:t>绩效情况的说明</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jc w:val="left"/>
        <w:textAlignment w:val="auto"/>
        <w:outlineLvl w:val="9"/>
        <w:rPr>
          <w:rFonts w:ascii="黑体" w:hAnsi="黑体" w:eastAsia="黑体" w:cs="黑体"/>
          <w:b/>
          <w:color w:val="000000"/>
          <w:kern w:val="0"/>
          <w:sz w:val="32"/>
          <w:szCs w:val="32"/>
        </w:rPr>
      </w:pPr>
      <w:r>
        <w:rPr>
          <w:rFonts w:ascii="黑体" w:hAnsi="黑体" w:eastAsia="黑体" w:cs="黑体"/>
          <w:b/>
          <w:color w:val="000000"/>
          <w:kern w:val="0"/>
          <w:sz w:val="32"/>
          <w:szCs w:val="32"/>
        </w:rPr>
        <w:t>第四部分</w:t>
      </w:r>
      <w:r>
        <w:rPr>
          <w:rFonts w:hint="eastAsia" w:ascii="黑体" w:hAnsi="黑体" w:eastAsia="黑体" w:cs="黑体"/>
          <w:b/>
          <w:color w:val="000000"/>
          <w:kern w:val="0"/>
          <w:sz w:val="32"/>
          <w:szCs w:val="32"/>
          <w:lang w:val="en-US" w:eastAsia="zh-CN"/>
        </w:rPr>
        <w:t xml:space="preserve"> </w:t>
      </w:r>
      <w:r>
        <w:rPr>
          <w:rFonts w:ascii="黑体" w:hAnsi="黑体" w:eastAsia="黑体" w:cs="黑体"/>
          <w:b/>
          <w:color w:val="000000"/>
          <w:kern w:val="0"/>
          <w:sz w:val="32"/>
          <w:szCs w:val="32"/>
        </w:rPr>
        <w:t>名词解释</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jc w:val="left"/>
        <w:textAlignment w:val="auto"/>
        <w:outlineLvl w:val="9"/>
        <w:rPr>
          <w:rFonts w:ascii="黑体" w:hAnsi="黑体" w:eastAsia="黑体" w:cs="仿宋_GB2312"/>
          <w:b/>
          <w:color w:val="000000"/>
          <w:kern w:val="0"/>
          <w:sz w:val="32"/>
          <w:szCs w:val="32"/>
        </w:rPr>
      </w:pPr>
      <w:r>
        <w:rPr>
          <w:rFonts w:hint="eastAsia" w:ascii="黑体" w:hAnsi="黑体" w:eastAsia="黑体" w:cs="黑体"/>
          <w:b/>
          <w:color w:val="000000"/>
          <w:kern w:val="0"/>
          <w:sz w:val="32"/>
          <w:szCs w:val="32"/>
        </w:rPr>
        <w:t>第五部分</w:t>
      </w:r>
      <w:r>
        <w:rPr>
          <w:rFonts w:hint="eastAsia" w:ascii="黑体" w:hAnsi="黑体" w:eastAsia="黑体" w:cs="黑体"/>
          <w:b/>
          <w:color w:val="000000"/>
          <w:kern w:val="0"/>
          <w:sz w:val="32"/>
          <w:szCs w:val="32"/>
          <w:lang w:val="en-US" w:eastAsia="zh-CN"/>
        </w:rPr>
        <w:t xml:space="preserve"> </w:t>
      </w:r>
      <w:r>
        <w:rPr>
          <w:rFonts w:hint="eastAsia" w:ascii="黑体" w:hAnsi="黑体" w:eastAsia="黑体" w:cs="黑体"/>
          <w:b/>
          <w:color w:val="000000"/>
          <w:kern w:val="0"/>
          <w:sz w:val="32"/>
          <w:szCs w:val="32"/>
        </w:rPr>
        <w:t>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sz w:val="72"/>
          <w:szCs w:val="72"/>
        </w:rPr>
      </w:pPr>
    </w:p>
    <w:p>
      <w:pPr>
        <w:pStyle w:val="16"/>
        <w:jc w:val="center"/>
        <w:rPr>
          <w:sz w:val="84"/>
          <w:szCs w:val="84"/>
        </w:rPr>
      </w:pPr>
      <w:r>
        <w:rPr>
          <w:rFonts w:hint="eastAsia"/>
          <w:sz w:val="84"/>
          <w:szCs w:val="84"/>
        </w:rPr>
        <w:t>第一部分</w:t>
      </w:r>
      <w:r>
        <w:rPr>
          <w:sz w:val="84"/>
          <w:szCs w:val="84"/>
        </w:rPr>
        <w:t xml:space="preserve"> </w:t>
      </w:r>
    </w:p>
    <w:p>
      <w:pPr>
        <w:pStyle w:val="16"/>
        <w:jc w:val="center"/>
        <w:rPr>
          <w:sz w:val="84"/>
          <w:szCs w:val="84"/>
        </w:rPr>
      </w:pPr>
    </w:p>
    <w:p>
      <w:pPr>
        <w:pStyle w:val="16"/>
        <w:jc w:val="center"/>
        <w:rPr>
          <w:sz w:val="84"/>
          <w:szCs w:val="84"/>
        </w:rPr>
      </w:pPr>
      <w:r>
        <w:rPr>
          <w:rFonts w:hint="eastAsia"/>
          <w:sz w:val="84"/>
          <w:szCs w:val="84"/>
          <w:lang w:eastAsia="zh-CN"/>
        </w:rPr>
        <w:t>怀化市财政局</w:t>
      </w:r>
      <w:r>
        <w:rPr>
          <w:rFonts w:hint="eastAsia"/>
          <w:sz w:val="84"/>
          <w:szCs w:val="84"/>
        </w:rPr>
        <w:t>单位概况</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2"/>
      </w:pPr>
    </w:p>
    <w:p>
      <w:pPr>
        <w:pStyle w:val="17"/>
        <w:ind w:left="720" w:firstLine="0" w:firstLineChars="0"/>
        <w:jc w:val="left"/>
        <w:rPr>
          <w:rFonts w:ascii="黑体" w:hAnsi="黑体" w:eastAsia="黑体"/>
          <w:sz w:val="32"/>
          <w:szCs w:val="32"/>
        </w:rPr>
      </w:pPr>
    </w:p>
    <w:p>
      <w:pPr>
        <w:pStyle w:val="17"/>
        <w:ind w:left="720" w:firstLine="0" w:firstLineChars="0"/>
        <w:jc w:val="left"/>
        <w:rPr>
          <w:rFonts w:ascii="黑体" w:hAnsi="黑体" w:eastAsia="黑体"/>
          <w:sz w:val="32"/>
          <w:szCs w:val="32"/>
        </w:rPr>
      </w:pPr>
    </w:p>
    <w:p>
      <w:pPr>
        <w:pStyle w:val="17"/>
        <w:numPr>
          <w:ilvl w:val="0"/>
          <w:numId w:val="1"/>
        </w:numPr>
        <w:ind w:firstLineChars="0"/>
        <w:jc w:val="left"/>
        <w:rPr>
          <w:rFonts w:ascii="黑体" w:hAnsi="黑体" w:eastAsia="黑体"/>
          <w:sz w:val="32"/>
          <w:szCs w:val="32"/>
        </w:rPr>
      </w:pPr>
      <w:r>
        <w:rPr>
          <w:rFonts w:ascii="黑体" w:hAnsi="黑体" w:eastAsia="黑体"/>
          <w:sz w:val="32"/>
          <w:szCs w:val="32"/>
        </w:rPr>
        <w:t>部门职责</w:t>
      </w:r>
    </w:p>
    <w:p>
      <w:pPr>
        <w:snapToGrid w:val="0"/>
        <w:spacing w:line="520" w:lineRule="exact"/>
        <w:ind w:left="420" w:leftChars="200" w:right="384" w:rightChars="183" w:firstLine="192" w:firstLineChars="60"/>
        <w:rPr>
          <w:rFonts w:hint="eastAsia" w:ascii="仿宋_GB2312" w:hAnsi="仿宋" w:eastAsia="仿宋_GB2312"/>
          <w:sz w:val="32"/>
          <w:szCs w:val="32"/>
        </w:rPr>
      </w:pPr>
      <w:r>
        <w:rPr>
          <w:rFonts w:hint="eastAsia" w:ascii="仿宋_GB2312" w:hAnsi="仿宋" w:eastAsia="仿宋_GB2312"/>
          <w:sz w:val="32"/>
          <w:szCs w:val="32"/>
        </w:rPr>
        <w:t>1．主要职能</w:t>
      </w:r>
    </w:p>
    <w:p>
      <w:pPr>
        <w:widowControl/>
        <w:spacing w:line="500" w:lineRule="auto"/>
        <w:ind w:firstLine="627" w:firstLineChars="196"/>
        <w:rPr>
          <w:rFonts w:hint="eastAsia" w:eastAsia="仿宋_GB2312"/>
          <w:sz w:val="32"/>
          <w:szCs w:val="32"/>
        </w:rPr>
      </w:pPr>
      <w:r>
        <w:rPr>
          <w:rFonts w:hint="eastAsia" w:eastAsia="仿宋_GB2312"/>
          <w:sz w:val="32"/>
          <w:szCs w:val="32"/>
        </w:rPr>
        <w:t>（1）组织贯彻执行国家财税方针政策，拟订和执行全市财政政策、改革方案，指导全市财政工作;分析预测宏观经济形势，参与制定各项宏观经济政策;提出运用财税政策实施宏观调控和综合平衡社会财力的建议;拟订和执行政府与企业的分配政策，完善鼓励公益事业发展的财税政策。贯彻执行国家有关金融工作的方针、政策和法律、法规，组织拟订市人民政府金融领域有关规章草案；组织拟订加强全市金融行业服务、促进金融行业发展的意见和政策建议。</w:t>
      </w:r>
    </w:p>
    <w:p>
      <w:pPr>
        <w:widowControl/>
        <w:spacing w:line="500" w:lineRule="auto"/>
        <w:ind w:firstLine="627" w:firstLineChars="196"/>
        <w:rPr>
          <w:rFonts w:hint="eastAsia" w:eastAsia="仿宋_GB2312"/>
          <w:sz w:val="32"/>
          <w:szCs w:val="32"/>
        </w:rPr>
      </w:pPr>
      <w:r>
        <w:rPr>
          <w:rFonts w:hint="eastAsia" w:eastAsia="仿宋_GB2312"/>
          <w:sz w:val="32"/>
          <w:szCs w:val="32"/>
        </w:rPr>
        <w:t>（2）代政府起草财政、财务、会议管理的制度及办法。</w:t>
      </w:r>
    </w:p>
    <w:p>
      <w:pPr>
        <w:widowControl/>
        <w:spacing w:line="500" w:lineRule="auto"/>
        <w:ind w:firstLine="627" w:firstLineChars="196"/>
        <w:rPr>
          <w:rFonts w:hint="eastAsia" w:eastAsia="仿宋_GB2312"/>
          <w:sz w:val="32"/>
          <w:szCs w:val="32"/>
        </w:rPr>
      </w:pPr>
      <w:r>
        <w:rPr>
          <w:rFonts w:hint="eastAsia" w:eastAsia="仿宋_GB2312"/>
          <w:sz w:val="32"/>
          <w:szCs w:val="32"/>
        </w:rPr>
        <w:t>（3）承担市本级各项财政收支管理的责任；负责编制年度市本级预决算草案并组织执行；代编全市财政收支预算，汇总全市财政总决算;受市人民政府委托，向市人民代表大会报告市本级、全市预算及其执行情况，向市人大常委会报告决算；组织制订市本级经费开支标准、定额，负责审核批复部门(单位)的年度预决算。完善转移支付制度，推进省直管县财政体制改革。</w:t>
      </w:r>
    </w:p>
    <w:p>
      <w:pPr>
        <w:widowControl/>
        <w:spacing w:line="500" w:lineRule="auto"/>
        <w:ind w:firstLine="627" w:firstLineChars="196"/>
        <w:rPr>
          <w:rFonts w:hint="eastAsia" w:eastAsia="仿宋_GB2312"/>
          <w:sz w:val="32"/>
          <w:szCs w:val="32"/>
        </w:rPr>
      </w:pPr>
      <w:r>
        <w:rPr>
          <w:rFonts w:hint="eastAsia" w:eastAsia="仿宋_GB2312"/>
          <w:sz w:val="32"/>
          <w:szCs w:val="32"/>
        </w:rPr>
        <w:t>（4）负责政府非税收入管理；负责政府性基金管理，按规定管理行政事业性收费；负责管理财政票据；负责制定彩票管理政策，管理彩票市场，按规定管理彩票资金。</w:t>
      </w:r>
    </w:p>
    <w:p>
      <w:pPr>
        <w:widowControl/>
        <w:spacing w:line="500" w:lineRule="auto"/>
        <w:ind w:firstLine="627" w:firstLineChars="196"/>
        <w:rPr>
          <w:rFonts w:hint="eastAsia" w:eastAsia="仿宋_GB2312"/>
          <w:sz w:val="32"/>
          <w:szCs w:val="32"/>
        </w:rPr>
      </w:pPr>
      <w:r>
        <w:rPr>
          <w:rFonts w:hint="eastAsia" w:eastAsia="仿宋_GB2312"/>
          <w:sz w:val="32"/>
          <w:szCs w:val="32"/>
        </w:rPr>
        <w:t>（5）组织制定国库管理制度、国库集中收付制度，指导和监督市本级国库业务，按规定开展国库现金管理工作。负责制定政府采购制度并监督管理。</w:t>
      </w:r>
    </w:p>
    <w:p>
      <w:pPr>
        <w:widowControl/>
        <w:spacing w:line="500" w:lineRule="auto"/>
        <w:ind w:firstLine="627" w:firstLineChars="196"/>
        <w:rPr>
          <w:rFonts w:hint="eastAsia" w:eastAsia="仿宋_GB2312"/>
          <w:sz w:val="32"/>
          <w:szCs w:val="32"/>
        </w:rPr>
      </w:pPr>
      <w:r>
        <w:rPr>
          <w:rFonts w:hint="eastAsia" w:eastAsia="仿宋_GB2312"/>
          <w:sz w:val="32"/>
          <w:szCs w:val="32"/>
        </w:rPr>
        <w:t>（6）贯彻执行国家财税法律、法规和税收调整政策，反馈政策执行情况，提出调整建议；参与市管理权限内有关税收政策及税收政策调整方案的调查研究，提出对策建议。</w:t>
      </w:r>
    </w:p>
    <w:p>
      <w:pPr>
        <w:widowControl/>
        <w:spacing w:line="500" w:lineRule="auto"/>
        <w:ind w:firstLine="627" w:firstLineChars="196"/>
        <w:rPr>
          <w:rFonts w:hint="eastAsia" w:eastAsia="仿宋_GB2312"/>
          <w:sz w:val="32"/>
          <w:szCs w:val="32"/>
        </w:rPr>
      </w:pPr>
      <w:r>
        <w:rPr>
          <w:rFonts w:hint="eastAsia" w:eastAsia="仿宋_GB2312"/>
          <w:sz w:val="32"/>
          <w:szCs w:val="32"/>
        </w:rPr>
        <w:t>（7）负责制定全市行政事业单位国有资产管理规章制度，按规定管理行政事业单位国有资产，制定需要全市统一规定的开支标准和支出政策，负责财政预算内行政、事业单位和社会团体的非贸易外汇管理。</w:t>
      </w:r>
    </w:p>
    <w:p>
      <w:pPr>
        <w:widowControl/>
        <w:spacing w:line="500" w:lineRule="auto"/>
        <w:ind w:firstLine="627" w:firstLineChars="196"/>
        <w:rPr>
          <w:rFonts w:hint="eastAsia" w:eastAsia="仿宋_GB2312"/>
          <w:sz w:val="32"/>
          <w:szCs w:val="32"/>
        </w:rPr>
      </w:pPr>
      <w:r>
        <w:rPr>
          <w:rFonts w:hint="eastAsia" w:eastAsia="仿宋_GB2312"/>
          <w:sz w:val="32"/>
          <w:szCs w:val="32"/>
        </w:rPr>
        <w:t>（8）负责审核和汇总编制全市国有资本经营预决算草案，制定国有资本经营预算的制度和办法，收取市本级企业国有资本收益，组织实施企业财务制度，按规定管理地方金嘈类企业国有资产，参与拟订企业国有资产管理相关制度，负责未纳入市国资委监管企业的国有资产管理，管理资产评估工作。</w:t>
      </w:r>
    </w:p>
    <w:p>
      <w:pPr>
        <w:widowControl/>
        <w:spacing w:line="500" w:lineRule="auto"/>
        <w:ind w:firstLine="627" w:firstLineChars="196"/>
        <w:rPr>
          <w:rFonts w:hint="eastAsia" w:eastAsia="仿宋_GB2312"/>
          <w:sz w:val="32"/>
          <w:szCs w:val="32"/>
        </w:rPr>
      </w:pPr>
      <w:r>
        <w:rPr>
          <w:rFonts w:hint="eastAsia" w:eastAsia="仿宋_GB2312"/>
          <w:sz w:val="32"/>
          <w:szCs w:val="32"/>
        </w:rPr>
        <w:t>（9）负责办理和监督市级财政的经济发展支出、市级政府性投资项目的财政拨款，参与拟订市建设投资的有关政策，组织实施基本建设财务制度，负责有关政策性补贴和专项储备资金财政管理工作。</w:t>
      </w:r>
    </w:p>
    <w:p>
      <w:pPr>
        <w:widowControl/>
        <w:spacing w:line="500" w:lineRule="auto"/>
        <w:ind w:firstLine="627" w:firstLineChars="196"/>
        <w:rPr>
          <w:rFonts w:hint="eastAsia" w:eastAsia="仿宋_GB2312"/>
          <w:sz w:val="32"/>
          <w:szCs w:val="32"/>
        </w:rPr>
      </w:pPr>
      <w:r>
        <w:rPr>
          <w:rFonts w:hint="eastAsia" w:eastAsia="仿宋_GB2312"/>
          <w:sz w:val="32"/>
          <w:szCs w:val="32"/>
        </w:rPr>
        <w:t>（10）会同有关部门管理市级财政社会保障和就业及医疗卫生支出，组织实施社会保障资金(基金)的财务管理制度，编制市社会保障预决算草案。</w:t>
      </w:r>
    </w:p>
    <w:p>
      <w:pPr>
        <w:widowControl/>
        <w:spacing w:line="500" w:lineRule="auto"/>
        <w:ind w:firstLine="627" w:firstLineChars="196"/>
        <w:rPr>
          <w:rFonts w:hint="eastAsia" w:eastAsia="仿宋_GB2312"/>
          <w:sz w:val="32"/>
          <w:szCs w:val="32"/>
        </w:rPr>
      </w:pPr>
      <w:r>
        <w:rPr>
          <w:rFonts w:hint="eastAsia" w:eastAsia="仿宋_GB2312"/>
          <w:sz w:val="32"/>
          <w:szCs w:val="32"/>
        </w:rPr>
        <w:t>（11）贯彻执行政府内外债务管理的政策、制度和办法，防范财政风险；负责统一管理市政府外债，制定基本管理制度，按规定管理外国政府和国外金融组织贷(赠)款；承担财税领域交流与合作的具体工作。</w:t>
      </w:r>
    </w:p>
    <w:p>
      <w:pPr>
        <w:widowControl/>
        <w:spacing w:line="500" w:lineRule="auto"/>
        <w:ind w:firstLine="627" w:firstLineChars="196"/>
        <w:rPr>
          <w:rFonts w:hint="eastAsia" w:eastAsia="仿宋_GB2312"/>
          <w:sz w:val="32"/>
          <w:szCs w:val="32"/>
        </w:rPr>
      </w:pPr>
      <w:r>
        <w:rPr>
          <w:rFonts w:hint="eastAsia" w:eastAsia="仿宋_GB2312"/>
          <w:sz w:val="32"/>
          <w:szCs w:val="32"/>
        </w:rPr>
        <w:t>（12）负责管理全市的会计工作，监督和规范会计行为，组织实施国家统一的会计制度，组织实施全省会计行政法规规章，指导和监督注册会计师和会计师事务所的业务，指导和管理社会审计。</w:t>
      </w:r>
    </w:p>
    <w:p>
      <w:pPr>
        <w:widowControl/>
        <w:spacing w:line="500" w:lineRule="auto"/>
        <w:ind w:firstLine="627" w:firstLineChars="196"/>
        <w:rPr>
          <w:rFonts w:hint="eastAsia" w:eastAsia="仿宋_GB2312"/>
          <w:sz w:val="32"/>
          <w:szCs w:val="32"/>
        </w:rPr>
      </w:pPr>
      <w:r>
        <w:rPr>
          <w:rFonts w:hint="eastAsia" w:eastAsia="仿宋_GB2312"/>
          <w:sz w:val="32"/>
          <w:szCs w:val="32"/>
        </w:rPr>
        <w:t>（13）监督检查财税法规、政策的执行情况，反映财政收支管理中的重大问题，提出加强财政管理的政策和建议。</w:t>
      </w:r>
    </w:p>
    <w:p>
      <w:pPr>
        <w:widowControl/>
        <w:spacing w:line="500" w:lineRule="auto"/>
        <w:ind w:firstLine="627" w:firstLineChars="196"/>
        <w:rPr>
          <w:rFonts w:hint="eastAsia" w:eastAsia="仿宋_GB2312"/>
          <w:sz w:val="32"/>
          <w:szCs w:val="32"/>
        </w:rPr>
      </w:pPr>
      <w:r>
        <w:rPr>
          <w:rFonts w:hint="eastAsia" w:eastAsia="仿宋_GB2312"/>
          <w:sz w:val="32"/>
          <w:szCs w:val="32"/>
        </w:rPr>
        <w:t>（14）研究分析国家金融政策、宏观金融形势和全市金融运行情况，会同有关部门推进全市金融市场体系建设。</w:t>
      </w:r>
    </w:p>
    <w:p>
      <w:pPr>
        <w:widowControl/>
        <w:spacing w:line="500" w:lineRule="auto"/>
        <w:ind w:firstLine="627" w:firstLineChars="196"/>
        <w:rPr>
          <w:rFonts w:hint="eastAsia" w:eastAsia="仿宋_GB2312"/>
          <w:sz w:val="32"/>
          <w:szCs w:val="32"/>
        </w:rPr>
      </w:pPr>
      <w:r>
        <w:rPr>
          <w:rFonts w:hint="eastAsia" w:eastAsia="仿宋_GB2312"/>
          <w:sz w:val="32"/>
          <w:szCs w:val="32"/>
        </w:rPr>
        <w:t> （15）负责联系省驻怀金融管理部门、各类金融机构；组织开展政府与金融机构合作、金融机构和企业对接，引导、协调和鼓励金融机构加大对全市经济社会发展的支持力度。</w:t>
      </w:r>
    </w:p>
    <w:p>
      <w:pPr>
        <w:widowControl/>
        <w:spacing w:line="500" w:lineRule="auto"/>
        <w:ind w:firstLine="627" w:firstLineChars="196"/>
        <w:rPr>
          <w:rFonts w:hint="eastAsia" w:eastAsia="仿宋_GB2312"/>
          <w:sz w:val="32"/>
          <w:szCs w:val="32"/>
        </w:rPr>
      </w:pPr>
      <w:r>
        <w:rPr>
          <w:rFonts w:hint="eastAsia" w:eastAsia="仿宋_GB2312"/>
          <w:sz w:val="32"/>
          <w:szCs w:val="32"/>
        </w:rPr>
        <w:t> （16）指导全市村镇银行、小额贷款公司、融资性担保机构等地方金融机构的改革、发展、监管和重组；会同有关部门推进全市社会信用体系建设和金融安全区创建，推进改善金融生态环境。</w:t>
      </w:r>
    </w:p>
    <w:p>
      <w:pPr>
        <w:widowControl/>
        <w:spacing w:line="500" w:lineRule="auto"/>
        <w:ind w:firstLine="627" w:firstLineChars="196"/>
        <w:rPr>
          <w:rFonts w:hint="eastAsia" w:eastAsia="仿宋_GB2312"/>
          <w:sz w:val="32"/>
          <w:szCs w:val="32"/>
        </w:rPr>
      </w:pPr>
      <w:r>
        <w:rPr>
          <w:rFonts w:hint="eastAsia" w:eastAsia="仿宋_GB2312"/>
          <w:sz w:val="32"/>
          <w:szCs w:val="32"/>
        </w:rPr>
        <w:t>（1</w:t>
      </w:r>
      <w:r>
        <w:rPr>
          <w:rFonts w:hint="eastAsia" w:eastAsia="仿宋_GB2312"/>
          <w:sz w:val="32"/>
          <w:szCs w:val="32"/>
          <w:lang w:val="en-US" w:eastAsia="zh-CN"/>
        </w:rPr>
        <w:t>7</w:t>
      </w:r>
      <w:r>
        <w:rPr>
          <w:rFonts w:hint="eastAsia" w:eastAsia="仿宋_GB2312"/>
          <w:sz w:val="32"/>
          <w:szCs w:val="32"/>
        </w:rPr>
        <w:t>）指导、协调发行地方政府债券工作。</w:t>
      </w:r>
    </w:p>
    <w:p>
      <w:pPr>
        <w:widowControl/>
        <w:spacing w:line="500" w:lineRule="auto"/>
        <w:ind w:firstLine="627" w:firstLineChars="196"/>
        <w:rPr>
          <w:rFonts w:hint="eastAsia" w:eastAsia="仿宋_GB2312"/>
          <w:sz w:val="32"/>
          <w:szCs w:val="32"/>
        </w:rPr>
      </w:pPr>
      <w:r>
        <w:rPr>
          <w:rFonts w:hint="eastAsia" w:eastAsia="仿宋_GB2312"/>
          <w:sz w:val="32"/>
          <w:szCs w:val="32"/>
        </w:rPr>
        <w:t>（</w:t>
      </w:r>
      <w:r>
        <w:rPr>
          <w:rFonts w:hint="eastAsia" w:eastAsia="仿宋_GB2312"/>
          <w:sz w:val="32"/>
          <w:szCs w:val="32"/>
          <w:lang w:val="en-US" w:eastAsia="zh-CN"/>
        </w:rPr>
        <w:t>18</w:t>
      </w:r>
      <w:r>
        <w:rPr>
          <w:rFonts w:hint="eastAsia" w:eastAsia="仿宋_GB2312"/>
          <w:sz w:val="32"/>
          <w:szCs w:val="32"/>
        </w:rPr>
        <w:t>）</w:t>
      </w:r>
      <w:r>
        <w:rPr>
          <w:rFonts w:hint="eastAsia" w:eastAsia="仿宋_GB2312"/>
          <w:sz w:val="32"/>
          <w:szCs w:val="32"/>
          <w:lang w:eastAsia="zh-CN"/>
        </w:rPr>
        <w:t>履行国有金融资本管理，起草年度国有资产管理综合报告及行政事业性国有资产（含行政事业单位经管资产）和金融企业国有资产专项报告，负责全面实施预算绩效管理相关工作，研究拟定政府购买服务制度和政策并组织实施并组织实施职责。</w:t>
      </w:r>
    </w:p>
    <w:p>
      <w:pPr>
        <w:widowControl/>
        <w:spacing w:line="500" w:lineRule="auto"/>
        <w:ind w:firstLine="627" w:firstLineChars="196"/>
        <w:rPr>
          <w:rFonts w:hint="eastAsia" w:eastAsia="仿宋_GB2312"/>
          <w:sz w:val="32"/>
          <w:szCs w:val="32"/>
        </w:rPr>
      </w:pPr>
      <w:r>
        <w:rPr>
          <w:rFonts w:hint="eastAsia" w:eastAsia="仿宋_GB2312"/>
          <w:sz w:val="32"/>
          <w:szCs w:val="32"/>
          <w:lang w:val="en-US" w:eastAsia="zh-CN"/>
        </w:rPr>
        <w:t>（19）</w:t>
      </w:r>
      <w:r>
        <w:rPr>
          <w:rFonts w:hint="eastAsia" w:eastAsia="仿宋_GB2312"/>
          <w:sz w:val="32"/>
          <w:szCs w:val="32"/>
        </w:rPr>
        <w:t>承办市委、市人民政府交办的其他事项。</w:t>
      </w:r>
    </w:p>
    <w:p>
      <w:pPr>
        <w:widowControl/>
        <w:spacing w:line="600" w:lineRule="exact"/>
        <w:ind w:left="0" w:leftChars="0" w:firstLine="640" w:firstLineChars="200"/>
        <w:rPr>
          <w:rFonts w:ascii="黑体" w:hAnsi="黑体" w:eastAsia="黑体"/>
          <w:bCs/>
          <w:kern w:val="0"/>
          <w:sz w:val="32"/>
          <w:szCs w:val="32"/>
        </w:rPr>
      </w:pPr>
      <w:r>
        <w:rPr>
          <w:rFonts w:hint="eastAsia" w:ascii="黑体" w:hAnsi="黑体" w:eastAsia="黑体"/>
          <w:bCs/>
          <w:kern w:val="0"/>
          <w:sz w:val="32"/>
          <w:szCs w:val="32"/>
        </w:rPr>
        <w:t>二、机构设置及决算单位构成</w:t>
      </w:r>
    </w:p>
    <w:p>
      <w:pPr>
        <w:pStyle w:val="11"/>
        <w:spacing w:before="0" w:beforeAutospacing="0" w:after="0" w:afterAutospacing="0" w:line="375" w:lineRule="atLeast"/>
        <w:ind w:firstLine="640"/>
        <w:rPr>
          <w:rFonts w:hint="eastAsia" w:eastAsia="仿宋_GB2312" w:asciiTheme="minorHAnsi" w:hAnsiTheme="minorHAnsi" w:cstheme="minorBidi"/>
          <w:kern w:val="2"/>
          <w:sz w:val="32"/>
          <w:szCs w:val="32"/>
          <w:lang w:val="en-US" w:eastAsia="zh-CN" w:bidi="ar-SA"/>
        </w:rPr>
      </w:pPr>
      <w:r>
        <w:rPr>
          <w:rFonts w:hint="eastAsia" w:asciiTheme="minorEastAsia" w:hAnsiTheme="minorEastAsia"/>
          <w:bCs/>
          <w:kern w:val="0"/>
          <w:sz w:val="32"/>
          <w:szCs w:val="32"/>
        </w:rPr>
        <w:t>（一）内设机构设置。</w:t>
      </w:r>
    </w:p>
    <w:p>
      <w:pPr>
        <w:widowControl/>
        <w:spacing w:line="500" w:lineRule="auto"/>
        <w:ind w:firstLine="588" w:firstLineChars="196"/>
        <w:rPr>
          <w:rFonts w:hint="eastAsia" w:eastAsia="仿宋_GB2312" w:asciiTheme="minorHAnsi" w:hAnsiTheme="minorHAnsi" w:cstheme="minorBidi"/>
          <w:kern w:val="2"/>
          <w:sz w:val="32"/>
          <w:szCs w:val="32"/>
          <w:lang w:val="en-US" w:eastAsia="zh-CN" w:bidi="ar-SA"/>
        </w:rPr>
      </w:pPr>
      <w:r>
        <w:rPr>
          <w:rFonts w:hint="eastAsia" w:ascii="仿宋_GB2312" w:hAnsi="仿宋" w:eastAsia="仿宋_GB2312"/>
          <w:sz w:val="30"/>
          <w:szCs w:val="30"/>
        </w:rPr>
        <w:t>怀化市财政局属依法设立的怀化市人民政府工作部门，属全额拨款的行政事业单位，行政级别正处级。</w:t>
      </w:r>
      <w:r>
        <w:rPr>
          <w:rFonts w:hint="eastAsia" w:eastAsia="仿宋_GB2312"/>
          <w:sz w:val="30"/>
          <w:szCs w:val="30"/>
        </w:rPr>
        <w:t>内设科室</w:t>
      </w:r>
      <w:r>
        <w:rPr>
          <w:rFonts w:hint="eastAsia" w:eastAsia="仿宋_GB2312"/>
          <w:sz w:val="30"/>
          <w:szCs w:val="30"/>
          <w:lang w:val="en-US" w:eastAsia="zh-CN"/>
        </w:rPr>
        <w:t>30个</w:t>
      </w:r>
      <w:r>
        <w:rPr>
          <w:rFonts w:hint="eastAsia" w:eastAsia="仿宋_GB2312"/>
          <w:sz w:val="30"/>
          <w:szCs w:val="30"/>
        </w:rPr>
        <w:t>。下辖</w:t>
      </w:r>
      <w:r>
        <w:rPr>
          <w:rFonts w:hint="eastAsia" w:eastAsia="仿宋_GB2312"/>
          <w:sz w:val="30"/>
          <w:szCs w:val="30"/>
          <w:lang w:val="en-US" w:eastAsia="zh-CN"/>
        </w:rPr>
        <w:t>3个副处级事业单位。</w:t>
      </w:r>
      <w:r>
        <w:rPr>
          <w:rFonts w:hint="eastAsia" w:ascii="仿宋_GB2312" w:hAnsi="仿宋_GB2312" w:eastAsia="仿宋_GB2312" w:cs="仿宋_GB2312"/>
          <w:color w:val="313131"/>
          <w:sz w:val="32"/>
          <w:szCs w:val="32"/>
        </w:rPr>
        <w:t>现有在职干部职工</w:t>
      </w:r>
      <w:r>
        <w:rPr>
          <w:rFonts w:hint="eastAsia" w:ascii="仿宋_GB2312" w:hAnsi="仿宋_GB2312" w:eastAsia="仿宋_GB2312" w:cs="仿宋_GB2312"/>
          <w:color w:val="313131"/>
          <w:sz w:val="32"/>
          <w:szCs w:val="32"/>
          <w:lang w:val="en-US" w:eastAsia="zh-CN"/>
        </w:rPr>
        <w:t>199</w:t>
      </w:r>
      <w:r>
        <w:rPr>
          <w:rFonts w:hint="eastAsia" w:ascii="仿宋_GB2312" w:hAnsi="仿宋_GB2312" w:eastAsia="仿宋_GB2312" w:cs="仿宋_GB2312"/>
          <w:color w:val="313131"/>
          <w:sz w:val="32"/>
          <w:szCs w:val="32"/>
        </w:rPr>
        <w:t>人</w:t>
      </w:r>
      <w:r>
        <w:rPr>
          <w:rFonts w:hint="eastAsia" w:ascii="仿宋_GB2312" w:hAnsi="仿宋_GB2312" w:eastAsia="仿宋_GB2312" w:cs="仿宋_GB2312"/>
          <w:color w:val="313131"/>
          <w:sz w:val="32"/>
          <w:szCs w:val="32"/>
          <w:lang w:val="en-US" w:eastAsia="zh-CN"/>
        </w:rPr>
        <w:t>,</w:t>
      </w:r>
      <w:r>
        <w:rPr>
          <w:rFonts w:hint="eastAsia" w:ascii="仿宋_GB2312" w:hAnsi="仿宋" w:eastAsia="仿宋_GB2312"/>
          <w:sz w:val="32"/>
          <w:szCs w:val="32"/>
        </w:rPr>
        <w:t>离休人员</w:t>
      </w:r>
      <w:r>
        <w:rPr>
          <w:rFonts w:hint="eastAsia" w:ascii="仿宋_GB2312" w:hAnsi="仿宋" w:eastAsia="仿宋_GB2312"/>
          <w:sz w:val="32"/>
          <w:szCs w:val="32"/>
          <w:lang w:val="en-US" w:eastAsia="zh-CN"/>
        </w:rPr>
        <w:t>1</w:t>
      </w:r>
      <w:r>
        <w:rPr>
          <w:rFonts w:hint="eastAsia" w:ascii="仿宋_GB2312" w:hAnsi="仿宋" w:eastAsia="仿宋_GB2312"/>
          <w:sz w:val="32"/>
          <w:szCs w:val="32"/>
        </w:rPr>
        <w:t>人</w:t>
      </w:r>
      <w:r>
        <w:rPr>
          <w:rFonts w:hint="eastAsia" w:ascii="仿宋_GB2312" w:hAnsi="仿宋_GB2312" w:eastAsia="仿宋_GB2312" w:cs="仿宋_GB2312"/>
          <w:color w:val="313131"/>
          <w:sz w:val="32"/>
          <w:szCs w:val="32"/>
        </w:rPr>
        <w:t>。</w:t>
      </w:r>
    </w:p>
    <w:p>
      <w:pPr>
        <w:pStyle w:val="11"/>
        <w:numPr>
          <w:ilvl w:val="0"/>
          <w:numId w:val="2"/>
        </w:numPr>
        <w:spacing w:before="0" w:beforeAutospacing="0" w:after="0" w:afterAutospacing="0" w:line="375" w:lineRule="atLeast"/>
        <w:ind w:firstLine="640"/>
        <w:rPr>
          <w:rFonts w:hint="eastAsia" w:asciiTheme="minorEastAsia" w:hAnsiTheme="minorEastAsia"/>
          <w:bCs/>
          <w:kern w:val="0"/>
          <w:sz w:val="32"/>
          <w:szCs w:val="32"/>
        </w:rPr>
      </w:pPr>
      <w:r>
        <w:rPr>
          <w:rFonts w:hint="eastAsia" w:asciiTheme="minorEastAsia" w:hAnsiTheme="minorEastAsia"/>
          <w:bCs/>
          <w:kern w:val="0"/>
          <w:sz w:val="32"/>
          <w:szCs w:val="32"/>
        </w:rPr>
        <w:t>决算单位构成。</w:t>
      </w:r>
    </w:p>
    <w:p>
      <w:pPr>
        <w:pStyle w:val="11"/>
        <w:numPr>
          <w:ilvl w:val="0"/>
          <w:numId w:val="0"/>
        </w:numPr>
        <w:spacing w:before="0" w:beforeAutospacing="0" w:after="0" w:afterAutospacing="0" w:line="375" w:lineRule="atLeast"/>
        <w:ind w:firstLine="640" w:firstLineChars="200"/>
        <w:rPr>
          <w:rFonts w:hint="eastAsia" w:eastAsia="仿宋_GB2312" w:asciiTheme="minorHAnsi" w:hAnsiTheme="minorHAnsi" w:cstheme="minorBidi"/>
          <w:kern w:val="2"/>
          <w:sz w:val="32"/>
          <w:szCs w:val="32"/>
          <w:lang w:val="en-US" w:eastAsia="zh-CN" w:bidi="ar-SA"/>
        </w:rPr>
      </w:pPr>
      <w:r>
        <w:rPr>
          <w:rFonts w:hint="eastAsia" w:eastAsia="仿宋_GB2312" w:asciiTheme="minorHAnsi" w:hAnsiTheme="minorHAnsi" w:cstheme="minorBidi"/>
          <w:kern w:val="2"/>
          <w:sz w:val="32"/>
          <w:szCs w:val="32"/>
          <w:lang w:val="en-US" w:eastAsia="zh-CN" w:bidi="ar-SA"/>
        </w:rPr>
        <w:t>怀化市财政局为一级部门预算单位，2024年部门决算汇总公开单位构成包括：怀化市财政局本级。</w:t>
      </w: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6"/>
        <w:jc w:val="center"/>
        <w:rPr>
          <w:rFonts w:hint="eastAsia"/>
          <w:sz w:val="72"/>
          <w:szCs w:val="72"/>
        </w:rPr>
      </w:pPr>
    </w:p>
    <w:p>
      <w:pPr>
        <w:pStyle w:val="16"/>
        <w:jc w:val="center"/>
        <w:rPr>
          <w:rFonts w:hint="eastAsia"/>
          <w:sz w:val="72"/>
          <w:szCs w:val="72"/>
        </w:rPr>
      </w:pPr>
    </w:p>
    <w:p>
      <w:pPr>
        <w:pStyle w:val="16"/>
        <w:jc w:val="center"/>
        <w:rPr>
          <w:rFonts w:hint="eastAsia"/>
          <w:sz w:val="72"/>
          <w:szCs w:val="72"/>
        </w:rPr>
      </w:pPr>
      <w:r>
        <w:rPr>
          <w:rFonts w:hint="eastAsia"/>
          <w:sz w:val="72"/>
          <w:szCs w:val="72"/>
        </w:rPr>
        <w:t>第二部分</w:t>
      </w:r>
    </w:p>
    <w:p>
      <w:pPr>
        <w:pStyle w:val="16"/>
        <w:jc w:val="center"/>
        <w:rPr>
          <w:rFonts w:hint="eastAsia"/>
          <w:sz w:val="72"/>
          <w:szCs w:val="72"/>
        </w:rPr>
      </w:pPr>
    </w:p>
    <w:p>
      <w:pPr>
        <w:pStyle w:val="16"/>
        <w:jc w:val="center"/>
        <w:rPr>
          <w:rFonts w:hint="eastAsia"/>
          <w:sz w:val="72"/>
          <w:szCs w:val="72"/>
        </w:rPr>
      </w:pPr>
      <w:r>
        <w:rPr>
          <w:rFonts w:hint="eastAsia"/>
          <w:sz w:val="72"/>
          <w:szCs w:val="72"/>
        </w:rPr>
        <w:t>部门决算表</w:t>
      </w:r>
    </w:p>
    <w:p>
      <w:pPr>
        <w:pStyle w:val="16"/>
        <w:jc w:val="center"/>
        <w:rPr>
          <w:rFonts w:hint="eastAsia"/>
          <w:sz w:val="72"/>
          <w:szCs w:val="72"/>
        </w:rPr>
      </w:pPr>
    </w:p>
    <w:p>
      <w:pPr>
        <w:pStyle w:val="16"/>
        <w:jc w:val="center"/>
        <w:rPr>
          <w:rFonts w:hint="eastAsia"/>
          <w:sz w:val="72"/>
          <w:szCs w:val="72"/>
        </w:rPr>
      </w:pPr>
    </w:p>
    <w:p>
      <w:pPr>
        <w:pStyle w:val="16"/>
        <w:jc w:val="center"/>
        <w:rPr>
          <w:rFonts w:hint="eastAsia"/>
          <w:sz w:val="72"/>
          <w:szCs w:val="72"/>
        </w:rPr>
      </w:pPr>
    </w:p>
    <w:p>
      <w:pPr>
        <w:pStyle w:val="16"/>
        <w:jc w:val="center"/>
        <w:rPr>
          <w:rFonts w:hint="eastAsia"/>
          <w:sz w:val="40"/>
          <w:szCs w:val="40"/>
          <w:lang w:eastAsia="zh-CN"/>
        </w:rPr>
      </w:pPr>
      <w:r>
        <w:rPr>
          <w:rFonts w:hint="eastAsia"/>
          <w:sz w:val="40"/>
          <w:szCs w:val="40"/>
          <w:lang w:eastAsia="zh-CN"/>
        </w:rPr>
        <w:t>见附件</w:t>
      </w:r>
    </w:p>
    <w:p>
      <w:pPr>
        <w:pStyle w:val="16"/>
        <w:jc w:val="center"/>
        <w:rPr>
          <w:rFonts w:hint="eastAsia"/>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1117" w:bottom="720" w:left="1684" w:header="851" w:footer="992" w:gutter="0"/>
          <w:cols w:space="0" w:num="1"/>
          <w:rtlGutter w:val="0"/>
          <w:docGrid w:type="lines" w:linePitch="312" w:charSpace="0"/>
        </w:sectPr>
      </w:pPr>
    </w:p>
    <w:p>
      <w:pPr>
        <w:pStyle w:val="16"/>
        <w:rPr>
          <w:sz w:val="72"/>
          <w:szCs w:val="72"/>
        </w:rPr>
      </w:pPr>
    </w:p>
    <w:p>
      <w:pPr>
        <w:pStyle w:val="16"/>
        <w:rPr>
          <w:sz w:val="72"/>
          <w:szCs w:val="72"/>
        </w:rPr>
      </w:pPr>
    </w:p>
    <w:p>
      <w:pPr>
        <w:pStyle w:val="16"/>
        <w:rPr>
          <w:sz w:val="72"/>
          <w:szCs w:val="72"/>
        </w:rPr>
      </w:pPr>
    </w:p>
    <w:p>
      <w:pPr>
        <w:pStyle w:val="16"/>
        <w:rPr>
          <w:sz w:val="72"/>
          <w:szCs w:val="72"/>
        </w:rPr>
      </w:pPr>
    </w:p>
    <w:p>
      <w:pPr>
        <w:pStyle w:val="16"/>
        <w:jc w:val="center"/>
        <w:rPr>
          <w:sz w:val="72"/>
          <w:szCs w:val="72"/>
        </w:rPr>
      </w:pPr>
    </w:p>
    <w:p>
      <w:pPr>
        <w:pStyle w:val="16"/>
        <w:jc w:val="center"/>
        <w:rPr>
          <w:sz w:val="72"/>
          <w:szCs w:val="72"/>
        </w:rPr>
      </w:pPr>
    </w:p>
    <w:p>
      <w:pPr>
        <w:pStyle w:val="16"/>
        <w:jc w:val="center"/>
        <w:rPr>
          <w:sz w:val="72"/>
          <w:szCs w:val="72"/>
        </w:rPr>
      </w:pPr>
      <w:r>
        <w:rPr>
          <w:rFonts w:hint="eastAsia"/>
          <w:sz w:val="72"/>
          <w:szCs w:val="72"/>
        </w:rPr>
        <w:t>第三部分</w:t>
      </w:r>
    </w:p>
    <w:p>
      <w:pPr>
        <w:pStyle w:val="16"/>
        <w:jc w:val="center"/>
        <w:rPr>
          <w:sz w:val="70"/>
          <w:szCs w:val="70"/>
        </w:rPr>
      </w:pPr>
    </w:p>
    <w:p>
      <w:pPr>
        <w:pStyle w:val="16"/>
        <w:jc w:val="center"/>
        <w:rPr>
          <w:sz w:val="70"/>
          <w:szCs w:val="70"/>
        </w:rPr>
      </w:pPr>
      <w:r>
        <w:rPr>
          <w:sz w:val="70"/>
          <w:szCs w:val="70"/>
        </w:rPr>
        <w:t>20</w:t>
      </w:r>
      <w:r>
        <w:rPr>
          <w:rFonts w:hint="eastAsia"/>
          <w:sz w:val="70"/>
          <w:szCs w:val="70"/>
        </w:rPr>
        <w:t>2</w:t>
      </w:r>
      <w:r>
        <w:rPr>
          <w:rFonts w:hint="eastAsia"/>
          <w:sz w:val="70"/>
          <w:szCs w:val="70"/>
          <w:lang w:val="en-US" w:eastAsia="zh-CN"/>
        </w:rPr>
        <w:t>4</w:t>
      </w:r>
      <w:r>
        <w:rPr>
          <w:rFonts w:hint="eastAsia"/>
          <w:sz w:val="70"/>
          <w:szCs w:val="70"/>
        </w:rPr>
        <w:t>年度部门决算情况说明</w:t>
      </w:r>
    </w:p>
    <w:p>
      <w:pPr>
        <w:widowControl/>
        <w:jc w:val="left"/>
        <w:rPr>
          <w:rFonts w:ascii="黑体" w:eastAsia="黑体" w:cs="黑体"/>
          <w:color w:val="000000"/>
          <w:kern w:val="0"/>
          <w:sz w:val="70"/>
          <w:szCs w:val="70"/>
        </w:rPr>
      </w:pPr>
      <w:r>
        <w:rPr>
          <w:sz w:val="70"/>
          <w:szCs w:val="70"/>
        </w:rPr>
        <w:br w:type="page"/>
      </w:r>
    </w:p>
    <w:p>
      <w:pPr>
        <w:pStyle w:val="16"/>
        <w:ind w:left="0" w:leftChars="0" w:firstLine="640" w:firstLineChars="200"/>
        <w:rPr>
          <w:rFonts w:hAnsi="黑体"/>
          <w:b/>
          <w:sz w:val="32"/>
          <w:szCs w:val="32"/>
        </w:rPr>
      </w:pPr>
      <w:r>
        <w:rPr>
          <w:rFonts w:hint="eastAsia" w:hAnsi="黑体"/>
          <w:b/>
          <w:sz w:val="32"/>
          <w:szCs w:val="32"/>
        </w:rPr>
        <w:t>一、收入支出决算总体情况说明</w:t>
      </w:r>
    </w:p>
    <w:p>
      <w:pPr>
        <w:pStyle w:val="16"/>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年度收、支总计</w:t>
      </w:r>
      <w:r>
        <w:rPr>
          <w:rFonts w:hint="eastAsia" w:ascii="仿宋_GB2312" w:hAnsi="仿宋_GB2312" w:eastAsia="仿宋_GB2312" w:cs="仿宋_GB2312"/>
          <w:sz w:val="32"/>
          <w:szCs w:val="32"/>
          <w:lang w:val="en-US" w:eastAsia="zh-CN"/>
        </w:rPr>
        <w:t>各4880.55万</w:t>
      </w:r>
      <w:r>
        <w:rPr>
          <w:rFonts w:hint="eastAsia" w:ascii="仿宋_GB2312" w:hAnsi="仿宋_GB2312" w:eastAsia="仿宋_GB2312" w:cs="仿宋_GB2312"/>
          <w:sz w:val="32"/>
          <w:szCs w:val="32"/>
        </w:rPr>
        <w:t>元。与上年相比，</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209.3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4.48</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主要是因为</w:t>
      </w:r>
      <w:r>
        <w:rPr>
          <w:rFonts w:hint="eastAsia" w:ascii="仿宋_GB2312" w:hAnsi="仿宋_GB2312" w:eastAsia="仿宋_GB2312" w:cs="仿宋_GB2312"/>
          <w:color w:val="auto"/>
          <w:sz w:val="32"/>
          <w:szCs w:val="32"/>
          <w:lang w:eastAsia="zh-CN"/>
        </w:rPr>
        <w:t>一般公共预算财政拨款收入增加。</w:t>
      </w:r>
    </w:p>
    <w:p>
      <w:pPr>
        <w:pStyle w:val="16"/>
        <w:ind w:left="0" w:leftChars="0" w:firstLine="640" w:firstLineChars="200"/>
        <w:rPr>
          <w:rFonts w:hAnsi="黑体"/>
          <w:b/>
          <w:sz w:val="32"/>
          <w:szCs w:val="32"/>
        </w:rPr>
      </w:pPr>
      <w:r>
        <w:rPr>
          <w:rFonts w:hint="eastAsia" w:hAnsi="黑体"/>
          <w:b/>
          <w:sz w:val="32"/>
          <w:szCs w:val="32"/>
        </w:rPr>
        <w:t>二、收入决算情况说明</w:t>
      </w:r>
    </w:p>
    <w:p>
      <w:pPr>
        <w:pStyle w:val="16"/>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年度收入合计</w:t>
      </w:r>
      <w:r>
        <w:rPr>
          <w:rFonts w:hint="eastAsia" w:ascii="仿宋_GB2312" w:hAnsi="仿宋_GB2312" w:eastAsia="仿宋_GB2312" w:cs="仿宋_GB2312"/>
          <w:sz w:val="32"/>
          <w:szCs w:val="32"/>
          <w:lang w:val="en-US" w:eastAsia="zh-CN"/>
        </w:rPr>
        <w:t>4880.55</w:t>
      </w:r>
      <w:r>
        <w:rPr>
          <w:rFonts w:hint="eastAsia" w:ascii="仿宋_GB2312" w:hAnsi="仿宋_GB2312" w:eastAsia="仿宋_GB2312" w:cs="仿宋_GB2312"/>
          <w:sz w:val="32"/>
          <w:szCs w:val="32"/>
        </w:rPr>
        <w:t>万元，其中：财政拨款收入</w:t>
      </w:r>
      <w:r>
        <w:rPr>
          <w:rFonts w:hint="eastAsia" w:ascii="仿宋_GB2312" w:hAnsi="仿宋_GB2312" w:eastAsia="仿宋_GB2312" w:cs="仿宋_GB2312"/>
          <w:sz w:val="32"/>
          <w:szCs w:val="32"/>
          <w:lang w:val="en-US" w:eastAsia="zh-CN"/>
        </w:rPr>
        <w:t>4880.55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pPr>
        <w:pStyle w:val="16"/>
        <w:ind w:left="0" w:leftChars="0" w:firstLine="640" w:firstLineChars="200"/>
        <w:rPr>
          <w:rFonts w:hAnsi="黑体"/>
          <w:b/>
          <w:sz w:val="32"/>
          <w:szCs w:val="32"/>
        </w:rPr>
      </w:pPr>
      <w:r>
        <w:rPr>
          <w:rFonts w:hint="eastAsia" w:hAnsi="黑体"/>
          <w:b/>
          <w:sz w:val="32"/>
          <w:szCs w:val="32"/>
        </w:rPr>
        <w:t>三、支出决算情况说明</w:t>
      </w:r>
    </w:p>
    <w:p>
      <w:pPr>
        <w:pStyle w:val="16"/>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年度支出合计</w:t>
      </w:r>
      <w:r>
        <w:rPr>
          <w:rFonts w:hint="eastAsia" w:ascii="仿宋_GB2312" w:hAnsi="仿宋_GB2312" w:eastAsia="仿宋_GB2312" w:cs="仿宋_GB2312"/>
          <w:sz w:val="32"/>
          <w:szCs w:val="32"/>
          <w:lang w:val="en-US" w:eastAsia="zh-CN"/>
        </w:rPr>
        <w:t>4880.55</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3504.93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71.81</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1375.62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28.19</w:t>
      </w:r>
      <w:r>
        <w:rPr>
          <w:rFonts w:hint="eastAsia" w:ascii="仿宋_GB2312" w:hAnsi="仿宋_GB2312" w:eastAsia="仿宋_GB2312" w:cs="仿宋_GB2312"/>
          <w:sz w:val="32"/>
          <w:szCs w:val="32"/>
        </w:rPr>
        <w:t>%。</w:t>
      </w:r>
    </w:p>
    <w:p>
      <w:pPr>
        <w:pStyle w:val="16"/>
        <w:ind w:left="0" w:leftChars="0" w:firstLine="640" w:firstLineChars="200"/>
        <w:rPr>
          <w:rFonts w:hAnsi="黑体"/>
          <w:b/>
          <w:sz w:val="32"/>
          <w:szCs w:val="32"/>
        </w:rPr>
      </w:pPr>
      <w:r>
        <w:rPr>
          <w:rFonts w:hint="eastAsia" w:hAnsi="黑体"/>
          <w:b/>
          <w:sz w:val="32"/>
          <w:szCs w:val="32"/>
        </w:rPr>
        <w:t>四、财政拨款收入支出决算总体情况说明</w:t>
      </w:r>
    </w:p>
    <w:p>
      <w:pPr>
        <w:pStyle w:val="16"/>
        <w:ind w:left="0" w:leftChars="0" w:firstLine="640" w:firstLineChars="200"/>
        <w:rPr>
          <w:rFonts w:asciiTheme="minorEastAsia" w:hAnsiTheme="minorEastAsia" w:eastAsiaTheme="minorEastAsia"/>
          <w:color w:val="auto"/>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年度财政拨款收、支总计</w:t>
      </w:r>
      <w:r>
        <w:rPr>
          <w:rFonts w:hint="eastAsia" w:ascii="仿宋_GB2312" w:hAnsi="仿宋_GB2312" w:eastAsia="仿宋_GB2312" w:cs="仿宋_GB2312"/>
          <w:sz w:val="32"/>
          <w:szCs w:val="32"/>
          <w:lang w:val="en-US" w:eastAsia="zh-CN"/>
        </w:rPr>
        <w:t>各4880.55</w:t>
      </w:r>
      <w:r>
        <w:rPr>
          <w:rFonts w:hint="eastAsia" w:ascii="仿宋_GB2312" w:hAnsi="仿宋_GB2312" w:eastAsia="仿宋_GB2312" w:cs="仿宋_GB2312"/>
          <w:sz w:val="32"/>
          <w:szCs w:val="32"/>
        </w:rPr>
        <w:t>万元，与上年相比，</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209.3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4.48</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主要是因为</w:t>
      </w:r>
      <w:r>
        <w:rPr>
          <w:rFonts w:hint="eastAsia" w:ascii="仿宋_GB2312" w:hAnsi="仿宋_GB2312" w:eastAsia="仿宋_GB2312" w:cs="仿宋_GB2312"/>
          <w:color w:val="auto"/>
          <w:sz w:val="32"/>
          <w:szCs w:val="32"/>
          <w:lang w:eastAsia="zh-CN"/>
        </w:rPr>
        <w:t>一般公共预算财政拨款收入增加。</w:t>
      </w:r>
    </w:p>
    <w:p>
      <w:pPr>
        <w:pStyle w:val="16"/>
        <w:ind w:left="0" w:leftChars="0" w:firstLine="640" w:firstLineChars="200"/>
        <w:rPr>
          <w:rFonts w:hAnsi="黑体"/>
          <w:b/>
          <w:sz w:val="32"/>
          <w:szCs w:val="32"/>
        </w:rPr>
      </w:pPr>
      <w:r>
        <w:rPr>
          <w:rFonts w:hint="eastAsia" w:hAnsi="黑体"/>
          <w:b/>
          <w:sz w:val="32"/>
          <w:szCs w:val="32"/>
        </w:rPr>
        <w:t>五、一般公共预算财政拨款支出决算情况说明</w:t>
      </w:r>
    </w:p>
    <w:p>
      <w:pPr>
        <w:pStyle w:val="16"/>
        <w:ind w:left="0" w:leftChars="0"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pPr>
        <w:pStyle w:val="16"/>
        <w:ind w:left="0" w:leftChars="0" w:firstLine="640" w:firstLineChars="200"/>
        <w:rPr>
          <w:rFonts w:hint="eastAsia" w:ascii="仿宋_GB2312" w:hAnsi="仿宋_GB2312" w:eastAsia="仿宋_GB2312" w:cs="仿宋_GB2312"/>
          <w:color w:val="0000FF"/>
          <w:sz w:val="32"/>
          <w:szCs w:val="32"/>
          <w:highlight w:val="none"/>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年度财政拨款支出</w:t>
      </w:r>
      <w:r>
        <w:rPr>
          <w:rFonts w:hint="eastAsia" w:ascii="仿宋_GB2312" w:hAnsi="仿宋_GB2312" w:eastAsia="仿宋_GB2312" w:cs="仿宋_GB2312"/>
          <w:sz w:val="32"/>
          <w:szCs w:val="32"/>
          <w:lang w:val="en-US" w:eastAsia="zh-CN"/>
        </w:rPr>
        <w:t>4880.55</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，与上年相比，财政拨款支出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209.3</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4.48</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highlight w:val="none"/>
        </w:rPr>
        <w:t>主要是因为</w:t>
      </w:r>
      <w:r>
        <w:rPr>
          <w:rFonts w:hint="eastAsia" w:ascii="仿宋_GB2312" w:hAnsi="仿宋_GB2312" w:eastAsia="仿宋_GB2312" w:cs="仿宋_GB2312"/>
          <w:color w:val="auto"/>
          <w:sz w:val="32"/>
          <w:szCs w:val="32"/>
          <w:highlight w:val="none"/>
          <w:lang w:eastAsia="zh-CN"/>
        </w:rPr>
        <w:t>人员支出、项目支出有所增长。</w:t>
      </w:r>
    </w:p>
    <w:p>
      <w:pPr>
        <w:pStyle w:val="16"/>
        <w:ind w:left="0" w:leftChars="0"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pPr>
        <w:pStyle w:val="16"/>
        <w:ind w:left="0" w:leftChars="0" w:firstLine="640" w:firstLineChars="2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年度财政拨款支出</w:t>
      </w:r>
      <w:r>
        <w:rPr>
          <w:rFonts w:hint="eastAsia" w:ascii="仿宋_GB2312" w:hAnsi="仿宋_GB2312" w:eastAsia="仿宋_GB2312" w:cs="仿宋_GB2312"/>
          <w:sz w:val="32"/>
          <w:szCs w:val="32"/>
          <w:lang w:val="en-US" w:eastAsia="zh-CN"/>
        </w:rPr>
        <w:t>4880.55</w:t>
      </w:r>
      <w:r>
        <w:rPr>
          <w:rFonts w:hint="eastAsia" w:ascii="仿宋_GB2312" w:hAnsi="仿宋_GB2312" w:eastAsia="仿宋_GB2312" w:cs="仿宋_GB2312"/>
          <w:sz w:val="32"/>
          <w:szCs w:val="32"/>
        </w:rPr>
        <w:t>万元，主要用于以下方面：一般公共服务（类）支出</w:t>
      </w:r>
      <w:r>
        <w:rPr>
          <w:rFonts w:hint="eastAsia" w:ascii="仿宋_GB2312" w:hAnsi="仿宋_GB2312" w:eastAsia="仿宋_GB2312" w:cs="仿宋_GB2312"/>
          <w:sz w:val="32"/>
          <w:szCs w:val="32"/>
          <w:lang w:val="en-US" w:eastAsia="zh-CN"/>
        </w:rPr>
        <w:t>4166.13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85.36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社会保障和就业支出</w:t>
      </w:r>
      <w:r>
        <w:rPr>
          <w:rFonts w:hint="eastAsia" w:ascii="仿宋_GB2312" w:hAnsi="仿宋_GB2312" w:eastAsia="仿宋_GB2312" w:cs="仿宋_GB2312"/>
          <w:sz w:val="32"/>
          <w:szCs w:val="32"/>
          <w:lang w:val="en-US" w:eastAsia="zh-CN"/>
        </w:rPr>
        <w:t>343.54万元，</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7.04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；卫生健康支出</w:t>
      </w:r>
      <w:r>
        <w:rPr>
          <w:rFonts w:hint="eastAsia" w:ascii="仿宋_GB2312" w:hAnsi="仿宋_GB2312" w:eastAsia="仿宋_GB2312" w:cs="仿宋_GB2312"/>
          <w:sz w:val="32"/>
          <w:szCs w:val="32"/>
          <w:lang w:val="en-US" w:eastAsia="zh-CN"/>
        </w:rPr>
        <w:t>122.65万元，占2.51%；住房保障支出248.23万元，占5.09%。</w:t>
      </w:r>
    </w:p>
    <w:p>
      <w:pPr>
        <w:pStyle w:val="16"/>
        <w:ind w:left="0" w:leftChars="0"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pPr>
        <w:pStyle w:val="16"/>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年度财政拨款支出年初预算数为</w:t>
      </w:r>
      <w:r>
        <w:rPr>
          <w:rFonts w:hint="eastAsia" w:ascii="仿宋_GB2312" w:hAnsi="仿宋_GB2312" w:eastAsia="仿宋_GB2312" w:cs="仿宋_GB2312"/>
          <w:sz w:val="32"/>
          <w:szCs w:val="32"/>
          <w:lang w:val="en-US" w:eastAsia="zh-CN"/>
        </w:rPr>
        <w:t>5369.17</w:t>
      </w:r>
      <w:r>
        <w:rPr>
          <w:rFonts w:hint="eastAsia" w:ascii="仿宋_GB2312" w:hAnsi="仿宋_GB2312" w:eastAsia="仿宋_GB2312" w:cs="仿宋_GB2312"/>
          <w:sz w:val="32"/>
          <w:szCs w:val="32"/>
        </w:rPr>
        <w:t>万元，支出决算数为</w:t>
      </w:r>
      <w:r>
        <w:rPr>
          <w:rFonts w:hint="eastAsia" w:ascii="仿宋_GB2312" w:hAnsi="仿宋_GB2312" w:eastAsia="仿宋_GB2312" w:cs="仿宋_GB2312"/>
          <w:sz w:val="32"/>
          <w:szCs w:val="32"/>
          <w:lang w:val="en-US" w:eastAsia="zh-CN"/>
        </w:rPr>
        <w:t>4880.55</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90.9</w:t>
      </w:r>
      <w:r>
        <w:rPr>
          <w:rFonts w:hint="eastAsia" w:ascii="仿宋_GB2312" w:hAnsi="仿宋_GB2312" w:eastAsia="仿宋_GB2312" w:cs="仿宋_GB2312"/>
          <w:sz w:val="32"/>
          <w:szCs w:val="32"/>
        </w:rPr>
        <w:t>%，其中：</w:t>
      </w:r>
    </w:p>
    <w:p>
      <w:pPr>
        <w:pStyle w:val="16"/>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1、一般公共服务支出（类）</w:t>
      </w:r>
      <w:r>
        <w:rPr>
          <w:rFonts w:hint="eastAsia" w:ascii="仿宋_GB2312" w:hAnsi="仿宋_GB2312" w:eastAsia="仿宋_GB2312" w:cs="仿宋_GB2312"/>
          <w:sz w:val="32"/>
          <w:szCs w:val="32"/>
          <w:lang w:eastAsia="zh-CN"/>
        </w:rPr>
        <w:t>财政事务</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行政运行</w:t>
      </w:r>
      <w:r>
        <w:rPr>
          <w:rFonts w:hint="eastAsia" w:ascii="仿宋_GB2312" w:hAnsi="仿宋_GB2312" w:eastAsia="仿宋_GB2312" w:cs="仿宋_GB2312"/>
          <w:sz w:val="32"/>
          <w:szCs w:val="32"/>
        </w:rPr>
        <w:t>（项）。</w:t>
      </w:r>
    </w:p>
    <w:p>
      <w:pPr>
        <w:pStyle w:val="16"/>
        <w:ind w:left="0" w:leftChars="0" w:firstLine="640" w:firstLineChars="200"/>
        <w:rPr>
          <w:rFonts w:hint="eastAsia" w:ascii="仿宋_GB2312" w:hAnsi="仿宋_GB2312" w:eastAsia="仿宋_GB2312" w:cs="仿宋_GB2312"/>
          <w:color w:val="0000FF"/>
          <w:sz w:val="32"/>
          <w:szCs w:val="32"/>
        </w:rPr>
      </w:pPr>
      <w:r>
        <w:rPr>
          <w:rFonts w:hint="eastAsia" w:ascii="仿宋_GB2312" w:hAnsi="仿宋_GB2312" w:eastAsia="仿宋_GB2312" w:cs="仿宋_GB2312"/>
          <w:color w:val="auto"/>
          <w:sz w:val="32"/>
          <w:szCs w:val="32"/>
        </w:rPr>
        <w:t>年初预算2614.5</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为万元，支出决算为</w:t>
      </w:r>
      <w:r>
        <w:rPr>
          <w:rFonts w:hint="eastAsia" w:ascii="仿宋_GB2312" w:hAnsi="仿宋_GB2312" w:eastAsia="仿宋_GB2312" w:cs="仿宋_GB2312"/>
          <w:color w:val="auto"/>
          <w:sz w:val="32"/>
          <w:szCs w:val="32"/>
          <w:lang w:val="en-US" w:eastAsia="zh-CN"/>
        </w:rPr>
        <w:t>2785.03</w:t>
      </w:r>
      <w:r>
        <w:rPr>
          <w:rFonts w:hint="eastAsia" w:ascii="仿宋_GB2312" w:hAnsi="仿宋_GB2312" w:eastAsia="仿宋_GB2312" w:cs="仿宋_GB2312"/>
          <w:color w:val="auto"/>
          <w:sz w:val="32"/>
          <w:szCs w:val="32"/>
        </w:rPr>
        <w:t>万元，完成年初预算的</w:t>
      </w:r>
      <w:r>
        <w:rPr>
          <w:rFonts w:hint="eastAsia" w:ascii="仿宋_GB2312" w:hAnsi="仿宋_GB2312" w:eastAsia="仿宋_GB2312" w:cs="仿宋_GB2312"/>
          <w:color w:val="auto"/>
          <w:sz w:val="32"/>
          <w:szCs w:val="32"/>
          <w:lang w:val="en-US" w:eastAsia="zh-CN"/>
        </w:rPr>
        <w:t>106.52</w:t>
      </w:r>
      <w:r>
        <w:rPr>
          <w:rFonts w:hint="eastAsia" w:ascii="仿宋_GB2312" w:hAnsi="仿宋_GB2312" w:eastAsia="仿宋_GB2312" w:cs="仿宋_GB2312"/>
          <w:color w:val="auto"/>
          <w:sz w:val="32"/>
          <w:szCs w:val="32"/>
        </w:rPr>
        <w:t>%，决算数</w:t>
      </w:r>
      <w:r>
        <w:rPr>
          <w:rFonts w:hint="eastAsia" w:ascii="仿宋_GB2312" w:hAnsi="仿宋_GB2312" w:eastAsia="仿宋_GB2312" w:cs="仿宋_GB2312"/>
          <w:color w:val="auto"/>
          <w:sz w:val="32"/>
          <w:szCs w:val="32"/>
          <w:lang w:eastAsia="zh-CN"/>
        </w:rPr>
        <w:t>大于</w:t>
      </w:r>
      <w:r>
        <w:rPr>
          <w:rFonts w:hint="eastAsia" w:ascii="仿宋_GB2312" w:hAnsi="仿宋_GB2312" w:eastAsia="仿宋_GB2312" w:cs="仿宋_GB2312"/>
          <w:color w:val="auto"/>
          <w:sz w:val="32"/>
          <w:szCs w:val="32"/>
        </w:rPr>
        <w:t>年初预算数的主要原因是：</w:t>
      </w:r>
      <w:r>
        <w:rPr>
          <w:rFonts w:hint="eastAsia" w:ascii="仿宋_GB2312" w:hAnsi="仿宋_GB2312" w:eastAsia="仿宋_GB2312" w:cs="仿宋_GB2312"/>
          <w:color w:val="auto"/>
          <w:sz w:val="32"/>
          <w:szCs w:val="32"/>
          <w:lang w:eastAsia="zh-CN"/>
        </w:rPr>
        <w:t>当年新进人员有所增加导致的工资支出增加。</w:t>
      </w:r>
    </w:p>
    <w:p>
      <w:pPr>
        <w:pStyle w:val="16"/>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2、一般公共服务支出（类）</w:t>
      </w:r>
      <w:r>
        <w:rPr>
          <w:rFonts w:hint="eastAsia" w:ascii="仿宋_GB2312" w:hAnsi="仿宋_GB2312" w:eastAsia="仿宋_GB2312" w:cs="仿宋_GB2312"/>
          <w:sz w:val="32"/>
          <w:szCs w:val="32"/>
          <w:lang w:eastAsia="zh-CN"/>
        </w:rPr>
        <w:t>财政事务</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一般行政管理事务</w:t>
      </w:r>
      <w:r>
        <w:rPr>
          <w:rFonts w:hint="eastAsia" w:ascii="仿宋_GB2312" w:hAnsi="仿宋_GB2312" w:eastAsia="仿宋_GB2312" w:cs="仿宋_GB2312"/>
          <w:sz w:val="32"/>
          <w:szCs w:val="32"/>
        </w:rPr>
        <w:t>（项）。</w:t>
      </w:r>
    </w:p>
    <w:p>
      <w:pPr>
        <w:pStyle w:val="16"/>
        <w:ind w:left="8" w:leftChars="0" w:right="63" w:rightChars="30" w:firstLine="632" w:firstLineChars="0"/>
        <w:rPr>
          <w:rFonts w:hint="eastAsia" w:ascii="仿宋_GB2312" w:hAnsi="仿宋_GB2312" w:eastAsia="仿宋_GB2312" w:cs="仿宋_GB2312"/>
          <w:color w:val="4F81BD" w:themeColor="accent1"/>
          <w:sz w:val="32"/>
          <w:szCs w:val="32"/>
          <w:highlight w:val="none"/>
          <w:lang w:eastAsia="zh-CN"/>
          <w14:textFill>
            <w14:gradFill>
              <w14:gsLst>
                <w14:gs w14:pos="0">
                  <w14:srgbClr w14:val="007BD3"/>
                </w14:gs>
                <w14:gs w14:pos="100000">
                  <w14:srgbClr w14:val="034373"/>
                </w14:gs>
              </w14:gsLst>
              <w14:lin w14:scaled="0"/>
            </w14:gradFill>
          </w14:textFill>
        </w:rPr>
      </w:pPr>
      <w:r>
        <w:rPr>
          <w:rFonts w:hint="eastAsia" w:ascii="仿宋_GB2312" w:hAnsi="仿宋_GB2312" w:eastAsia="仿宋_GB2312" w:cs="仿宋_GB2312"/>
          <w:color w:val="auto"/>
          <w:sz w:val="32"/>
          <w:szCs w:val="32"/>
        </w:rPr>
        <w:t>年初预算为</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万元，支出决算为</w:t>
      </w:r>
      <w:r>
        <w:rPr>
          <w:rFonts w:hint="eastAsia" w:ascii="仿宋_GB2312" w:hAnsi="仿宋_GB2312" w:eastAsia="仿宋_GB2312" w:cs="仿宋_GB2312"/>
          <w:color w:val="auto"/>
          <w:sz w:val="32"/>
          <w:szCs w:val="32"/>
          <w:lang w:val="en-US" w:eastAsia="zh-CN"/>
        </w:rPr>
        <w:t>89.77</w:t>
      </w:r>
      <w:r>
        <w:rPr>
          <w:rFonts w:hint="eastAsia" w:ascii="仿宋_GB2312" w:hAnsi="仿宋_GB2312" w:eastAsia="仿宋_GB2312" w:cs="仿宋_GB2312"/>
          <w:color w:val="auto"/>
          <w:sz w:val="32"/>
          <w:szCs w:val="32"/>
        </w:rPr>
        <w:t>万元，完成年初预算的</w:t>
      </w:r>
      <w:r>
        <w:rPr>
          <w:rFonts w:hint="eastAsia" w:ascii="仿宋_GB2312" w:hAnsi="仿宋_GB2312" w:eastAsia="仿宋_GB2312" w:cs="仿宋_GB2312"/>
          <w:color w:val="auto"/>
          <w:sz w:val="32"/>
          <w:szCs w:val="32"/>
          <w:lang w:val="en-US" w:eastAsia="zh-CN"/>
        </w:rPr>
        <w:t>89.77</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highlight w:val="none"/>
        </w:rPr>
        <w:t>决算数</w:t>
      </w:r>
      <w:r>
        <w:rPr>
          <w:rFonts w:hint="eastAsia" w:ascii="仿宋_GB2312" w:hAnsi="仿宋_GB2312" w:eastAsia="仿宋_GB2312" w:cs="仿宋_GB2312"/>
          <w:color w:val="auto"/>
          <w:sz w:val="32"/>
          <w:szCs w:val="32"/>
          <w:highlight w:val="none"/>
          <w:lang w:eastAsia="zh-CN"/>
        </w:rPr>
        <w:t>小于</w:t>
      </w:r>
      <w:r>
        <w:rPr>
          <w:rFonts w:hint="eastAsia" w:ascii="仿宋_GB2312" w:hAnsi="仿宋_GB2312" w:eastAsia="仿宋_GB2312" w:cs="仿宋_GB2312"/>
          <w:color w:val="auto"/>
          <w:sz w:val="32"/>
          <w:szCs w:val="32"/>
          <w:highlight w:val="none"/>
        </w:rPr>
        <w:t>年初预算数</w:t>
      </w:r>
      <w:r>
        <w:rPr>
          <w:rFonts w:hint="eastAsia" w:ascii="仿宋_GB2312" w:hAnsi="仿宋_GB2312" w:eastAsia="仿宋_GB2312" w:cs="仿宋_GB2312"/>
          <w:color w:val="auto"/>
          <w:sz w:val="32"/>
          <w:szCs w:val="32"/>
          <w:highlight w:val="none"/>
          <w:lang w:eastAsia="zh-CN"/>
        </w:rPr>
        <w:t>的主要原因是票据工本费项目支出减少。</w:t>
      </w:r>
    </w:p>
    <w:p>
      <w:pPr>
        <w:pStyle w:val="16"/>
        <w:numPr>
          <w:ilvl w:val="0"/>
          <w:numId w:val="3"/>
        </w:numPr>
        <w:ind w:left="8" w:leftChars="0" w:right="63" w:rightChars="30" w:firstLine="632"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一般公共服务支出（类）</w:t>
      </w:r>
      <w:r>
        <w:rPr>
          <w:rFonts w:hint="eastAsia" w:ascii="仿宋_GB2312" w:hAnsi="仿宋_GB2312" w:eastAsia="仿宋_GB2312" w:cs="仿宋_GB2312"/>
          <w:sz w:val="32"/>
          <w:szCs w:val="32"/>
          <w:lang w:eastAsia="zh-CN"/>
        </w:rPr>
        <w:t>财政事务</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其他财政事务支出</w:t>
      </w:r>
      <w:r>
        <w:rPr>
          <w:rFonts w:hint="eastAsia" w:ascii="仿宋_GB2312" w:hAnsi="仿宋_GB2312" w:eastAsia="仿宋_GB2312" w:cs="仿宋_GB2312"/>
          <w:sz w:val="32"/>
          <w:szCs w:val="32"/>
        </w:rPr>
        <w:t>（项）。</w:t>
      </w:r>
    </w:p>
    <w:p>
      <w:pPr>
        <w:pStyle w:val="16"/>
        <w:ind w:left="8" w:leftChars="0" w:right="63" w:rightChars="30" w:firstLine="632" w:firstLineChars="0"/>
        <w:rPr>
          <w:rFonts w:hint="eastAsia" w:ascii="仿宋_GB2312" w:hAnsi="仿宋_GB2312" w:eastAsia="仿宋_GB2312" w:cs="仿宋_GB2312"/>
          <w:color w:val="0000FF"/>
          <w:sz w:val="32"/>
          <w:szCs w:val="32"/>
          <w:highlight w:val="none"/>
          <w:lang w:eastAsia="zh-CN"/>
        </w:rPr>
      </w:pPr>
      <w:r>
        <w:rPr>
          <w:rFonts w:hint="eastAsia" w:ascii="仿宋_GB2312" w:hAnsi="仿宋_GB2312" w:eastAsia="仿宋_GB2312" w:cs="仿宋_GB2312"/>
          <w:color w:val="auto"/>
          <w:sz w:val="32"/>
          <w:szCs w:val="32"/>
          <w:lang w:eastAsia="zh-CN"/>
        </w:rPr>
        <w:t>年初预算为</w:t>
      </w:r>
      <w:r>
        <w:rPr>
          <w:rFonts w:hint="eastAsia" w:ascii="仿宋_GB2312" w:hAnsi="仿宋_GB2312" w:eastAsia="仿宋_GB2312" w:cs="仿宋_GB2312"/>
          <w:color w:val="auto"/>
          <w:sz w:val="32"/>
          <w:szCs w:val="32"/>
          <w:lang w:val="en-US" w:eastAsia="zh-CN"/>
        </w:rPr>
        <w:t>1973.09万元，支出决算1290.88万元，完成年初预算的65.42%，</w:t>
      </w:r>
      <w:r>
        <w:rPr>
          <w:rFonts w:hint="eastAsia" w:ascii="仿宋_GB2312" w:hAnsi="仿宋_GB2312" w:eastAsia="仿宋_GB2312" w:cs="仿宋_GB2312"/>
          <w:color w:val="auto"/>
          <w:sz w:val="32"/>
          <w:szCs w:val="32"/>
          <w:highlight w:val="none"/>
          <w:lang w:val="en-US" w:eastAsia="zh-CN"/>
        </w:rPr>
        <w:t>决算数小于年初预算数的主要原因是为了贯彻“过紧日子”要求，压减一般性支出。</w:t>
      </w:r>
    </w:p>
    <w:p>
      <w:pPr>
        <w:pStyle w:val="16"/>
        <w:numPr>
          <w:ilvl w:val="0"/>
          <w:numId w:val="3"/>
        </w:numPr>
        <w:ind w:left="8" w:leftChars="0" w:right="63" w:rightChars="30" w:firstLine="632"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其他一般公共服务支出（类）其他一般公共服务支出（项）</w:t>
      </w:r>
      <w:r>
        <w:rPr>
          <w:rFonts w:hint="eastAsia" w:ascii="仿宋_GB2312" w:hAnsi="仿宋_GB2312" w:eastAsia="仿宋_GB2312" w:cs="仿宋_GB2312"/>
          <w:sz w:val="32"/>
          <w:szCs w:val="32"/>
          <w:lang w:eastAsia="zh-CN"/>
        </w:rPr>
        <w:t>。</w:t>
      </w:r>
    </w:p>
    <w:p>
      <w:pPr>
        <w:pStyle w:val="16"/>
        <w:numPr>
          <w:ilvl w:val="0"/>
          <w:numId w:val="0"/>
        </w:numPr>
        <w:ind w:left="8" w:leftChars="0" w:right="63" w:rightChars="30" w:firstLine="632" w:firstLine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年初预算为0万元，支出决算为0.45万元，该项支出为追加的预算支出项目，主要用于2023年真抓实干工</w:t>
      </w:r>
      <w:bookmarkStart w:id="0" w:name="_GoBack"/>
      <w:bookmarkEnd w:id="0"/>
      <w:r>
        <w:rPr>
          <w:rFonts w:hint="eastAsia" w:ascii="仿宋_GB2312" w:hAnsi="仿宋_GB2312" w:eastAsia="仿宋_GB2312" w:cs="仿宋_GB2312"/>
          <w:color w:val="auto"/>
          <w:sz w:val="32"/>
          <w:szCs w:val="32"/>
          <w:lang w:val="en-US" w:eastAsia="zh-CN"/>
        </w:rPr>
        <w:t>作三等功奖金。</w:t>
      </w:r>
    </w:p>
    <w:p>
      <w:pPr>
        <w:pStyle w:val="16"/>
        <w:numPr>
          <w:ilvl w:val="0"/>
          <w:numId w:val="3"/>
        </w:numPr>
        <w:ind w:left="8" w:leftChars="0" w:right="63" w:rightChars="30" w:firstLine="632"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公共安全支出（类）其他公共安全支出</w:t>
      </w:r>
      <w:r>
        <w:rPr>
          <w:rFonts w:hint="eastAsia" w:ascii="仿宋_GB2312" w:hAnsi="仿宋_GB2312" w:eastAsia="仿宋_GB2312" w:cs="仿宋_GB2312"/>
          <w:sz w:val="32"/>
          <w:szCs w:val="32"/>
          <w:lang w:val="en-US" w:eastAsia="zh-CN"/>
        </w:rPr>
        <w:t>（款）</w:t>
      </w:r>
      <w:r>
        <w:rPr>
          <w:rFonts w:hint="eastAsia" w:ascii="仿宋_GB2312" w:hAnsi="仿宋_GB2312" w:eastAsia="仿宋_GB2312" w:cs="仿宋_GB2312"/>
          <w:sz w:val="32"/>
          <w:szCs w:val="32"/>
        </w:rPr>
        <w:t>其他公共安全支出</w:t>
      </w:r>
      <w:r>
        <w:rPr>
          <w:rFonts w:hint="eastAsia" w:ascii="仿宋_GB2312" w:hAnsi="仿宋_GB2312" w:eastAsia="仿宋_GB2312" w:cs="仿宋_GB2312"/>
          <w:sz w:val="32"/>
          <w:szCs w:val="32"/>
          <w:lang w:val="en-US" w:eastAsia="zh-CN"/>
        </w:rPr>
        <w:t>(项）。</w:t>
      </w:r>
    </w:p>
    <w:p>
      <w:pPr>
        <w:pStyle w:val="16"/>
        <w:numPr>
          <w:ilvl w:val="0"/>
          <w:numId w:val="0"/>
        </w:numPr>
        <w:ind w:left="8" w:leftChars="0" w:right="63" w:rightChars="30" w:firstLine="632" w:firstLineChars="0"/>
        <w:rPr>
          <w:rFonts w:hint="eastAsia"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color w:val="auto"/>
          <w:sz w:val="32"/>
          <w:szCs w:val="32"/>
          <w:lang w:eastAsia="zh-CN"/>
        </w:rPr>
        <w:t>年初预算为</w:t>
      </w:r>
      <w:r>
        <w:rPr>
          <w:rFonts w:hint="eastAsia" w:ascii="仿宋_GB2312" w:hAnsi="仿宋_GB2312" w:eastAsia="仿宋_GB2312" w:cs="仿宋_GB2312"/>
          <w:color w:val="auto"/>
          <w:sz w:val="32"/>
          <w:szCs w:val="32"/>
          <w:lang w:val="en-US" w:eastAsia="zh-CN"/>
        </w:rPr>
        <w:t>0万元，支出决算0万元。</w:t>
      </w:r>
    </w:p>
    <w:p>
      <w:pPr>
        <w:pStyle w:val="16"/>
        <w:numPr>
          <w:ilvl w:val="0"/>
          <w:numId w:val="0"/>
        </w:numPr>
        <w:ind w:left="640" w:leftChars="0" w:right="63" w:rightChars="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6、社会保障和就业支出（类）行政事业单位养老支出（款）行政单位离退休(项）。</w:t>
      </w:r>
    </w:p>
    <w:p>
      <w:pPr>
        <w:pStyle w:val="16"/>
        <w:numPr>
          <w:ilvl w:val="0"/>
          <w:numId w:val="0"/>
        </w:numPr>
        <w:ind w:left="0" w:leftChars="0" w:right="63" w:rightChars="3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color w:val="auto"/>
          <w:sz w:val="32"/>
          <w:szCs w:val="32"/>
          <w:lang w:val="en-US" w:eastAsia="zh-CN"/>
        </w:rPr>
        <w:t>67.22</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color w:val="auto"/>
          <w:sz w:val="32"/>
          <w:szCs w:val="32"/>
          <w:lang w:val="en-US" w:eastAsia="zh-CN"/>
        </w:rPr>
        <w:t>21.39</w:t>
      </w:r>
      <w:r>
        <w:rPr>
          <w:rFonts w:hint="eastAsia" w:ascii="仿宋_GB2312" w:hAnsi="仿宋_GB2312" w:eastAsia="仿宋_GB2312" w:cs="仿宋_GB2312"/>
          <w:sz w:val="32"/>
          <w:szCs w:val="32"/>
          <w:lang w:val="en-US" w:eastAsia="zh-CN"/>
        </w:rPr>
        <w:t>万元，完成年初预算的31.82%</w:t>
      </w:r>
      <w:r>
        <w:rPr>
          <w:rFonts w:hint="eastAsia" w:ascii="仿宋_GB2312" w:hAnsi="仿宋_GB2312" w:eastAsia="仿宋_GB2312" w:cs="仿宋_GB2312"/>
          <w:color w:val="auto"/>
          <w:sz w:val="32"/>
          <w:szCs w:val="32"/>
          <w:lang w:val="en-US" w:eastAsia="zh-CN"/>
        </w:rPr>
        <w:t>，决算数小于年初数的原因主要是支出项目减少。</w:t>
      </w:r>
    </w:p>
    <w:p>
      <w:pPr>
        <w:pStyle w:val="16"/>
        <w:numPr>
          <w:ilvl w:val="0"/>
          <w:numId w:val="0"/>
        </w:numPr>
        <w:ind w:left="9" w:leftChars="0" w:right="63" w:rightChars="30" w:firstLine="624" w:firstLineChars="19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7、社会保障和就业支出（类）行政事业单位离退休（款）机关事业单位基本养老保险缴费支出（项）</w:t>
      </w:r>
    </w:p>
    <w:p>
      <w:pPr>
        <w:pStyle w:val="16"/>
        <w:numPr>
          <w:ilvl w:val="0"/>
          <w:numId w:val="0"/>
        </w:numPr>
        <w:ind w:left="8" w:leftChars="0" w:right="63" w:rightChars="30" w:firstLine="632" w:firstLine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年初预算为274.99万元，支出决算为</w:t>
      </w:r>
      <w:r>
        <w:rPr>
          <w:rFonts w:hint="eastAsia" w:ascii="仿宋_GB2312" w:hAnsi="仿宋_GB2312" w:eastAsia="仿宋_GB2312" w:cs="仿宋_GB2312"/>
          <w:color w:val="auto"/>
          <w:sz w:val="32"/>
          <w:szCs w:val="32"/>
          <w:lang w:val="en-US" w:eastAsia="zh-CN"/>
        </w:rPr>
        <w:t>299.49</w:t>
      </w:r>
      <w:r>
        <w:rPr>
          <w:rFonts w:hint="eastAsia" w:ascii="仿宋_GB2312" w:hAnsi="仿宋_GB2312" w:eastAsia="仿宋_GB2312" w:cs="仿宋_GB2312"/>
          <w:sz w:val="32"/>
          <w:szCs w:val="32"/>
          <w:lang w:val="en-US" w:eastAsia="zh-CN"/>
        </w:rPr>
        <w:t>万元，完成年初预算的108.91%，</w:t>
      </w:r>
      <w:r>
        <w:rPr>
          <w:rFonts w:hint="eastAsia" w:ascii="仿宋_GB2312" w:hAnsi="仿宋_GB2312" w:eastAsia="仿宋_GB2312" w:cs="仿宋_GB2312"/>
          <w:color w:val="auto"/>
          <w:sz w:val="32"/>
          <w:szCs w:val="32"/>
          <w:lang w:val="en-US" w:eastAsia="zh-CN"/>
        </w:rPr>
        <w:t>决算数大于年初数的原因主要是支出项目增加。</w:t>
      </w:r>
    </w:p>
    <w:p>
      <w:pPr>
        <w:pStyle w:val="16"/>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8、社会保障和就业支出（类）行政事业单位养老支出（款）其他行政事业单位养老支出（项）</w:t>
      </w:r>
    </w:p>
    <w:p>
      <w:pPr>
        <w:pStyle w:val="16"/>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年初预算为0万元，支出决算为</w:t>
      </w:r>
      <w:r>
        <w:rPr>
          <w:rFonts w:hint="eastAsia" w:ascii="仿宋_GB2312" w:hAnsi="仿宋_GB2312" w:eastAsia="仿宋_GB2312" w:cs="仿宋_GB2312"/>
          <w:color w:val="auto"/>
          <w:sz w:val="32"/>
          <w:szCs w:val="32"/>
          <w:lang w:val="en-US" w:eastAsia="zh-CN"/>
        </w:rPr>
        <w:t>22.66</w:t>
      </w:r>
      <w:r>
        <w:rPr>
          <w:rFonts w:hint="eastAsia" w:ascii="仿宋_GB2312" w:hAnsi="仿宋_GB2312" w:eastAsia="仿宋_GB2312" w:cs="仿宋_GB2312"/>
          <w:sz w:val="32"/>
          <w:szCs w:val="32"/>
          <w:lang w:val="en-US" w:eastAsia="zh-CN"/>
        </w:rPr>
        <w:t>万元，该项目为追加预算支出项目，主要用于退休人员春节生活补助。</w:t>
      </w:r>
    </w:p>
    <w:p>
      <w:pPr>
        <w:pStyle w:val="16"/>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9、卫生健康支出（类）行政事业单位医疗（款）行政单位医疗（项）</w:t>
      </w:r>
    </w:p>
    <w:p>
      <w:pPr>
        <w:pStyle w:val="16"/>
        <w:numPr>
          <w:ilvl w:val="0"/>
          <w:numId w:val="0"/>
        </w:numPr>
        <w:ind w:left="8" w:leftChars="0" w:right="63" w:rightChars="30" w:firstLine="632" w:firstLine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年初预算为134.20万元，支出决算为</w:t>
      </w:r>
      <w:r>
        <w:rPr>
          <w:rFonts w:hint="eastAsia" w:ascii="仿宋_GB2312" w:hAnsi="仿宋_GB2312" w:eastAsia="仿宋_GB2312" w:cs="仿宋_GB2312"/>
          <w:color w:val="auto"/>
          <w:sz w:val="32"/>
          <w:szCs w:val="32"/>
          <w:lang w:val="en-US" w:eastAsia="zh-CN"/>
        </w:rPr>
        <w:t>117.92</w:t>
      </w:r>
      <w:r>
        <w:rPr>
          <w:rFonts w:hint="eastAsia" w:ascii="仿宋_GB2312" w:hAnsi="仿宋_GB2312" w:eastAsia="仿宋_GB2312" w:cs="仿宋_GB2312"/>
          <w:sz w:val="32"/>
          <w:szCs w:val="32"/>
          <w:lang w:val="en-US" w:eastAsia="zh-CN"/>
        </w:rPr>
        <w:t>万元，完成年初预算的87.87%，</w:t>
      </w:r>
      <w:r>
        <w:rPr>
          <w:rFonts w:hint="eastAsia" w:ascii="仿宋_GB2312" w:hAnsi="仿宋_GB2312" w:eastAsia="仿宋_GB2312" w:cs="仿宋_GB2312"/>
          <w:color w:val="auto"/>
          <w:sz w:val="32"/>
          <w:szCs w:val="32"/>
          <w:lang w:val="en-US" w:eastAsia="zh-CN"/>
        </w:rPr>
        <w:t>决算数小于年初数的原因主要是支出项目减少。</w:t>
      </w:r>
    </w:p>
    <w:p>
      <w:pPr>
        <w:pStyle w:val="16"/>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10、卫生健康支出（类）医疗救助（款）城乡医疗救助（项）</w:t>
      </w:r>
    </w:p>
    <w:p>
      <w:pPr>
        <w:pStyle w:val="16"/>
        <w:numPr>
          <w:ilvl w:val="0"/>
          <w:numId w:val="0"/>
        </w:numPr>
        <w:ind w:left="8" w:leftChars="0" w:right="63" w:rightChars="30" w:firstLine="632" w:firstLineChars="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年初预算为0万元，支出决算为</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sz w:val="32"/>
          <w:szCs w:val="32"/>
          <w:lang w:val="en-US" w:eastAsia="zh-CN"/>
        </w:rPr>
        <w:t>万元，该项支出为追加的预算支出项目，主要用于医疗救助补助支出。</w:t>
      </w:r>
    </w:p>
    <w:p>
      <w:pPr>
        <w:pStyle w:val="16"/>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11、卫生健康支出（类）行政事业单位医疗（款）其他医疗救助支出（项）</w:t>
      </w:r>
    </w:p>
    <w:p>
      <w:pPr>
        <w:pStyle w:val="16"/>
        <w:numPr>
          <w:ilvl w:val="0"/>
          <w:numId w:val="0"/>
        </w:numPr>
        <w:ind w:left="8" w:leftChars="0" w:right="63" w:rightChars="30" w:firstLine="632"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年初预算为0万元，支出决算为</w:t>
      </w:r>
      <w:r>
        <w:rPr>
          <w:rFonts w:hint="eastAsia" w:ascii="仿宋_GB2312" w:hAnsi="仿宋_GB2312" w:eastAsia="仿宋_GB2312" w:cs="仿宋_GB2312"/>
          <w:color w:val="auto"/>
          <w:sz w:val="32"/>
          <w:szCs w:val="32"/>
          <w:lang w:val="en-US" w:eastAsia="zh-CN"/>
        </w:rPr>
        <w:t>0.80万</w:t>
      </w:r>
      <w:r>
        <w:rPr>
          <w:rFonts w:hint="eastAsia" w:ascii="仿宋_GB2312" w:hAnsi="仿宋_GB2312" w:eastAsia="仿宋_GB2312" w:cs="仿宋_GB2312"/>
          <w:sz w:val="32"/>
          <w:szCs w:val="32"/>
          <w:lang w:val="en-US" w:eastAsia="zh-CN"/>
        </w:rPr>
        <w:t>元，该项支出为追加的预算支出项目，主要用于大病医疗救助。</w:t>
      </w:r>
    </w:p>
    <w:p>
      <w:pPr>
        <w:pStyle w:val="16"/>
        <w:numPr>
          <w:ilvl w:val="0"/>
          <w:numId w:val="0"/>
        </w:numPr>
        <w:ind w:left="8" w:leftChars="0" w:right="63" w:rightChars="30" w:firstLine="632" w:firstLineChars="0"/>
        <w:rPr>
          <w:rFonts w:hint="default" w:ascii="仿宋_GB2312" w:hAnsi="仿宋_GB2312" w:eastAsia="仿宋_GB2312" w:cs="仿宋_GB2312"/>
          <w:sz w:val="32"/>
          <w:szCs w:val="32"/>
          <w:lang w:val="en-US" w:eastAsia="zh-CN"/>
        </w:rPr>
      </w:pPr>
    </w:p>
    <w:p>
      <w:pPr>
        <w:pStyle w:val="16"/>
        <w:numPr>
          <w:ilvl w:val="0"/>
          <w:numId w:val="0"/>
        </w:numPr>
        <w:ind w:left="640" w:leftChars="0" w:right="63" w:rightChars="30"/>
        <w:rPr>
          <w:rFonts w:hAnsi="黑体"/>
          <w:b/>
          <w:sz w:val="32"/>
          <w:szCs w:val="32"/>
        </w:rPr>
      </w:pPr>
      <w:r>
        <w:rPr>
          <w:rFonts w:hint="eastAsia" w:hAnsi="黑体"/>
          <w:b/>
          <w:sz w:val="32"/>
          <w:szCs w:val="32"/>
        </w:rPr>
        <w:t>六、一般公共预算财政拨款基本支出决算情况说明</w:t>
      </w:r>
    </w:p>
    <w:p>
      <w:pPr>
        <w:pStyle w:val="16"/>
        <w:ind w:left="8" w:leftChars="0" w:right="63" w:rightChars="30" w:firstLine="632"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年度财政拨款基本支出</w:t>
      </w:r>
      <w:r>
        <w:rPr>
          <w:rFonts w:hint="eastAsia" w:ascii="仿宋_GB2312" w:hAnsi="仿宋_GB2312" w:eastAsia="仿宋_GB2312" w:cs="仿宋_GB2312"/>
          <w:sz w:val="32"/>
          <w:szCs w:val="32"/>
          <w:lang w:val="en-US" w:eastAsia="zh-CN"/>
        </w:rPr>
        <w:t>3504.93</w:t>
      </w:r>
      <w:r>
        <w:rPr>
          <w:rFonts w:hint="eastAsia" w:ascii="仿宋_GB2312" w:hAnsi="仿宋_GB2312" w:eastAsia="仿宋_GB2312" w:cs="仿宋_GB2312"/>
          <w:sz w:val="32"/>
          <w:szCs w:val="32"/>
        </w:rPr>
        <w:t>万元，其中：人员经费</w:t>
      </w:r>
      <w:r>
        <w:rPr>
          <w:rFonts w:hint="eastAsia" w:ascii="仿宋_GB2312" w:hAnsi="仿宋_GB2312" w:eastAsia="仿宋_GB2312" w:cs="仿宋_GB2312"/>
          <w:sz w:val="32"/>
          <w:szCs w:val="32"/>
          <w:lang w:val="en-US" w:eastAsia="zh-CN"/>
        </w:rPr>
        <w:t>3110.67</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88.75</w:t>
      </w:r>
      <w:r>
        <w:rPr>
          <w:rFonts w:hint="eastAsia" w:ascii="仿宋_GB2312" w:hAnsi="仿宋_GB2312" w:eastAsia="仿宋_GB2312" w:cs="仿宋_GB2312"/>
          <w:sz w:val="32"/>
          <w:szCs w:val="32"/>
        </w:rPr>
        <w:t>%,主要包括基本工资、津贴补贴、奖金、伙食补助费</w:t>
      </w:r>
      <w:r>
        <w:rPr>
          <w:rFonts w:hint="eastAsia" w:ascii="仿宋_GB2312" w:hAnsi="仿宋_GB2312" w:eastAsia="仿宋_GB2312" w:cs="仿宋_GB2312"/>
          <w:sz w:val="32"/>
          <w:szCs w:val="32"/>
          <w:lang w:eastAsia="zh-CN"/>
        </w:rPr>
        <w:t>、绩效工资、机关事业单位基本养老保险缴费、职业年金缴费、职工基本医疗保险缴费、公务员医疗补助缴费、住房公积金、对个人和家庭的补助等</w:t>
      </w: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394.26</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11.25</w:t>
      </w:r>
      <w:r>
        <w:rPr>
          <w:rFonts w:hint="eastAsia" w:ascii="仿宋_GB2312" w:hAnsi="仿宋_GB2312" w:eastAsia="仿宋_GB2312" w:cs="仿宋_GB2312"/>
          <w:sz w:val="32"/>
          <w:szCs w:val="32"/>
        </w:rPr>
        <w:t>%，主要包括办公费、印刷费、咨询费、手续费</w:t>
      </w:r>
      <w:r>
        <w:rPr>
          <w:rFonts w:hint="eastAsia" w:ascii="仿宋_GB2312" w:hAnsi="仿宋_GB2312" w:eastAsia="仿宋_GB2312" w:cs="仿宋_GB2312"/>
          <w:sz w:val="32"/>
          <w:szCs w:val="32"/>
          <w:lang w:eastAsia="zh-CN"/>
        </w:rPr>
        <w:t>、电费、邮电费、差旅费、维修（护）费、会议费、培训费、公务接待费、劳务费、福利费、公务用车运行维护费、其他交通费、其他商品服务支出、办公设备购置等</w:t>
      </w:r>
      <w:r>
        <w:rPr>
          <w:rFonts w:hint="eastAsia" w:ascii="仿宋_GB2312" w:hAnsi="仿宋_GB2312" w:eastAsia="仿宋_GB2312" w:cs="仿宋_GB2312"/>
          <w:sz w:val="32"/>
          <w:szCs w:val="32"/>
        </w:rPr>
        <w:t>。</w:t>
      </w:r>
    </w:p>
    <w:p>
      <w:pPr>
        <w:pStyle w:val="16"/>
        <w:ind w:left="0" w:leftChars="0" w:firstLine="640" w:firstLineChars="200"/>
        <w:rPr>
          <w:rFonts w:hAnsi="黑体"/>
          <w:b/>
          <w:sz w:val="32"/>
          <w:szCs w:val="32"/>
        </w:rPr>
      </w:pPr>
      <w:r>
        <w:rPr>
          <w:rFonts w:hint="eastAsia" w:hAnsi="黑体"/>
          <w:b/>
          <w:sz w:val="32"/>
          <w:szCs w:val="32"/>
        </w:rPr>
        <w:t>七、财政拨款“三公”经费支出决算情况说明</w:t>
      </w:r>
    </w:p>
    <w:p>
      <w:pPr>
        <w:pStyle w:val="16"/>
        <w:ind w:left="0" w:leftChars="0"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pPr>
        <w:pStyle w:val="16"/>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年度“三公”经费财政拨款支出预算为</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19.37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64.57</w:t>
      </w:r>
      <w:r>
        <w:rPr>
          <w:rFonts w:hint="eastAsia" w:ascii="仿宋_GB2312" w:hAnsi="仿宋_GB2312" w:eastAsia="仿宋_GB2312" w:cs="仿宋_GB2312"/>
          <w:sz w:val="32"/>
          <w:szCs w:val="32"/>
        </w:rPr>
        <w:t>%，其中：</w:t>
      </w:r>
    </w:p>
    <w:p>
      <w:pPr>
        <w:pStyle w:val="16"/>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因公出国（境）费支出预算为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与上年持平。</w:t>
      </w:r>
    </w:p>
    <w:p>
      <w:pPr>
        <w:pStyle w:val="16"/>
        <w:ind w:left="8" w:leftChars="0" w:right="63" w:rightChars="30" w:firstLine="632"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公务接待费支出预算为</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1.51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25.17</w:t>
      </w:r>
      <w:r>
        <w:rPr>
          <w:rFonts w:hint="eastAsia" w:ascii="仿宋_GB2312" w:hAnsi="仿宋_GB2312" w:eastAsia="仿宋_GB2312" w:cs="仿宋_GB2312"/>
          <w:sz w:val="32"/>
          <w:szCs w:val="32"/>
        </w:rPr>
        <w:t>%，决算数小于年初预算数的主要原因是</w:t>
      </w:r>
      <w:r>
        <w:rPr>
          <w:rFonts w:hint="eastAsia" w:ascii="仿宋_GB2312" w:hAnsi="仿宋_GB2312" w:eastAsia="仿宋_GB2312" w:cs="仿宋_GB2312"/>
          <w:sz w:val="32"/>
          <w:szCs w:val="32"/>
          <w:lang w:eastAsia="zh-CN"/>
        </w:rPr>
        <w:t>我局严格控制公务接待费的规模和比例，严把公务接待支出的审核、审批关</w:t>
      </w:r>
      <w:r>
        <w:rPr>
          <w:rFonts w:hint="eastAsia" w:ascii="仿宋_GB2312" w:hAnsi="仿宋_GB2312" w:eastAsia="仿宋_GB2312" w:cs="仿宋_GB2312"/>
          <w:sz w:val="32"/>
          <w:szCs w:val="32"/>
        </w:rPr>
        <w:t>，与上年相比</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1.14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43.02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的主要原因是</w:t>
      </w:r>
      <w:r>
        <w:rPr>
          <w:rFonts w:hint="eastAsia" w:ascii="仿宋_GB2312" w:hAnsi="仿宋_GB2312" w:eastAsia="仿宋_GB2312" w:cs="仿宋_GB2312"/>
          <w:sz w:val="32"/>
          <w:szCs w:val="32"/>
          <w:lang w:eastAsia="zh-CN"/>
        </w:rPr>
        <w:t>外单位来人批次人数减少</w:t>
      </w:r>
      <w:r>
        <w:rPr>
          <w:rFonts w:hint="eastAsia" w:ascii="仿宋_GB2312" w:hAnsi="仿宋_GB2312" w:eastAsia="仿宋_GB2312" w:cs="仿宋_GB2312"/>
          <w:sz w:val="32"/>
          <w:szCs w:val="32"/>
        </w:rPr>
        <w:t>。</w:t>
      </w:r>
    </w:p>
    <w:p>
      <w:pPr>
        <w:pStyle w:val="16"/>
        <w:ind w:left="0" w:leftChars="0" w:firstLine="640" w:firstLineChars="200"/>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sz w:val="32"/>
          <w:szCs w:val="32"/>
        </w:rPr>
        <w:t>公务用车购置费</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运行维护费支出预算为</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17.85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74.38</w:t>
      </w:r>
      <w:r>
        <w:rPr>
          <w:rFonts w:hint="eastAsia" w:ascii="仿宋_GB2312" w:hAnsi="仿宋_GB2312" w:eastAsia="仿宋_GB2312" w:cs="仿宋_GB2312"/>
          <w:sz w:val="32"/>
          <w:szCs w:val="32"/>
        </w:rPr>
        <w:t>%，决算数小于预算数的主要原因是</w:t>
      </w:r>
      <w:r>
        <w:rPr>
          <w:rFonts w:hint="eastAsia" w:ascii="仿宋_GB2312" w:hAnsi="仿宋_GB2312" w:eastAsia="仿宋_GB2312" w:cs="仿宋_GB2312"/>
          <w:sz w:val="32"/>
          <w:szCs w:val="32"/>
          <w:lang w:eastAsia="zh-CN"/>
        </w:rPr>
        <w:t>我局严格管理公务用车的使用、维修维护</w:t>
      </w:r>
      <w:r>
        <w:rPr>
          <w:rFonts w:hint="eastAsia" w:ascii="仿宋_GB2312" w:hAnsi="仿宋_GB2312" w:eastAsia="仿宋_GB2312" w:cs="仿宋_GB2312"/>
          <w:sz w:val="32"/>
          <w:szCs w:val="32"/>
        </w:rPr>
        <w:t>，与上年相比</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10.08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highlight w:val="none"/>
          <w:lang w:eastAsia="zh-CN"/>
        </w:rPr>
        <w:t>减少</w:t>
      </w:r>
      <w:r>
        <w:rPr>
          <w:rFonts w:hint="eastAsia" w:ascii="仿宋_GB2312" w:hAnsi="仿宋_GB2312" w:eastAsia="仿宋_GB2312" w:cs="仿宋_GB2312"/>
          <w:sz w:val="32"/>
          <w:szCs w:val="32"/>
          <w:highlight w:val="none"/>
        </w:rPr>
        <w:t>的主要原因是</w:t>
      </w:r>
      <w:r>
        <w:rPr>
          <w:rFonts w:hint="eastAsia" w:ascii="仿宋_GB2312" w:hAnsi="仿宋_GB2312" w:eastAsia="仿宋_GB2312" w:cs="仿宋_GB2312"/>
          <w:sz w:val="32"/>
          <w:szCs w:val="32"/>
          <w:lang w:eastAsia="zh-CN"/>
        </w:rPr>
        <w:t>公务用车使用次数减少，运行维护成本减少</w:t>
      </w:r>
      <w:r>
        <w:rPr>
          <w:rFonts w:hint="eastAsia" w:ascii="仿宋_GB2312" w:hAnsi="仿宋_GB2312" w:eastAsia="仿宋_GB2312" w:cs="仿宋_GB2312"/>
          <w:sz w:val="32"/>
          <w:szCs w:val="32"/>
        </w:rPr>
        <w:t>。</w:t>
      </w:r>
    </w:p>
    <w:p>
      <w:pPr>
        <w:pStyle w:val="16"/>
        <w:ind w:left="0" w:leftChars="0"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pPr>
        <w:pStyle w:val="16"/>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年度“三公”经费财政拨款支出决算中，公务接待费支出决算</w:t>
      </w:r>
      <w:r>
        <w:rPr>
          <w:rFonts w:hint="eastAsia" w:ascii="仿宋_GB2312" w:hAnsi="仿宋_GB2312" w:eastAsia="仿宋_GB2312" w:cs="仿宋_GB2312"/>
          <w:sz w:val="32"/>
          <w:szCs w:val="32"/>
          <w:lang w:val="en-US" w:eastAsia="zh-CN"/>
        </w:rPr>
        <w:t>1.51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7.80</w:t>
      </w:r>
      <w:r>
        <w:rPr>
          <w:rFonts w:hint="eastAsia" w:ascii="仿宋_GB2312" w:hAnsi="仿宋_GB2312" w:eastAsia="仿宋_GB2312" w:cs="仿宋_GB2312"/>
          <w:sz w:val="32"/>
          <w:szCs w:val="32"/>
        </w:rPr>
        <w:t>%,因公出国（境）费支出决算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%,公务用车购置费及运行维护费支出决算</w:t>
      </w:r>
      <w:r>
        <w:rPr>
          <w:rFonts w:hint="eastAsia" w:ascii="仿宋_GB2312" w:hAnsi="仿宋_GB2312" w:eastAsia="仿宋_GB2312" w:cs="仿宋_GB2312"/>
          <w:sz w:val="32"/>
          <w:szCs w:val="32"/>
          <w:lang w:val="en-US" w:eastAsia="zh-CN"/>
        </w:rPr>
        <w:t>17.85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92.2</w:t>
      </w:r>
      <w:r>
        <w:rPr>
          <w:rFonts w:hint="eastAsia" w:ascii="仿宋_GB2312" w:hAnsi="仿宋_GB2312" w:eastAsia="仿宋_GB2312" w:cs="仿宋_GB2312"/>
          <w:sz w:val="32"/>
          <w:szCs w:val="32"/>
        </w:rPr>
        <w:t>%。其中：</w:t>
      </w:r>
    </w:p>
    <w:p>
      <w:pPr>
        <w:pStyle w:val="16"/>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1、因公出国（境）费支出决算为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万元，全年</w:t>
      </w:r>
      <w:r>
        <w:rPr>
          <w:rFonts w:hint="eastAsia" w:ascii="仿宋_GB2312" w:hAnsi="仿宋_GB2312" w:eastAsia="仿宋_GB2312" w:cs="仿宋_GB2312"/>
          <w:sz w:val="32"/>
          <w:szCs w:val="32"/>
          <w:lang w:eastAsia="zh-CN"/>
        </w:rPr>
        <w:t>未</w:t>
      </w:r>
      <w:r>
        <w:rPr>
          <w:rFonts w:hint="eastAsia" w:ascii="仿宋_GB2312" w:hAnsi="仿宋_GB2312" w:eastAsia="仿宋_GB2312" w:cs="仿宋_GB2312"/>
          <w:sz w:val="32"/>
          <w:szCs w:val="32"/>
        </w:rPr>
        <w:t>安排因公出国（境）</w:t>
      </w:r>
      <w:r>
        <w:rPr>
          <w:rFonts w:hint="eastAsia" w:ascii="仿宋_GB2312" w:hAnsi="仿宋_GB2312" w:eastAsia="仿宋_GB2312" w:cs="仿宋_GB2312"/>
          <w:sz w:val="32"/>
          <w:szCs w:val="32"/>
          <w:lang w:eastAsia="zh-CN"/>
        </w:rPr>
        <w:t>。</w:t>
      </w:r>
    </w:p>
    <w:p>
      <w:pPr>
        <w:pStyle w:val="16"/>
        <w:ind w:left="8" w:leftChars="0" w:right="63" w:rightChars="30" w:firstLine="632" w:firstLineChars="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2、公务接待费支出决算为</w:t>
      </w:r>
      <w:r>
        <w:rPr>
          <w:rFonts w:hint="eastAsia" w:ascii="仿宋_GB2312" w:hAnsi="仿宋_GB2312" w:eastAsia="仿宋_GB2312" w:cs="仿宋_GB2312"/>
          <w:sz w:val="32"/>
          <w:szCs w:val="32"/>
          <w:lang w:val="en-US" w:eastAsia="zh-CN"/>
        </w:rPr>
        <w:t>1.51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highlight w:val="none"/>
        </w:rPr>
        <w:t>全年共接待来访团组</w:t>
      </w:r>
      <w:r>
        <w:rPr>
          <w:rFonts w:hint="eastAsia" w:ascii="仿宋_GB2312" w:hAnsi="仿宋_GB2312" w:eastAsia="仿宋_GB2312" w:cs="仿宋_GB2312"/>
          <w:sz w:val="32"/>
          <w:szCs w:val="32"/>
          <w:highlight w:val="none"/>
          <w:lang w:val="en-US" w:eastAsia="zh-CN"/>
        </w:rPr>
        <w:t>18</w:t>
      </w:r>
      <w:r>
        <w:rPr>
          <w:rFonts w:hint="eastAsia" w:ascii="仿宋_GB2312" w:hAnsi="仿宋_GB2312" w:eastAsia="仿宋_GB2312" w:cs="仿宋_GB2312"/>
          <w:sz w:val="32"/>
          <w:szCs w:val="32"/>
          <w:highlight w:val="none"/>
        </w:rPr>
        <w:t>个、来宾</w:t>
      </w:r>
      <w:r>
        <w:rPr>
          <w:rFonts w:hint="eastAsia" w:ascii="仿宋_GB2312" w:hAnsi="仿宋_GB2312" w:eastAsia="仿宋_GB2312" w:cs="仿宋_GB2312"/>
          <w:sz w:val="32"/>
          <w:szCs w:val="32"/>
          <w:highlight w:val="none"/>
          <w:lang w:val="en-US" w:eastAsia="zh-CN"/>
        </w:rPr>
        <w:t>135</w:t>
      </w:r>
      <w:r>
        <w:rPr>
          <w:rFonts w:hint="eastAsia" w:ascii="仿宋_GB2312" w:hAnsi="仿宋_GB2312" w:eastAsia="仿宋_GB2312" w:cs="仿宋_GB2312"/>
          <w:sz w:val="32"/>
          <w:szCs w:val="32"/>
          <w:highlight w:val="none"/>
        </w:rPr>
        <w:t>人次，主要是</w:t>
      </w:r>
      <w:r>
        <w:rPr>
          <w:rFonts w:hint="eastAsia" w:ascii="仿宋_GB2312" w:hAnsi="仿宋_GB2312" w:eastAsia="仿宋_GB2312" w:cs="仿宋_GB2312"/>
          <w:sz w:val="32"/>
          <w:szCs w:val="32"/>
          <w:highlight w:val="none"/>
          <w:lang w:eastAsia="zh-CN"/>
        </w:rPr>
        <w:t>调研、检查、联系工作等发</w:t>
      </w:r>
      <w:r>
        <w:rPr>
          <w:rFonts w:hint="eastAsia" w:ascii="仿宋_GB2312" w:hAnsi="仿宋_GB2312" w:eastAsia="仿宋_GB2312" w:cs="仿宋_GB2312"/>
          <w:sz w:val="32"/>
          <w:szCs w:val="32"/>
          <w:highlight w:val="none"/>
        </w:rPr>
        <w:t>生的接待支出。</w:t>
      </w:r>
    </w:p>
    <w:p>
      <w:pPr>
        <w:ind w:left="0" w:leftChars="0"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3、公务用车购置费及运行维护费支出决算为</w:t>
      </w:r>
      <w:r>
        <w:rPr>
          <w:rFonts w:hint="eastAsia" w:ascii="仿宋_GB2312" w:hAnsi="仿宋_GB2312" w:eastAsia="仿宋_GB2312" w:cs="仿宋_GB2312"/>
          <w:sz w:val="32"/>
          <w:szCs w:val="32"/>
          <w:lang w:val="en-US" w:eastAsia="zh-CN"/>
        </w:rPr>
        <w:t>17.85</w:t>
      </w:r>
      <w:r>
        <w:rPr>
          <w:rFonts w:hint="eastAsia" w:ascii="仿宋_GB2312" w:hAnsi="仿宋_GB2312" w:eastAsia="仿宋_GB2312" w:cs="仿宋_GB2312"/>
          <w:sz w:val="32"/>
          <w:szCs w:val="32"/>
        </w:rPr>
        <w:t>万元，其中：公务用车购置费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公务用车运行维护费</w:t>
      </w:r>
      <w:r>
        <w:rPr>
          <w:rFonts w:hint="eastAsia" w:ascii="仿宋_GB2312" w:hAnsi="仿宋_GB2312" w:eastAsia="仿宋_GB2312" w:cs="仿宋_GB2312"/>
          <w:sz w:val="32"/>
          <w:szCs w:val="32"/>
          <w:lang w:val="en-US" w:eastAsia="zh-CN"/>
        </w:rPr>
        <w:t>17.85</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车辆保险、油料、维修、路桥费等</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highlight w:val="none"/>
        </w:rPr>
        <w:t>截止20</w:t>
      </w: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rPr>
        <w:t>年12月31日，</w:t>
      </w:r>
      <w:r>
        <w:rPr>
          <w:rFonts w:hint="eastAsia" w:ascii="仿宋_GB2312" w:hAnsi="仿宋_GB2312" w:eastAsia="仿宋_GB2312" w:cs="仿宋_GB2312"/>
          <w:sz w:val="32"/>
          <w:szCs w:val="32"/>
          <w:highlight w:val="none"/>
          <w:lang w:eastAsia="zh-CN"/>
        </w:rPr>
        <w:t>本部门</w:t>
      </w:r>
      <w:r>
        <w:rPr>
          <w:rFonts w:hint="eastAsia" w:ascii="仿宋_GB2312" w:hAnsi="仿宋_GB2312" w:eastAsia="仿宋_GB2312" w:cs="仿宋_GB2312"/>
          <w:sz w:val="32"/>
          <w:szCs w:val="32"/>
          <w:highlight w:val="none"/>
        </w:rPr>
        <w:t>开支财政拨款的公务用车保有量为</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辆。</w:t>
      </w:r>
    </w:p>
    <w:p>
      <w:pPr>
        <w:pStyle w:val="16"/>
        <w:ind w:left="0" w:leftChars="0" w:firstLine="640" w:firstLineChars="200"/>
        <w:rPr>
          <w:rFonts w:hAnsi="黑体"/>
          <w:b/>
          <w:sz w:val="32"/>
          <w:szCs w:val="32"/>
        </w:rPr>
      </w:pPr>
      <w:r>
        <w:rPr>
          <w:rFonts w:hint="eastAsia" w:hAnsi="黑体"/>
          <w:b/>
          <w:sz w:val="32"/>
          <w:szCs w:val="32"/>
        </w:rPr>
        <w:t>八、政府性基金预算收入支出决算情况</w:t>
      </w:r>
    </w:p>
    <w:p>
      <w:pPr>
        <w:pStyle w:val="16"/>
        <w:ind w:left="0" w:leftChars="0" w:firstLine="640" w:firstLineChars="200"/>
        <w:rPr>
          <w:rFonts w:hint="eastAsia" w:ascii="仿宋_GB2312" w:hAnsi="仿宋_GB2312" w:eastAsia="仿宋_GB2312" w:cs="仿宋_GB2312"/>
          <w:sz w:val="32"/>
          <w:szCs w:val="32"/>
          <w:lang w:eastAsia="zh-CN"/>
        </w:rPr>
      </w:pPr>
      <w:r>
        <w:rPr>
          <w:rFonts w:hint="eastAsia" w:asciiTheme="minorEastAsia" w:hAnsiTheme="minorEastAsia" w:eastAsiaTheme="minorEastAsia"/>
          <w:sz w:val="32"/>
          <w:szCs w:val="32"/>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本部门未发生</w:t>
      </w:r>
      <w:r>
        <w:rPr>
          <w:rFonts w:hint="eastAsia" w:ascii="仿宋_GB2312" w:hAnsi="仿宋_GB2312" w:eastAsia="仿宋_GB2312" w:cs="仿宋_GB2312"/>
          <w:sz w:val="32"/>
          <w:szCs w:val="32"/>
        </w:rPr>
        <w:t>政府性基金预算财政拨款收入</w:t>
      </w:r>
      <w:r>
        <w:rPr>
          <w:rFonts w:hint="eastAsia" w:ascii="仿宋_GB2312" w:hAnsi="仿宋_GB2312" w:eastAsia="仿宋_GB2312" w:cs="仿宋_GB2312"/>
          <w:sz w:val="32"/>
          <w:szCs w:val="32"/>
          <w:lang w:eastAsia="zh-CN"/>
        </w:rPr>
        <w:t>、支出。</w:t>
      </w:r>
    </w:p>
    <w:p>
      <w:pPr>
        <w:pStyle w:val="16"/>
        <w:numPr>
          <w:ilvl w:val="0"/>
          <w:numId w:val="4"/>
        </w:numPr>
        <w:ind w:left="0" w:leftChars="0" w:firstLine="640" w:firstLineChars="200"/>
        <w:rPr>
          <w:rFonts w:hint="eastAsia" w:hAnsi="黑体"/>
          <w:b/>
          <w:sz w:val="32"/>
          <w:szCs w:val="32"/>
          <w:lang w:val="en-US" w:eastAsia="zh-CN"/>
        </w:rPr>
      </w:pPr>
      <w:r>
        <w:rPr>
          <w:rFonts w:hint="eastAsia" w:hAnsi="黑体"/>
          <w:b/>
          <w:sz w:val="32"/>
          <w:szCs w:val="32"/>
          <w:lang w:val="en-US" w:eastAsia="zh-CN"/>
        </w:rPr>
        <w:t>国有资本经营预算收入支出决算情况</w:t>
      </w:r>
    </w:p>
    <w:p>
      <w:pPr>
        <w:pStyle w:val="16"/>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 xml:space="preserve"> 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年度本部门未发生</w:t>
      </w:r>
      <w:r>
        <w:rPr>
          <w:rFonts w:hint="eastAsia" w:ascii="仿宋_GB2312" w:hAnsi="仿宋_GB2312" w:eastAsia="仿宋_GB2312" w:cs="仿宋_GB2312"/>
          <w:sz w:val="32"/>
          <w:szCs w:val="32"/>
          <w:lang w:val="en-US" w:eastAsia="zh-CN"/>
        </w:rPr>
        <w:t>国有资本经营预算收入</w:t>
      </w:r>
      <w:r>
        <w:rPr>
          <w:rFonts w:hint="eastAsia" w:ascii="仿宋_GB2312" w:hAnsi="仿宋_GB2312" w:eastAsia="仿宋_GB2312" w:cs="仿宋_GB2312"/>
          <w:sz w:val="32"/>
          <w:szCs w:val="32"/>
          <w:lang w:eastAsia="zh-CN"/>
        </w:rPr>
        <w:t>。</w:t>
      </w:r>
    </w:p>
    <w:p>
      <w:pPr>
        <w:pStyle w:val="16"/>
        <w:numPr>
          <w:ilvl w:val="0"/>
          <w:numId w:val="0"/>
        </w:numPr>
        <w:ind w:leftChars="200"/>
        <w:rPr>
          <w:rFonts w:hint="eastAsia" w:hAnsi="黑体"/>
          <w:b/>
          <w:sz w:val="32"/>
          <w:szCs w:val="32"/>
          <w:lang w:val="en-US" w:eastAsia="zh-CN"/>
        </w:rPr>
      </w:pPr>
    </w:p>
    <w:p>
      <w:pPr>
        <w:pStyle w:val="16"/>
        <w:ind w:left="0" w:leftChars="0" w:firstLine="640" w:firstLineChars="200"/>
        <w:rPr>
          <w:rFonts w:hint="eastAsia" w:hAnsi="黑体"/>
          <w:b/>
          <w:sz w:val="32"/>
          <w:szCs w:val="32"/>
          <w:lang w:eastAsia="zh-CN"/>
        </w:rPr>
      </w:pPr>
      <w:r>
        <w:rPr>
          <w:rFonts w:hint="eastAsia" w:hAnsi="黑体"/>
          <w:b/>
          <w:sz w:val="32"/>
          <w:szCs w:val="32"/>
          <w:lang w:eastAsia="zh-CN"/>
        </w:rPr>
        <w:t>十</w:t>
      </w:r>
      <w:r>
        <w:rPr>
          <w:rFonts w:hint="eastAsia" w:hAnsi="黑体"/>
          <w:b/>
          <w:sz w:val="32"/>
          <w:szCs w:val="32"/>
        </w:rPr>
        <w:t>、国有资本经营预算财政拨款支出决算</w:t>
      </w:r>
      <w:r>
        <w:rPr>
          <w:rFonts w:hint="eastAsia" w:hAnsi="黑体"/>
          <w:b/>
          <w:sz w:val="32"/>
          <w:szCs w:val="32"/>
          <w:lang w:eastAsia="zh-CN"/>
        </w:rPr>
        <w:t>情况</w:t>
      </w:r>
    </w:p>
    <w:p>
      <w:pPr>
        <w:pStyle w:val="16"/>
        <w:ind w:left="0" w:leftChars="0" w:firstLine="640" w:firstLineChars="200"/>
        <w:rPr>
          <w:rFonts w:hint="eastAsia" w:ascii="仿宋_GB2312" w:hAnsi="仿宋_GB2312" w:eastAsia="仿宋_GB2312" w:cs="仿宋_GB2312"/>
          <w:sz w:val="32"/>
          <w:szCs w:val="32"/>
          <w:lang w:eastAsia="zh-CN"/>
        </w:rPr>
      </w:pPr>
      <w:r>
        <w:rPr>
          <w:rFonts w:hint="eastAsia" w:asciiTheme="minorEastAsia" w:hAnsiTheme="minorEastAsia" w:eastAsiaTheme="minorEastAsia"/>
          <w:sz w:val="32"/>
          <w:szCs w:val="32"/>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本部门未发生</w:t>
      </w:r>
      <w:r>
        <w:rPr>
          <w:rFonts w:hint="eastAsia" w:ascii="仿宋_GB2312" w:hAnsi="仿宋_GB2312" w:eastAsia="仿宋_GB2312" w:cs="仿宋_GB2312"/>
          <w:sz w:val="32"/>
          <w:szCs w:val="32"/>
        </w:rPr>
        <w:t>国有资本经营预算财政拨款支出</w:t>
      </w:r>
    </w:p>
    <w:p>
      <w:pPr>
        <w:pStyle w:val="16"/>
        <w:ind w:left="0" w:leftChars="0" w:firstLine="640" w:firstLineChars="200"/>
        <w:rPr>
          <w:rFonts w:hAnsi="黑体"/>
          <w:b/>
          <w:sz w:val="32"/>
          <w:szCs w:val="32"/>
        </w:rPr>
      </w:pPr>
      <w:r>
        <w:rPr>
          <w:rFonts w:hint="eastAsia" w:hAnsi="黑体"/>
          <w:b/>
          <w:sz w:val="32"/>
          <w:szCs w:val="32"/>
          <w:lang w:val="en-US" w:eastAsia="zh-CN"/>
        </w:rPr>
        <w:t>十一</w:t>
      </w:r>
      <w:r>
        <w:rPr>
          <w:rFonts w:hint="eastAsia" w:hAnsi="黑体"/>
          <w:b/>
          <w:sz w:val="32"/>
          <w:szCs w:val="32"/>
        </w:rPr>
        <w:t>、</w:t>
      </w:r>
      <w:r>
        <w:rPr>
          <w:rFonts w:hint="eastAsia" w:hAnsi="黑体"/>
          <w:b/>
          <w:sz w:val="32"/>
          <w:szCs w:val="32"/>
          <w:lang w:eastAsia="zh-CN"/>
        </w:rPr>
        <w:t>关于</w:t>
      </w:r>
      <w:r>
        <w:rPr>
          <w:rFonts w:hint="eastAsia" w:hAnsi="黑体"/>
          <w:b/>
          <w:sz w:val="32"/>
          <w:szCs w:val="32"/>
        </w:rPr>
        <w:t>机关运行经费支出说明</w:t>
      </w:r>
    </w:p>
    <w:p>
      <w:pPr>
        <w:pStyle w:val="16"/>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rPr>
        <w:t>本部门202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年度机关运行经费支出</w:t>
      </w:r>
      <w:r>
        <w:rPr>
          <w:rFonts w:hint="eastAsia" w:ascii="仿宋_GB2312" w:hAnsi="仿宋_GB2312" w:eastAsia="仿宋_GB2312" w:cs="仿宋_GB2312"/>
          <w:color w:val="auto"/>
          <w:sz w:val="32"/>
          <w:szCs w:val="32"/>
          <w:lang w:val="en-US" w:eastAsia="zh-CN"/>
        </w:rPr>
        <w:t>394.26</w:t>
      </w:r>
      <w:r>
        <w:rPr>
          <w:rFonts w:hint="eastAsia" w:ascii="仿宋_GB2312" w:hAnsi="仿宋_GB2312" w:eastAsia="仿宋_GB2312" w:cs="仿宋_GB2312"/>
          <w:color w:val="auto"/>
          <w:sz w:val="32"/>
          <w:szCs w:val="32"/>
        </w:rPr>
        <w:t>万元，比年初预算数</w:t>
      </w:r>
      <w:r>
        <w:rPr>
          <w:rFonts w:hint="eastAsia" w:ascii="仿宋_GB2312" w:hAnsi="仿宋_GB2312" w:eastAsia="仿宋_GB2312" w:cs="仿宋_GB2312"/>
          <w:color w:val="auto"/>
          <w:sz w:val="32"/>
          <w:szCs w:val="32"/>
          <w:lang w:eastAsia="zh-CN"/>
        </w:rPr>
        <w:t>减少</w:t>
      </w:r>
      <w:r>
        <w:rPr>
          <w:rFonts w:hint="eastAsia" w:ascii="仿宋_GB2312" w:hAnsi="仿宋_GB2312" w:eastAsia="仿宋_GB2312" w:cs="仿宋_GB2312"/>
          <w:color w:val="auto"/>
          <w:sz w:val="32"/>
          <w:szCs w:val="32"/>
          <w:lang w:val="en-US" w:eastAsia="zh-CN"/>
        </w:rPr>
        <w:t>41.33</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减少</w:t>
      </w:r>
      <w:r>
        <w:rPr>
          <w:rFonts w:hint="eastAsia" w:ascii="仿宋_GB2312" w:hAnsi="仿宋_GB2312" w:eastAsia="仿宋_GB2312" w:cs="仿宋_GB2312"/>
          <w:color w:val="auto"/>
          <w:sz w:val="32"/>
          <w:szCs w:val="32"/>
          <w:lang w:val="en-US" w:eastAsia="zh-CN"/>
        </w:rPr>
        <w:t>9.49</w:t>
      </w:r>
      <w:r>
        <w:rPr>
          <w:rFonts w:hint="eastAsia" w:ascii="仿宋_GB2312" w:hAnsi="仿宋_GB2312" w:eastAsia="仿宋_GB2312" w:cs="仿宋_GB2312"/>
          <w:color w:val="auto"/>
          <w:sz w:val="32"/>
          <w:szCs w:val="32"/>
        </w:rPr>
        <w:t>%。主要原因是：</w:t>
      </w:r>
      <w:r>
        <w:rPr>
          <w:rFonts w:hint="eastAsia" w:ascii="仿宋_GB2312" w:hAnsi="仿宋_GB2312" w:eastAsia="仿宋_GB2312" w:cs="仿宋_GB2312"/>
          <w:color w:val="auto"/>
          <w:sz w:val="32"/>
          <w:szCs w:val="32"/>
          <w:lang w:eastAsia="zh-CN"/>
        </w:rPr>
        <w:t>相关科室业务活动减少。</w:t>
      </w:r>
    </w:p>
    <w:p>
      <w:pPr>
        <w:pStyle w:val="16"/>
        <w:ind w:left="0" w:leftChars="0" w:firstLine="640" w:firstLineChars="200"/>
        <w:rPr>
          <w:rFonts w:hAnsi="黑体"/>
          <w:b/>
          <w:sz w:val="32"/>
          <w:szCs w:val="32"/>
        </w:rPr>
      </w:pPr>
      <w:r>
        <w:rPr>
          <w:rFonts w:hint="eastAsia" w:hAnsi="黑体"/>
          <w:b/>
          <w:sz w:val="32"/>
          <w:szCs w:val="32"/>
        </w:rPr>
        <w:t>十</w:t>
      </w:r>
      <w:r>
        <w:rPr>
          <w:rFonts w:hint="eastAsia" w:hAnsi="黑体"/>
          <w:b/>
          <w:sz w:val="32"/>
          <w:szCs w:val="32"/>
          <w:lang w:eastAsia="zh-CN"/>
        </w:rPr>
        <w:t>二</w:t>
      </w:r>
      <w:r>
        <w:rPr>
          <w:rFonts w:hint="eastAsia" w:hAnsi="黑体"/>
          <w:b/>
          <w:sz w:val="32"/>
          <w:szCs w:val="32"/>
        </w:rPr>
        <w:t>、一般性支出情况说明</w:t>
      </w:r>
    </w:p>
    <w:p>
      <w:pPr>
        <w:pStyle w:val="16"/>
        <w:ind w:left="0" w:leftChars="0" w:firstLine="640" w:firstLineChars="200"/>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年本部门开支会议费</w:t>
      </w:r>
      <w:r>
        <w:rPr>
          <w:rFonts w:hint="eastAsia" w:ascii="仿宋_GB2312" w:hAnsi="仿宋_GB2312" w:eastAsia="仿宋_GB2312" w:cs="仿宋_GB2312"/>
          <w:sz w:val="32"/>
          <w:szCs w:val="32"/>
          <w:lang w:val="en-US" w:eastAsia="zh-CN"/>
        </w:rPr>
        <w:t>2.97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用于召开</w:t>
      </w:r>
      <w:r>
        <w:rPr>
          <w:rFonts w:hint="eastAsia" w:ascii="仿宋_GB2312" w:hAnsi="仿宋_GB2312" w:eastAsia="仿宋_GB2312" w:cs="仿宋_GB2312"/>
          <w:sz w:val="32"/>
          <w:szCs w:val="32"/>
          <w:highlight w:val="none"/>
          <w:lang w:val="en-US" w:eastAsia="zh-CN"/>
        </w:rPr>
        <w:t>省厅财政收支与“三保”调研座谈会、省厅公立医院高质量发展调研座谈会、国务院指导核实工作组来怀座谈会、阳光审批系统实施推进座谈会、省厅湘西片区预算绩效管理调研座谈会、防范化解地方债务风险领导小组会、全市预算改革推进培训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人数93人，</w:t>
      </w:r>
      <w:r>
        <w:rPr>
          <w:rFonts w:hint="eastAsia" w:ascii="仿宋_GB2312" w:hAnsi="仿宋_GB2312" w:eastAsia="仿宋_GB2312" w:cs="仿宋_GB2312"/>
          <w:sz w:val="32"/>
          <w:szCs w:val="32"/>
          <w:highlight w:val="none"/>
          <w:lang w:val="en-US" w:eastAsia="zh-CN"/>
        </w:rPr>
        <w:t>内容为会议工作总结、布置；开支培训费4.20万元，用于党政机关公文写作及政务信息工作培训授课费、通讯员培训班培训费、省会计学会会计人员培训费、行政执法培训费、新会计法培训授课费、新会计法培训费；未举</w:t>
      </w:r>
      <w:r>
        <w:rPr>
          <w:rFonts w:hint="eastAsia" w:ascii="仿宋_GB2312" w:hAnsi="仿宋_GB2312" w:eastAsia="仿宋_GB2312" w:cs="仿宋_GB2312"/>
          <w:color w:val="000000"/>
          <w:kern w:val="0"/>
          <w:sz w:val="32"/>
          <w:szCs w:val="32"/>
          <w:highlight w:val="none"/>
          <w:lang w:val="en-US" w:eastAsia="zh-CN" w:bidi="ar-SA"/>
        </w:rPr>
        <w:t>办节庆、晚会、论坛、赛事活动。</w:t>
      </w:r>
    </w:p>
    <w:p>
      <w:pPr>
        <w:pStyle w:val="16"/>
        <w:ind w:left="0" w:leftChars="0" w:firstLine="640" w:firstLineChars="200"/>
        <w:rPr>
          <w:rFonts w:hAnsi="黑体"/>
          <w:b/>
          <w:sz w:val="32"/>
          <w:szCs w:val="32"/>
        </w:rPr>
      </w:pPr>
      <w:r>
        <w:rPr>
          <w:rFonts w:hint="eastAsia" w:hAnsi="黑体"/>
          <w:b/>
          <w:sz w:val="32"/>
          <w:szCs w:val="32"/>
        </w:rPr>
        <w:t>十</w:t>
      </w:r>
      <w:r>
        <w:rPr>
          <w:rFonts w:hint="eastAsia" w:hAnsi="黑体"/>
          <w:b/>
          <w:sz w:val="32"/>
          <w:szCs w:val="32"/>
          <w:lang w:eastAsia="zh-CN"/>
        </w:rPr>
        <w:t>三</w:t>
      </w:r>
      <w:r>
        <w:rPr>
          <w:rFonts w:hint="eastAsia" w:hAnsi="黑体"/>
          <w:b/>
          <w:sz w:val="32"/>
          <w:szCs w:val="32"/>
        </w:rPr>
        <w:t>、</w:t>
      </w:r>
      <w:r>
        <w:rPr>
          <w:rFonts w:hint="eastAsia" w:hAnsi="黑体"/>
          <w:b/>
          <w:sz w:val="32"/>
          <w:szCs w:val="32"/>
          <w:lang w:eastAsia="zh-CN"/>
        </w:rPr>
        <w:t>关于</w:t>
      </w:r>
      <w:r>
        <w:rPr>
          <w:rFonts w:hint="eastAsia" w:hAnsi="黑体"/>
          <w:b/>
          <w:sz w:val="32"/>
          <w:szCs w:val="32"/>
        </w:rPr>
        <w:t>政府采购支出说明</w:t>
      </w:r>
    </w:p>
    <w:p>
      <w:pPr>
        <w:pStyle w:val="16"/>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年度政府采购支出总额</w:t>
      </w:r>
      <w:r>
        <w:rPr>
          <w:rFonts w:hint="eastAsia" w:ascii="仿宋_GB2312" w:hAnsi="仿宋_GB2312" w:eastAsia="仿宋_GB2312" w:cs="仿宋_GB2312"/>
          <w:sz w:val="32"/>
          <w:szCs w:val="32"/>
          <w:lang w:val="en-US" w:eastAsia="zh-CN"/>
        </w:rPr>
        <w:t>410.25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本部门</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年度政府采购支出总额</w:t>
      </w:r>
      <w:r>
        <w:rPr>
          <w:rFonts w:hint="eastAsia" w:ascii="仿宋_GB2312" w:hAnsi="仿宋_GB2312" w:eastAsia="仿宋_GB2312" w:cs="仿宋_GB2312"/>
          <w:sz w:val="32"/>
          <w:szCs w:val="32"/>
          <w:lang w:val="en-US" w:eastAsia="zh-CN"/>
        </w:rPr>
        <w:t>410.25</w:t>
      </w:r>
      <w:r>
        <w:rPr>
          <w:rFonts w:hint="eastAsia" w:ascii="仿宋_GB2312" w:hAnsi="仿宋_GB2312" w:eastAsia="仿宋_GB2312" w:cs="仿宋_GB2312"/>
          <w:sz w:val="32"/>
          <w:szCs w:val="32"/>
        </w:rPr>
        <w:t>万元，其中：政府采购货物支出</w:t>
      </w:r>
      <w:r>
        <w:rPr>
          <w:rFonts w:hint="eastAsia" w:ascii="仿宋_GB2312" w:hAnsi="仿宋_GB2312" w:eastAsia="仿宋_GB2312" w:cs="仿宋_GB2312"/>
          <w:sz w:val="32"/>
          <w:szCs w:val="32"/>
          <w:lang w:val="en-US" w:eastAsia="zh-CN"/>
        </w:rPr>
        <w:t>56.60</w:t>
      </w:r>
      <w:r>
        <w:rPr>
          <w:rFonts w:hint="eastAsia" w:ascii="仿宋_GB2312" w:hAnsi="仿宋_GB2312" w:eastAsia="仿宋_GB2312" w:cs="仿宋_GB2312"/>
          <w:sz w:val="32"/>
          <w:szCs w:val="32"/>
        </w:rPr>
        <w:t>万元、政府采购工程支出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万元、政府采购服务支出</w:t>
      </w:r>
      <w:r>
        <w:rPr>
          <w:rFonts w:hint="eastAsia" w:ascii="仿宋_GB2312" w:hAnsi="仿宋_GB2312" w:eastAsia="仿宋_GB2312" w:cs="仿宋_GB2312"/>
          <w:sz w:val="32"/>
          <w:szCs w:val="32"/>
          <w:lang w:val="en-US" w:eastAsia="zh-CN"/>
        </w:rPr>
        <w:t>353.65</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授予中小企业合同金额</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万元，占政府采购支出总额的</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%，其中：授予小微企业合同金额</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万元，占政府采购支出总额的</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w:t>
      </w:r>
    </w:p>
    <w:p>
      <w:pPr>
        <w:pStyle w:val="16"/>
        <w:ind w:left="0" w:leftChars="0" w:firstLine="640" w:firstLineChars="200"/>
        <w:rPr>
          <w:rFonts w:hAnsi="黑体"/>
          <w:b/>
          <w:sz w:val="32"/>
          <w:szCs w:val="32"/>
        </w:rPr>
      </w:pPr>
      <w:r>
        <w:rPr>
          <w:rFonts w:hint="eastAsia" w:hAnsi="黑体"/>
          <w:b/>
          <w:sz w:val="32"/>
          <w:szCs w:val="32"/>
        </w:rPr>
        <w:t>十</w:t>
      </w:r>
      <w:r>
        <w:rPr>
          <w:rFonts w:hint="eastAsia" w:hAnsi="黑体"/>
          <w:b/>
          <w:sz w:val="32"/>
          <w:szCs w:val="32"/>
          <w:lang w:eastAsia="zh-CN"/>
        </w:rPr>
        <w:t>四</w:t>
      </w:r>
      <w:r>
        <w:rPr>
          <w:rFonts w:hint="eastAsia" w:hAnsi="黑体"/>
          <w:b/>
          <w:sz w:val="32"/>
          <w:szCs w:val="32"/>
        </w:rPr>
        <w:t>、</w:t>
      </w:r>
      <w:r>
        <w:rPr>
          <w:rFonts w:hint="eastAsia" w:hAnsi="黑体"/>
          <w:b/>
          <w:sz w:val="32"/>
          <w:szCs w:val="32"/>
          <w:lang w:eastAsia="zh-CN"/>
        </w:rPr>
        <w:t>关于</w:t>
      </w:r>
      <w:r>
        <w:rPr>
          <w:rFonts w:hint="eastAsia" w:hAnsi="黑体"/>
          <w:b/>
          <w:sz w:val="32"/>
          <w:szCs w:val="32"/>
        </w:rPr>
        <w:t>国有资产占用情况说明</w:t>
      </w:r>
    </w:p>
    <w:p>
      <w:pPr>
        <w:pStyle w:val="16"/>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年12月31日，部门（单位）共有车辆</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辆，其中，其他用车</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辆，其他用车主要是</w:t>
      </w:r>
      <w:r>
        <w:rPr>
          <w:rFonts w:hint="eastAsia" w:ascii="仿宋_GB2312" w:hAnsi="仿宋_GB2312" w:eastAsia="仿宋_GB2312" w:cs="仿宋_GB2312"/>
          <w:sz w:val="32"/>
          <w:szCs w:val="32"/>
          <w:lang w:eastAsia="zh-CN"/>
        </w:rPr>
        <w:t>一般公务用车</w:t>
      </w:r>
      <w:r>
        <w:rPr>
          <w:rFonts w:hint="eastAsia" w:ascii="仿宋_GB2312" w:hAnsi="仿宋_GB2312" w:eastAsia="仿宋_GB2312" w:cs="仿宋_GB2312"/>
          <w:sz w:val="32"/>
          <w:szCs w:val="32"/>
        </w:rPr>
        <w:t>；单位价值50万元以上通用设备</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台（套）；单位价值100万元以上专用设备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p>
    <w:p>
      <w:pPr>
        <w:pStyle w:val="16"/>
        <w:ind w:left="0" w:leftChars="0" w:firstLine="640" w:firstLineChars="200"/>
        <w:rPr>
          <w:rFonts w:hAnsi="黑体"/>
          <w:b/>
          <w:sz w:val="32"/>
          <w:szCs w:val="32"/>
        </w:rPr>
      </w:pPr>
      <w:r>
        <w:rPr>
          <w:rFonts w:hint="eastAsia" w:hAnsi="黑体"/>
          <w:b/>
          <w:sz w:val="32"/>
          <w:szCs w:val="32"/>
        </w:rPr>
        <w:t>十</w:t>
      </w:r>
      <w:r>
        <w:rPr>
          <w:rFonts w:hint="eastAsia" w:hAnsi="黑体"/>
          <w:b/>
          <w:sz w:val="32"/>
          <w:szCs w:val="32"/>
          <w:lang w:eastAsia="zh-CN"/>
        </w:rPr>
        <w:t>五</w:t>
      </w:r>
      <w:r>
        <w:rPr>
          <w:rFonts w:hint="eastAsia" w:hAnsi="黑体"/>
          <w:b/>
          <w:sz w:val="32"/>
          <w:szCs w:val="32"/>
        </w:rPr>
        <w:t>、</w:t>
      </w:r>
      <w:r>
        <w:rPr>
          <w:rFonts w:hint="eastAsia" w:hAnsi="黑体"/>
          <w:b/>
          <w:sz w:val="32"/>
          <w:szCs w:val="32"/>
          <w:lang w:eastAsia="zh-CN"/>
        </w:rPr>
        <w:t>关于</w:t>
      </w:r>
      <w:r>
        <w:rPr>
          <w:rFonts w:hint="eastAsia" w:hAnsi="黑体"/>
          <w:b/>
          <w:sz w:val="32"/>
          <w:szCs w:val="32"/>
        </w:rPr>
        <w:t>202</w:t>
      </w:r>
      <w:r>
        <w:rPr>
          <w:rFonts w:hint="eastAsia" w:hAnsi="黑体"/>
          <w:b/>
          <w:sz w:val="32"/>
          <w:szCs w:val="32"/>
          <w:lang w:val="en-US" w:eastAsia="zh-CN"/>
        </w:rPr>
        <w:t>4</w:t>
      </w:r>
      <w:r>
        <w:rPr>
          <w:rFonts w:hint="eastAsia" w:hAnsi="黑体"/>
          <w:b/>
          <w:sz w:val="32"/>
          <w:szCs w:val="32"/>
        </w:rPr>
        <w:t>年度预算绩效情况说明</w:t>
      </w:r>
    </w:p>
    <w:p>
      <w:pPr>
        <w:pStyle w:val="11"/>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根据预算绩效管理要求，我部门组织对</w:t>
      </w:r>
      <w:r>
        <w:rPr>
          <w:rFonts w:hint="eastAsia" w:ascii="仿宋_GB2312" w:hAnsi="仿宋_GB2312" w:eastAsia="仿宋_GB2312" w:cs="仿宋_GB2312"/>
          <w:color w:val="000000"/>
          <w:kern w:val="0"/>
          <w:sz w:val="32"/>
          <w:szCs w:val="32"/>
          <w:lang w:eastAsia="zh-CN"/>
        </w:rPr>
        <w:t>怀化市财政局</w:t>
      </w:r>
      <w:r>
        <w:rPr>
          <w:rFonts w:hint="eastAsia" w:ascii="仿宋_GB2312" w:hAnsi="仿宋_GB2312" w:eastAsia="仿宋_GB2312" w:cs="仿宋_GB2312"/>
          <w:color w:val="000000"/>
          <w:kern w:val="0"/>
          <w:sz w:val="32"/>
          <w:szCs w:val="32"/>
        </w:rPr>
        <w:t>等</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个单位开展整体支出绩效评价，涉及一般公共预算支出4880.55万元，政府性基金预算支出</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rPr>
        <w:t>万元</w:t>
      </w:r>
      <w:r>
        <w:rPr>
          <w:rFonts w:hint="eastAsia" w:ascii="仿宋_GB2312" w:hAnsi="仿宋_GB2312" w:eastAsia="仿宋_GB2312" w:cs="仿宋_GB2312"/>
          <w:color w:val="000000"/>
          <w:kern w:val="0"/>
          <w:sz w:val="32"/>
          <w:szCs w:val="32"/>
          <w:lang w:eastAsia="zh-CN"/>
        </w:rPr>
        <w:t>，国有资本经营预算项目支出</w:t>
      </w:r>
      <w:r>
        <w:rPr>
          <w:rFonts w:hint="eastAsia" w:ascii="仿宋_GB2312" w:hAnsi="仿宋_GB2312" w:eastAsia="仿宋_GB2312" w:cs="仿宋_GB2312"/>
          <w:color w:val="000000"/>
          <w:kern w:val="0"/>
          <w:sz w:val="32"/>
          <w:szCs w:val="32"/>
          <w:lang w:val="en-US" w:eastAsia="zh-CN"/>
        </w:rPr>
        <w:t>0元</w:t>
      </w:r>
      <w:r>
        <w:rPr>
          <w:rFonts w:hint="eastAsia" w:ascii="仿宋_GB2312" w:hAnsi="仿宋_GB2312" w:eastAsia="仿宋_GB2312" w:cs="仿宋_GB2312"/>
          <w:color w:val="000000"/>
          <w:kern w:val="0"/>
          <w:sz w:val="32"/>
          <w:szCs w:val="32"/>
        </w:rPr>
        <w:t>。从评价情况来看，</w:t>
      </w:r>
      <w:r>
        <w:rPr>
          <w:rFonts w:hint="eastAsia" w:ascii="仿宋_GB2312" w:hAnsi="仿宋_GB2312" w:eastAsia="仿宋_GB2312" w:cs="仿宋_GB2312"/>
          <w:color w:val="000000"/>
          <w:kern w:val="0"/>
          <w:sz w:val="32"/>
          <w:szCs w:val="32"/>
          <w:lang w:val="en-US" w:eastAsia="zh-CN"/>
        </w:rPr>
        <w:t>2024</w:t>
      </w:r>
      <w:r>
        <w:rPr>
          <w:rFonts w:hint="eastAsia" w:ascii="仿宋_GB2312" w:hAnsi="仿宋_GB2312" w:eastAsia="仿宋_GB2312" w:cs="仿宋_GB2312"/>
          <w:color w:val="000000"/>
          <w:kern w:val="0"/>
          <w:sz w:val="32"/>
          <w:szCs w:val="32"/>
        </w:rPr>
        <w:t>年怀化市财政局</w:t>
      </w:r>
      <w:r>
        <w:rPr>
          <w:rFonts w:hint="eastAsia" w:ascii="仿宋_GB2312" w:hAnsi="仿宋_GB2312" w:eastAsia="仿宋_GB2312" w:cs="仿宋_GB2312"/>
          <w:color w:val="000000"/>
          <w:kern w:val="0"/>
          <w:sz w:val="32"/>
          <w:szCs w:val="32"/>
          <w:lang w:eastAsia="zh-CN"/>
        </w:rPr>
        <w:t>财政拨款</w:t>
      </w:r>
      <w:r>
        <w:rPr>
          <w:rFonts w:hint="eastAsia" w:ascii="仿宋_GB2312" w:hAnsi="仿宋_GB2312" w:eastAsia="仿宋_GB2312" w:cs="仿宋_GB2312"/>
          <w:color w:val="000000"/>
          <w:kern w:val="0"/>
          <w:sz w:val="32"/>
          <w:szCs w:val="32"/>
        </w:rPr>
        <w:t>总支出为4880.55万元，</w:t>
      </w:r>
      <w:r>
        <w:rPr>
          <w:rFonts w:hint="eastAsia" w:ascii="仿宋_GB2312" w:hAnsi="仿宋_GB2312" w:eastAsia="仿宋_GB2312" w:cs="仿宋_GB2312"/>
          <w:color w:val="000000"/>
          <w:kern w:val="0"/>
          <w:sz w:val="32"/>
          <w:szCs w:val="32"/>
          <w:lang w:eastAsia="zh-CN"/>
        </w:rPr>
        <w:t>其中：</w:t>
      </w:r>
      <w:r>
        <w:rPr>
          <w:rFonts w:hint="eastAsia" w:ascii="仿宋_GB2312" w:hAnsi="仿宋_GB2312" w:eastAsia="仿宋_GB2312" w:cs="仿宋_GB2312"/>
          <w:color w:val="000000"/>
          <w:kern w:val="0"/>
          <w:sz w:val="32"/>
          <w:szCs w:val="32"/>
        </w:rPr>
        <w:t>基本支出</w:t>
      </w:r>
      <w:r>
        <w:rPr>
          <w:rFonts w:hint="eastAsia" w:ascii="仿宋_GB2312" w:hAnsi="仿宋_GB2312" w:eastAsia="仿宋_GB2312" w:cs="仿宋_GB2312"/>
          <w:color w:val="000000"/>
          <w:kern w:val="0"/>
          <w:sz w:val="32"/>
          <w:szCs w:val="32"/>
          <w:lang w:val="en-US" w:eastAsia="zh-CN"/>
        </w:rPr>
        <w:t>3504.93万元，项目支出1375.62万元</w:t>
      </w:r>
      <w:r>
        <w:rPr>
          <w:rFonts w:hint="eastAsia" w:ascii="仿宋_GB2312" w:hAnsi="仿宋_GB2312" w:eastAsia="仿宋_GB2312" w:cs="仿宋_GB2312"/>
          <w:color w:val="000000"/>
          <w:kern w:val="0"/>
          <w:sz w:val="32"/>
          <w:szCs w:val="32"/>
        </w:rPr>
        <w:t>。基本支出核算的主要内容是为保障财政局机关正常运转、完成日常工作任务而发生的人员支出和公用支出，涉及范围为局机关在职及离退休人员。</w:t>
      </w:r>
      <w:r>
        <w:rPr>
          <w:rFonts w:hint="eastAsia" w:ascii="仿宋_GB2312" w:hAnsi="仿宋_GB2312" w:eastAsia="仿宋_GB2312" w:cs="仿宋_GB2312"/>
          <w:color w:val="000000"/>
          <w:kern w:val="0"/>
          <w:sz w:val="32"/>
          <w:szCs w:val="32"/>
          <w:lang w:eastAsia="zh-CN"/>
        </w:rPr>
        <w:t>项目支出核算的主要内容是财政局完成特定的工作任务或事业发展目标，在基本的预算支出以外，财政预算专款安排的支出。</w:t>
      </w:r>
    </w:p>
    <w:p>
      <w:pPr>
        <w:pStyle w:val="11"/>
        <w:keepNext w:val="0"/>
        <w:keepLines w:val="0"/>
        <w:widowControl/>
        <w:suppressLineNumbers w:val="0"/>
        <w:spacing w:before="0" w:beforeAutospacing="0" w:after="0" w:afterAutospacing="0" w:line="375" w:lineRule="atLeast"/>
        <w:ind w:left="0" w:right="0" w:firstLine="640"/>
        <w:jc w:val="both"/>
        <w:rPr>
          <w:rFonts w:hint="eastAsia" w:ascii="仿宋_GB2312" w:hAnsi="仿宋_GB2312" w:eastAsia="仿宋_GB2312" w:cs="仿宋_GB2312"/>
          <w:color w:val="000000"/>
          <w:kern w:val="0"/>
          <w:sz w:val="32"/>
          <w:szCs w:val="32"/>
        </w:rPr>
      </w:pPr>
    </w:p>
    <w:p>
      <w:pPr>
        <w:pStyle w:val="16"/>
        <w:ind w:left="0" w:leftChars="0" w:firstLine="1440" w:firstLineChars="200"/>
        <w:jc w:val="center"/>
        <w:rPr>
          <w:sz w:val="72"/>
          <w:szCs w:val="72"/>
        </w:rPr>
      </w:pPr>
    </w:p>
    <w:p>
      <w:pPr>
        <w:pStyle w:val="16"/>
        <w:ind w:left="0" w:leftChars="0" w:firstLine="1440" w:firstLineChars="200"/>
        <w:jc w:val="center"/>
        <w:rPr>
          <w:sz w:val="72"/>
          <w:szCs w:val="72"/>
        </w:rPr>
      </w:pPr>
    </w:p>
    <w:p>
      <w:pPr>
        <w:pStyle w:val="16"/>
        <w:ind w:left="0" w:leftChars="0" w:firstLine="1440" w:firstLineChars="200"/>
        <w:jc w:val="center"/>
        <w:rPr>
          <w:sz w:val="72"/>
          <w:szCs w:val="72"/>
        </w:rPr>
      </w:pPr>
    </w:p>
    <w:p>
      <w:pPr>
        <w:pStyle w:val="16"/>
        <w:ind w:left="0" w:leftChars="0" w:firstLine="1440" w:firstLineChars="200"/>
        <w:jc w:val="center"/>
        <w:rPr>
          <w:sz w:val="72"/>
          <w:szCs w:val="72"/>
        </w:rPr>
      </w:pPr>
    </w:p>
    <w:p>
      <w:pPr>
        <w:pStyle w:val="16"/>
        <w:ind w:left="0" w:leftChars="0" w:firstLine="1440" w:firstLineChars="200"/>
        <w:jc w:val="center"/>
        <w:rPr>
          <w:sz w:val="72"/>
          <w:szCs w:val="72"/>
        </w:rPr>
      </w:pPr>
    </w:p>
    <w:p>
      <w:pPr>
        <w:pStyle w:val="16"/>
        <w:ind w:left="0" w:leftChars="0" w:firstLine="1440" w:firstLineChars="200"/>
        <w:jc w:val="center"/>
        <w:rPr>
          <w:sz w:val="72"/>
          <w:szCs w:val="72"/>
        </w:rPr>
      </w:pPr>
    </w:p>
    <w:p>
      <w:pPr>
        <w:pStyle w:val="16"/>
        <w:ind w:left="0" w:leftChars="0" w:firstLine="1440" w:firstLineChars="200"/>
        <w:jc w:val="center"/>
        <w:rPr>
          <w:sz w:val="72"/>
          <w:szCs w:val="72"/>
        </w:rPr>
      </w:pPr>
    </w:p>
    <w:p>
      <w:pPr>
        <w:pStyle w:val="16"/>
        <w:ind w:left="0" w:leftChars="0" w:firstLine="1440" w:firstLineChars="200"/>
        <w:jc w:val="center"/>
        <w:rPr>
          <w:sz w:val="72"/>
          <w:szCs w:val="72"/>
        </w:rPr>
      </w:pPr>
    </w:p>
    <w:p>
      <w:pPr>
        <w:pStyle w:val="16"/>
        <w:ind w:left="0" w:leftChars="0" w:firstLine="1440" w:firstLineChars="200"/>
        <w:jc w:val="center"/>
        <w:rPr>
          <w:sz w:val="72"/>
          <w:szCs w:val="72"/>
        </w:rPr>
      </w:pPr>
    </w:p>
    <w:p>
      <w:pPr>
        <w:pStyle w:val="16"/>
        <w:jc w:val="center"/>
        <w:rPr>
          <w:sz w:val="72"/>
          <w:szCs w:val="72"/>
        </w:rPr>
      </w:pPr>
    </w:p>
    <w:p>
      <w:pPr>
        <w:pStyle w:val="16"/>
        <w:rPr>
          <w:sz w:val="72"/>
          <w:szCs w:val="72"/>
        </w:rPr>
      </w:pPr>
    </w:p>
    <w:p>
      <w:pPr>
        <w:pStyle w:val="16"/>
        <w:rPr>
          <w:sz w:val="72"/>
          <w:szCs w:val="72"/>
        </w:rPr>
      </w:pPr>
    </w:p>
    <w:p>
      <w:pPr>
        <w:pStyle w:val="16"/>
        <w:jc w:val="center"/>
        <w:rPr>
          <w:sz w:val="72"/>
          <w:szCs w:val="72"/>
        </w:rPr>
      </w:pPr>
    </w:p>
    <w:p>
      <w:pPr>
        <w:pStyle w:val="16"/>
        <w:jc w:val="center"/>
        <w:rPr>
          <w:sz w:val="72"/>
          <w:szCs w:val="72"/>
        </w:rPr>
      </w:pPr>
    </w:p>
    <w:p>
      <w:pPr>
        <w:pStyle w:val="16"/>
        <w:jc w:val="center"/>
        <w:rPr>
          <w:sz w:val="72"/>
          <w:szCs w:val="72"/>
        </w:rPr>
      </w:pPr>
      <w:r>
        <w:rPr>
          <w:rFonts w:hint="eastAsia"/>
          <w:sz w:val="72"/>
          <w:szCs w:val="72"/>
        </w:rPr>
        <w:t>第四部分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ind w:firstLine="640" w:firstLineChars="200"/>
        <w:jc w:val="left"/>
        <w:rPr>
          <w:rFonts w:cs="黑体" w:asciiTheme="minorEastAsia" w:hAnsiTheme="minorEastAsia"/>
          <w:color w:val="000000"/>
          <w:kern w:val="0"/>
          <w:sz w:val="32"/>
          <w:szCs w:val="32"/>
        </w:rPr>
      </w:pPr>
    </w:p>
    <w:p>
      <w:pPr>
        <w:widowControl/>
        <w:spacing w:line="560" w:lineRule="exact"/>
        <w:ind w:left="648" w:leftChars="309" w:right="1005" w:rightChars="479" w:firstLine="609" w:firstLineChars="0"/>
        <w:rPr>
          <w:rFonts w:hint="eastAsia" w:eastAsia="仿宋_GB2312"/>
          <w:sz w:val="32"/>
          <w:szCs w:val="32"/>
        </w:rPr>
      </w:pPr>
      <w:r>
        <w:rPr>
          <w:rFonts w:hint="eastAsia" w:ascii="楷体_GB2312" w:hAnsi="楷体_GB2312" w:eastAsia="楷体_GB2312" w:cs="楷体_GB2312"/>
          <w:b/>
          <w:bCs/>
          <w:sz w:val="32"/>
          <w:szCs w:val="32"/>
        </w:rPr>
        <w:t>1.机关运行经费：</w:t>
      </w:r>
      <w:r>
        <w:rPr>
          <w:rFonts w:hint="eastAsia" w:eastAsia="仿宋_GB2312"/>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ind w:left="648" w:leftChars="309" w:right="1005" w:rightChars="479" w:firstLine="609" w:firstLineChars="0"/>
        <w:rPr>
          <w:rFonts w:hint="eastAsia" w:ascii="仿宋_GB2312" w:eastAsia="仿宋_GB2312"/>
          <w:sz w:val="30"/>
          <w:szCs w:val="30"/>
        </w:rPr>
      </w:pPr>
      <w:r>
        <w:rPr>
          <w:rFonts w:hint="eastAsia" w:ascii="楷体_GB2312" w:hAnsi="楷体_GB2312" w:eastAsia="楷体_GB2312" w:cs="楷体_GB2312"/>
          <w:b/>
          <w:bCs/>
          <w:sz w:val="32"/>
          <w:szCs w:val="32"/>
        </w:rPr>
        <w:t>2.“三公”经费：</w:t>
      </w:r>
      <w:r>
        <w:rPr>
          <w:rFonts w:hint="eastAsia" w:eastAsia="仿宋_GB2312"/>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6"/>
        <w:jc w:val="center"/>
        <w:rPr>
          <w:sz w:val="72"/>
          <w:szCs w:val="72"/>
        </w:rPr>
      </w:pPr>
    </w:p>
    <w:p>
      <w:pPr>
        <w:pStyle w:val="16"/>
        <w:jc w:val="center"/>
        <w:rPr>
          <w:sz w:val="72"/>
          <w:szCs w:val="72"/>
        </w:rPr>
      </w:pPr>
    </w:p>
    <w:p>
      <w:pPr>
        <w:pStyle w:val="16"/>
        <w:jc w:val="center"/>
        <w:rPr>
          <w:sz w:val="72"/>
          <w:szCs w:val="72"/>
        </w:rPr>
      </w:pPr>
    </w:p>
    <w:p>
      <w:pPr>
        <w:pStyle w:val="16"/>
        <w:jc w:val="center"/>
        <w:rPr>
          <w:sz w:val="72"/>
          <w:szCs w:val="72"/>
        </w:rPr>
      </w:pPr>
    </w:p>
    <w:p>
      <w:pPr>
        <w:pStyle w:val="16"/>
        <w:jc w:val="center"/>
        <w:rPr>
          <w:sz w:val="72"/>
          <w:szCs w:val="72"/>
        </w:rPr>
      </w:pPr>
    </w:p>
    <w:p>
      <w:pPr>
        <w:pStyle w:val="16"/>
        <w:jc w:val="center"/>
        <w:rPr>
          <w:sz w:val="72"/>
          <w:szCs w:val="72"/>
        </w:rPr>
      </w:pPr>
    </w:p>
    <w:p>
      <w:pPr>
        <w:pStyle w:val="16"/>
        <w:jc w:val="center"/>
        <w:rPr>
          <w:sz w:val="72"/>
          <w:szCs w:val="72"/>
        </w:rPr>
      </w:pPr>
    </w:p>
    <w:p>
      <w:pPr>
        <w:pStyle w:val="16"/>
        <w:jc w:val="center"/>
        <w:rPr>
          <w:sz w:val="72"/>
          <w:szCs w:val="72"/>
        </w:rPr>
      </w:pPr>
    </w:p>
    <w:p>
      <w:pPr>
        <w:pStyle w:val="16"/>
        <w:jc w:val="center"/>
        <w:rPr>
          <w:sz w:val="72"/>
          <w:szCs w:val="72"/>
        </w:rPr>
      </w:pPr>
    </w:p>
    <w:p>
      <w:pPr>
        <w:pStyle w:val="16"/>
        <w:jc w:val="center"/>
        <w:rPr>
          <w:sz w:val="72"/>
          <w:szCs w:val="72"/>
        </w:rPr>
      </w:pPr>
    </w:p>
    <w:p>
      <w:pPr>
        <w:pStyle w:val="16"/>
        <w:jc w:val="center"/>
        <w:rPr>
          <w:sz w:val="72"/>
          <w:szCs w:val="72"/>
        </w:rPr>
      </w:pPr>
      <w:r>
        <w:rPr>
          <w:rFonts w:hint="eastAsia"/>
          <w:sz w:val="72"/>
          <w:szCs w:val="72"/>
        </w:rPr>
        <w:t>第五部分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widowControl/>
        <w:shd w:val="clear" w:color="auto" w:fill="FFFFFF"/>
        <w:spacing w:line="600" w:lineRule="atLeast"/>
        <w:ind w:left="0" w:leftChars="0" w:firstLine="0" w:firstLineChars="0"/>
        <w:jc w:val="center"/>
        <w:rPr>
          <w:rFonts w:hint="eastAsia" w:ascii="黑体" w:hAnsi="黑体" w:eastAsia="黑体" w:cs="黑体"/>
          <w:b/>
          <w:spacing w:val="-2"/>
          <w:sz w:val="36"/>
          <w:szCs w:val="36"/>
          <w:lang w:eastAsia="zh-CN"/>
        </w:rPr>
      </w:pPr>
    </w:p>
    <w:p>
      <w:pPr>
        <w:widowControl/>
        <w:shd w:val="clear" w:color="auto" w:fill="FFFFFF"/>
        <w:spacing w:line="600" w:lineRule="atLeast"/>
        <w:ind w:left="0" w:leftChars="0" w:firstLine="0" w:firstLineChars="0"/>
        <w:jc w:val="center"/>
        <w:rPr>
          <w:rFonts w:hint="eastAsia" w:eastAsia="仿宋_GB2312"/>
          <w:b/>
          <w:spacing w:val="-2"/>
          <w:sz w:val="36"/>
          <w:szCs w:val="36"/>
        </w:rPr>
      </w:pPr>
      <w:r>
        <w:rPr>
          <w:rFonts w:hint="eastAsia" w:ascii="黑体" w:hAnsi="黑体" w:eastAsia="黑体" w:cs="黑体"/>
          <w:b/>
          <w:spacing w:val="-2"/>
          <w:sz w:val="36"/>
          <w:szCs w:val="36"/>
          <w:lang w:eastAsia="zh-CN"/>
        </w:rPr>
        <w:t>怀化市财政局</w:t>
      </w:r>
      <w:r>
        <w:rPr>
          <w:rFonts w:hint="eastAsia" w:ascii="黑体" w:hAnsi="黑体" w:eastAsia="黑体" w:cs="黑体"/>
          <w:b/>
          <w:spacing w:val="-2"/>
          <w:sz w:val="36"/>
          <w:szCs w:val="36"/>
          <w:lang w:val="en-US" w:eastAsia="zh-CN"/>
        </w:rPr>
        <w:t>2024年</w:t>
      </w:r>
      <w:r>
        <w:rPr>
          <w:rFonts w:hint="eastAsia" w:ascii="黑体" w:hAnsi="黑体" w:eastAsia="黑体" w:cs="黑体"/>
          <w:b/>
          <w:spacing w:val="-2"/>
          <w:sz w:val="36"/>
          <w:szCs w:val="36"/>
        </w:rPr>
        <w:t>部门整体支出绩效</w:t>
      </w:r>
      <w:r>
        <w:rPr>
          <w:rFonts w:hint="eastAsia" w:ascii="黑体" w:hAnsi="黑体" w:eastAsia="黑体" w:cs="黑体"/>
          <w:b/>
          <w:spacing w:val="-2"/>
          <w:sz w:val="36"/>
          <w:szCs w:val="36"/>
          <w:lang w:eastAsia="zh-CN"/>
        </w:rPr>
        <w:t>自</w:t>
      </w:r>
      <w:r>
        <w:rPr>
          <w:rFonts w:hint="eastAsia" w:ascii="黑体" w:hAnsi="黑体" w:eastAsia="黑体" w:cs="黑体"/>
          <w:b/>
          <w:spacing w:val="-2"/>
          <w:sz w:val="36"/>
          <w:szCs w:val="36"/>
        </w:rPr>
        <w:t>评报告</w:t>
      </w:r>
    </w:p>
    <w:p>
      <w:pPr>
        <w:keepNext w:val="0"/>
        <w:keepLines w:val="0"/>
        <w:pageBreakBefore w:val="0"/>
        <w:widowControl w:val="0"/>
        <w:kinsoku/>
        <w:wordWrap/>
        <w:overflowPunct/>
        <w:topLinePunct w:val="0"/>
        <w:autoSpaceDE/>
        <w:autoSpaceDN/>
        <w:bidi w:val="0"/>
        <w:adjustRightInd/>
        <w:snapToGrid w:val="0"/>
        <w:spacing w:line="556" w:lineRule="exact"/>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一、部门概况</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方正楷体_GBK" w:hAnsi="方正楷体_GBK" w:eastAsia="方正楷体_GBK" w:cs="方正楷体_GBK"/>
          <w:color w:val="auto"/>
          <w:sz w:val="32"/>
          <w:szCs w:val="32"/>
          <w:highlight w:val="none"/>
          <w:lang w:val="en-US" w:eastAsia="zh-CN"/>
        </w:rPr>
      </w:pPr>
      <w:r>
        <w:rPr>
          <w:rFonts w:hint="eastAsia" w:ascii="方正楷体_GBK" w:hAnsi="方正楷体_GBK" w:eastAsia="方正楷体_GBK" w:cs="方正楷体_GBK"/>
          <w:color w:val="auto"/>
          <w:sz w:val="32"/>
          <w:szCs w:val="32"/>
          <w:highlight w:val="none"/>
          <w:lang w:val="en-US" w:eastAsia="zh-CN"/>
        </w:rPr>
        <w:t>（一）部门（单位）基本情况</w:t>
      </w:r>
    </w:p>
    <w:p>
      <w:pPr>
        <w:pStyle w:val="11"/>
        <w:keepNext w:val="0"/>
        <w:keepLines w:val="0"/>
        <w:pageBreakBefore w:val="0"/>
        <w:widowControl/>
        <w:suppressLineNumbers w:val="0"/>
        <w:kinsoku/>
        <w:wordWrap/>
        <w:overflowPunct/>
        <w:topLinePunct w:val="0"/>
        <w:autoSpaceDE/>
        <w:autoSpaceDN/>
        <w:bidi w:val="0"/>
        <w:spacing w:before="0" w:beforeLines="0" w:beforeAutospacing="0" w:after="0" w:afterLines="0" w:afterAutospacing="0" w:line="556" w:lineRule="exact"/>
        <w:ind w:left="0" w:right="0" w:firstLine="640"/>
        <w:jc w:val="left"/>
        <w:rPr>
          <w:rFonts w:hint="eastAsia" w:ascii="方正仿宋_GB2312" w:hAnsi="方正仿宋_GB2312" w:eastAsia="方正仿宋_GB2312" w:cs="方正仿宋_GB2312"/>
          <w:b/>
          <w:bCs w:val="0"/>
          <w:sz w:val="32"/>
          <w:szCs w:val="32"/>
        </w:rPr>
      </w:pPr>
      <w:r>
        <w:rPr>
          <w:rFonts w:hint="eastAsia" w:ascii="方正仿宋_GB2312" w:hAnsi="方正仿宋_GB2312" w:eastAsia="方正仿宋_GB2312" w:cs="方正仿宋_GB2312"/>
          <w:b/>
          <w:bCs w:val="0"/>
          <w:color w:val="313131"/>
          <w:sz w:val="32"/>
          <w:szCs w:val="32"/>
        </w:rPr>
        <w:t>1、人员机构情况</w:t>
      </w:r>
    </w:p>
    <w:p>
      <w:pPr>
        <w:keepNext w:val="0"/>
        <w:keepLines w:val="0"/>
        <w:pageBreakBefore w:val="0"/>
        <w:widowControl/>
        <w:numPr>
          <w:ilvl w:val="0"/>
          <w:numId w:val="0"/>
        </w:numPr>
        <w:suppressLineNumbers w:val="0"/>
        <w:kinsoku/>
        <w:wordWrap/>
        <w:overflowPunct/>
        <w:topLinePunct w:val="0"/>
        <w:autoSpaceDE/>
        <w:autoSpaceDN/>
        <w:bidi w:val="0"/>
        <w:spacing w:line="556" w:lineRule="exact"/>
        <w:ind w:firstLine="640" w:firstLineChars="200"/>
        <w:jc w:val="left"/>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怀化市财政局属依法设立的怀化市人民政府工作部门，属全额拨款的行政事业单位，行政级别正处级。下设21个内设机构、2个副处级参公管理事业单位、1个副处级公益一类事业单位及5个事业科室，现有在职干部职工199人,离休人员1人。</w:t>
      </w:r>
    </w:p>
    <w:p>
      <w:pPr>
        <w:pStyle w:val="11"/>
        <w:keepNext w:val="0"/>
        <w:keepLines w:val="0"/>
        <w:pageBreakBefore w:val="0"/>
        <w:widowControl/>
        <w:suppressLineNumbers w:val="0"/>
        <w:kinsoku/>
        <w:wordWrap/>
        <w:overflowPunct/>
        <w:topLinePunct w:val="0"/>
        <w:autoSpaceDE/>
        <w:autoSpaceDN/>
        <w:bidi w:val="0"/>
        <w:spacing w:before="0" w:beforeLines="0" w:beforeAutospacing="0" w:after="0" w:afterLines="0" w:afterAutospacing="0" w:line="556" w:lineRule="exact"/>
        <w:ind w:left="0" w:right="0" w:firstLine="640"/>
        <w:jc w:val="left"/>
        <w:rPr>
          <w:rFonts w:hint="eastAsia" w:ascii="方正仿宋_GB2312" w:hAnsi="方正仿宋_GB2312" w:eastAsia="方正仿宋_GB2312" w:cs="方正仿宋_GB2312"/>
          <w:b/>
          <w:bCs w:val="0"/>
          <w:color w:val="313131"/>
          <w:sz w:val="32"/>
          <w:szCs w:val="32"/>
          <w:lang w:bidi="ar-SA"/>
        </w:rPr>
      </w:pPr>
      <w:r>
        <w:rPr>
          <w:rFonts w:hint="eastAsia" w:ascii="方正仿宋_GB2312" w:hAnsi="方正仿宋_GB2312" w:eastAsia="方正仿宋_GB2312" w:cs="方正仿宋_GB2312"/>
          <w:b/>
          <w:bCs w:val="0"/>
          <w:color w:val="313131"/>
          <w:sz w:val="32"/>
          <w:szCs w:val="32"/>
          <w:lang w:bidi="ar-SA"/>
        </w:rPr>
        <w:t>2、主要职责</w:t>
      </w:r>
    </w:p>
    <w:p>
      <w:pPr>
        <w:keepNext w:val="0"/>
        <w:keepLines w:val="0"/>
        <w:pageBreakBefore w:val="0"/>
        <w:widowControl/>
        <w:numPr>
          <w:ilvl w:val="0"/>
          <w:numId w:val="0"/>
        </w:numPr>
        <w:suppressLineNumbers w:val="0"/>
        <w:kinsoku/>
        <w:wordWrap/>
        <w:overflowPunct/>
        <w:topLinePunct w:val="0"/>
        <w:autoSpaceDE/>
        <w:autoSpaceDN/>
        <w:bidi w:val="0"/>
        <w:spacing w:line="556" w:lineRule="exact"/>
        <w:ind w:firstLine="640" w:firstLineChars="200"/>
        <w:jc w:val="left"/>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1）组织贯彻执行国家财税方针政策，拟订和执行全市财政政策、改革方案，指导全市财政工作；分析预测宏观经济形势，参与制定各项宏观经济政策;提出运用财税政策实施宏观调控和综合平衡社会财力的建议；拟订和执行政府与企业的分配政策，完善鼓励公益事业发展的财税政策。贯彻执行国家有关金融工作的方针、政策和法律、法规，组织拟订市人民政府金融领域有关规章草案；组织拟订加强全市金融行业服务、促进金融行业发展的意见和政策建议。</w:t>
      </w:r>
    </w:p>
    <w:p>
      <w:pPr>
        <w:keepNext w:val="0"/>
        <w:keepLines w:val="0"/>
        <w:pageBreakBefore w:val="0"/>
        <w:widowControl/>
        <w:numPr>
          <w:ilvl w:val="0"/>
          <w:numId w:val="0"/>
        </w:numPr>
        <w:suppressLineNumbers w:val="0"/>
        <w:kinsoku/>
        <w:wordWrap/>
        <w:overflowPunct/>
        <w:topLinePunct w:val="0"/>
        <w:autoSpaceDE/>
        <w:autoSpaceDN/>
        <w:bidi w:val="0"/>
        <w:spacing w:line="556" w:lineRule="exact"/>
        <w:ind w:firstLine="640" w:firstLineChars="200"/>
        <w:jc w:val="left"/>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（2）代政府起草财政、财务、会议管理的制度及办法。</w:t>
      </w:r>
    </w:p>
    <w:p>
      <w:pPr>
        <w:keepNext w:val="0"/>
        <w:keepLines w:val="0"/>
        <w:pageBreakBefore w:val="0"/>
        <w:widowControl/>
        <w:numPr>
          <w:ilvl w:val="0"/>
          <w:numId w:val="0"/>
        </w:numPr>
        <w:suppressLineNumbers w:val="0"/>
        <w:kinsoku/>
        <w:wordWrap/>
        <w:overflowPunct/>
        <w:topLinePunct w:val="0"/>
        <w:autoSpaceDE/>
        <w:autoSpaceDN/>
        <w:bidi w:val="0"/>
        <w:spacing w:line="556" w:lineRule="exact"/>
        <w:ind w:firstLine="640" w:firstLineChars="200"/>
        <w:jc w:val="left"/>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3）承担市本级各项财政收支管理的责任；负责编制年度市本级预决算草案并组织执行；代编全市财政收支预算，汇总全市财政总决算；受市人民政府委托，向市人民代表大会报告市本级、全市预算及其执行情况，向市人大常委会报告决算；组织制订市本级经费开支标准、定额，负责审核批复部门(单位)的年度预决算。完善转移支付制度，推进省直管县财政体制改革。</w:t>
      </w:r>
    </w:p>
    <w:p>
      <w:pPr>
        <w:keepNext w:val="0"/>
        <w:keepLines w:val="0"/>
        <w:pageBreakBefore w:val="0"/>
        <w:widowControl/>
        <w:numPr>
          <w:ilvl w:val="0"/>
          <w:numId w:val="0"/>
        </w:numPr>
        <w:suppressLineNumbers w:val="0"/>
        <w:kinsoku/>
        <w:wordWrap/>
        <w:overflowPunct/>
        <w:topLinePunct w:val="0"/>
        <w:autoSpaceDE/>
        <w:autoSpaceDN/>
        <w:bidi w:val="0"/>
        <w:spacing w:line="556" w:lineRule="exact"/>
        <w:ind w:firstLine="640" w:firstLineChars="200"/>
        <w:jc w:val="left"/>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（4）负责政府非税收入管理；负责政府性基金管理，按规定管理行政事业性收费；负责管理财政票据；负责制定彩票管理政策，管理彩票市场，按规定管理彩票资金。</w:t>
      </w:r>
    </w:p>
    <w:p>
      <w:pPr>
        <w:keepNext w:val="0"/>
        <w:keepLines w:val="0"/>
        <w:pageBreakBefore w:val="0"/>
        <w:widowControl/>
        <w:numPr>
          <w:ilvl w:val="0"/>
          <w:numId w:val="0"/>
        </w:numPr>
        <w:suppressLineNumbers w:val="0"/>
        <w:kinsoku/>
        <w:wordWrap/>
        <w:overflowPunct/>
        <w:topLinePunct w:val="0"/>
        <w:autoSpaceDE/>
        <w:autoSpaceDN/>
        <w:bidi w:val="0"/>
        <w:spacing w:line="556" w:lineRule="exact"/>
        <w:ind w:firstLine="640" w:firstLineChars="200"/>
        <w:jc w:val="left"/>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（5）组织制定国库管理制度、国库集中收付制度，指导和监督市本级国库业务，按规定开展国库现金管理工作。负责制定政府采购制度并监督管理。</w:t>
      </w:r>
    </w:p>
    <w:p>
      <w:pPr>
        <w:keepNext w:val="0"/>
        <w:keepLines w:val="0"/>
        <w:pageBreakBefore w:val="0"/>
        <w:widowControl/>
        <w:numPr>
          <w:ilvl w:val="0"/>
          <w:numId w:val="0"/>
        </w:numPr>
        <w:suppressLineNumbers w:val="0"/>
        <w:kinsoku/>
        <w:wordWrap/>
        <w:overflowPunct/>
        <w:topLinePunct w:val="0"/>
        <w:autoSpaceDE/>
        <w:autoSpaceDN/>
        <w:bidi w:val="0"/>
        <w:spacing w:line="556" w:lineRule="exact"/>
        <w:ind w:firstLine="640" w:firstLineChars="200"/>
        <w:jc w:val="left"/>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（6）贯彻执行国家财税法律、法规和税收调整政策，反馈政策执行情况，提出调整建议；参与市管理权限内有关税收政策及税收政策调整方案的调查研究，提出对策建议。</w:t>
      </w:r>
    </w:p>
    <w:p>
      <w:pPr>
        <w:keepNext w:val="0"/>
        <w:keepLines w:val="0"/>
        <w:pageBreakBefore w:val="0"/>
        <w:widowControl/>
        <w:numPr>
          <w:ilvl w:val="0"/>
          <w:numId w:val="0"/>
        </w:numPr>
        <w:suppressLineNumbers w:val="0"/>
        <w:kinsoku/>
        <w:wordWrap/>
        <w:overflowPunct/>
        <w:topLinePunct w:val="0"/>
        <w:autoSpaceDE/>
        <w:autoSpaceDN/>
        <w:bidi w:val="0"/>
        <w:spacing w:line="556" w:lineRule="exact"/>
        <w:ind w:firstLine="640" w:firstLineChars="200"/>
        <w:jc w:val="left"/>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（7）负责制定全市行政事业单位国有资产管理规章制度，按规定管理行政事业单位国有资产，制定需要全市统一规定的开支标准和支出政策，负责财政预算内行政、事业单位和社会团体的非贸易外汇管理。</w:t>
      </w:r>
    </w:p>
    <w:p>
      <w:pPr>
        <w:keepNext w:val="0"/>
        <w:keepLines w:val="0"/>
        <w:pageBreakBefore w:val="0"/>
        <w:widowControl/>
        <w:numPr>
          <w:ilvl w:val="0"/>
          <w:numId w:val="0"/>
        </w:numPr>
        <w:suppressLineNumbers w:val="0"/>
        <w:kinsoku/>
        <w:wordWrap/>
        <w:overflowPunct/>
        <w:topLinePunct w:val="0"/>
        <w:autoSpaceDE/>
        <w:autoSpaceDN/>
        <w:bidi w:val="0"/>
        <w:spacing w:line="556" w:lineRule="exact"/>
        <w:ind w:firstLine="640" w:firstLineChars="200"/>
        <w:jc w:val="left"/>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8）负责审核和汇总编制全市国有资本经营预决算草案，制定国有资本经营预算的制度和办法，收取市本级企业国有资本收益，组织实施企业财务制度，按规定管理地方金嘈类企业国有资产，参与拟订企业国有资产管理相关制度，负责未纳入市国资委监管企业的国有资产管理，管理资产评估工作。</w:t>
      </w:r>
    </w:p>
    <w:p>
      <w:pPr>
        <w:keepNext w:val="0"/>
        <w:keepLines w:val="0"/>
        <w:pageBreakBefore w:val="0"/>
        <w:widowControl/>
        <w:numPr>
          <w:ilvl w:val="0"/>
          <w:numId w:val="0"/>
        </w:numPr>
        <w:suppressLineNumbers w:val="0"/>
        <w:kinsoku/>
        <w:wordWrap/>
        <w:overflowPunct/>
        <w:topLinePunct w:val="0"/>
        <w:autoSpaceDE/>
        <w:autoSpaceDN/>
        <w:bidi w:val="0"/>
        <w:spacing w:line="556" w:lineRule="exact"/>
        <w:ind w:firstLine="640" w:firstLineChars="200"/>
        <w:jc w:val="left"/>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（9）负责办理和监督市级财政的经济发展支出、市级政府性投资项目的财政拨款，参与拟订市建设投资的有关政策，组织实施基本建设财务制度，负责有关政策性补贴和专项储备资金财政管理工作。</w:t>
      </w:r>
    </w:p>
    <w:p>
      <w:pPr>
        <w:keepNext w:val="0"/>
        <w:keepLines w:val="0"/>
        <w:pageBreakBefore w:val="0"/>
        <w:widowControl/>
        <w:numPr>
          <w:ilvl w:val="0"/>
          <w:numId w:val="0"/>
        </w:numPr>
        <w:suppressLineNumbers w:val="0"/>
        <w:kinsoku/>
        <w:wordWrap/>
        <w:overflowPunct/>
        <w:topLinePunct w:val="0"/>
        <w:autoSpaceDE/>
        <w:autoSpaceDN/>
        <w:bidi w:val="0"/>
        <w:spacing w:line="556" w:lineRule="exact"/>
        <w:ind w:firstLine="640" w:firstLineChars="200"/>
        <w:jc w:val="left"/>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（10）会同有关部门管理市级财政社会保障和就业及医疗卫生支出，组织实施社会保障资金(基金)的财务管理制度，编制市社会保障预决算草案。</w:t>
      </w:r>
    </w:p>
    <w:p>
      <w:pPr>
        <w:keepNext w:val="0"/>
        <w:keepLines w:val="0"/>
        <w:pageBreakBefore w:val="0"/>
        <w:widowControl/>
        <w:numPr>
          <w:ilvl w:val="0"/>
          <w:numId w:val="0"/>
        </w:numPr>
        <w:suppressLineNumbers w:val="0"/>
        <w:kinsoku/>
        <w:wordWrap/>
        <w:overflowPunct/>
        <w:topLinePunct w:val="0"/>
        <w:autoSpaceDE/>
        <w:autoSpaceDN/>
        <w:bidi w:val="0"/>
        <w:spacing w:line="556" w:lineRule="exact"/>
        <w:ind w:firstLine="640" w:firstLineChars="200"/>
        <w:jc w:val="left"/>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（11）贯彻执行政府内外债务管理的政策、制度和办法，防范财政风险；负责统一管理市政府外债，制定基本管理制度，按规定管理外国政府和国外金融组织贷(赠)款；承担财税领域交流与合作的具体工作。</w:t>
      </w:r>
    </w:p>
    <w:p>
      <w:pPr>
        <w:keepNext w:val="0"/>
        <w:keepLines w:val="0"/>
        <w:pageBreakBefore w:val="0"/>
        <w:widowControl/>
        <w:numPr>
          <w:ilvl w:val="0"/>
          <w:numId w:val="0"/>
        </w:numPr>
        <w:suppressLineNumbers w:val="0"/>
        <w:kinsoku/>
        <w:wordWrap/>
        <w:overflowPunct/>
        <w:topLinePunct w:val="0"/>
        <w:autoSpaceDE/>
        <w:autoSpaceDN/>
        <w:bidi w:val="0"/>
        <w:spacing w:line="556" w:lineRule="exact"/>
        <w:ind w:firstLine="640" w:firstLineChars="200"/>
        <w:jc w:val="left"/>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（12）负责管理全市的会计工作，监督和规范会计行为，组织实施国家统一的会计制度，组织实施全省会计行政法规规章，指导和监督注册会计师和会计师事务所的业务，指导和管理社会审计。</w:t>
      </w:r>
    </w:p>
    <w:p>
      <w:pPr>
        <w:keepNext w:val="0"/>
        <w:keepLines w:val="0"/>
        <w:pageBreakBefore w:val="0"/>
        <w:widowControl/>
        <w:numPr>
          <w:ilvl w:val="0"/>
          <w:numId w:val="0"/>
        </w:numPr>
        <w:suppressLineNumbers w:val="0"/>
        <w:kinsoku/>
        <w:wordWrap/>
        <w:overflowPunct/>
        <w:topLinePunct w:val="0"/>
        <w:autoSpaceDE/>
        <w:autoSpaceDN/>
        <w:bidi w:val="0"/>
        <w:spacing w:line="556" w:lineRule="exact"/>
        <w:ind w:firstLine="640" w:firstLineChars="200"/>
        <w:jc w:val="left"/>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（13）监督检查财税法规、政策的执行情况，反映财政收支管理中的重大问题，提出加强财政管理的政策和建议。</w:t>
      </w:r>
    </w:p>
    <w:p>
      <w:pPr>
        <w:keepNext w:val="0"/>
        <w:keepLines w:val="0"/>
        <w:pageBreakBefore w:val="0"/>
        <w:widowControl/>
        <w:numPr>
          <w:ilvl w:val="0"/>
          <w:numId w:val="0"/>
        </w:numPr>
        <w:suppressLineNumbers w:val="0"/>
        <w:kinsoku/>
        <w:wordWrap/>
        <w:overflowPunct/>
        <w:topLinePunct w:val="0"/>
        <w:autoSpaceDE/>
        <w:autoSpaceDN/>
        <w:bidi w:val="0"/>
        <w:spacing w:line="556" w:lineRule="exact"/>
        <w:ind w:firstLine="640" w:firstLineChars="200"/>
        <w:jc w:val="left"/>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（14）研究分析国家金融政策、宏观金融形势和全市金融运行情况，会同有关部门推进全市金融市场体系建设。</w:t>
      </w:r>
    </w:p>
    <w:p>
      <w:pPr>
        <w:keepNext w:val="0"/>
        <w:keepLines w:val="0"/>
        <w:pageBreakBefore w:val="0"/>
        <w:widowControl/>
        <w:numPr>
          <w:ilvl w:val="0"/>
          <w:numId w:val="0"/>
        </w:numPr>
        <w:suppressLineNumbers w:val="0"/>
        <w:kinsoku/>
        <w:wordWrap/>
        <w:overflowPunct/>
        <w:topLinePunct w:val="0"/>
        <w:autoSpaceDE/>
        <w:autoSpaceDN/>
        <w:bidi w:val="0"/>
        <w:spacing w:line="556" w:lineRule="exact"/>
        <w:ind w:firstLine="640" w:firstLineChars="200"/>
        <w:jc w:val="left"/>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 （15）负责联系省驻怀金融管理部门、各类金额融机构；组织开展政府与金融机构合作、金融机构和企业对接，引导、协调和鼓励金融机构加大对全市经济社会发展的支持力度。</w:t>
      </w:r>
    </w:p>
    <w:p>
      <w:pPr>
        <w:keepNext w:val="0"/>
        <w:keepLines w:val="0"/>
        <w:pageBreakBefore w:val="0"/>
        <w:widowControl/>
        <w:numPr>
          <w:ilvl w:val="0"/>
          <w:numId w:val="0"/>
        </w:numPr>
        <w:suppressLineNumbers w:val="0"/>
        <w:kinsoku/>
        <w:wordWrap/>
        <w:overflowPunct/>
        <w:topLinePunct w:val="0"/>
        <w:autoSpaceDE/>
        <w:autoSpaceDN/>
        <w:bidi w:val="0"/>
        <w:spacing w:line="556" w:lineRule="exact"/>
        <w:ind w:firstLine="640" w:firstLineChars="200"/>
        <w:jc w:val="left"/>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 （16）指导全市村镇银行、小额贷款公司、融资性担保机构等地方金融机构的改革、发展、监管和重组；会同有关部门推进全市社会信用体系建设和金融安全区创建，推进改善金融生态环境。</w:t>
      </w:r>
    </w:p>
    <w:p>
      <w:pPr>
        <w:keepNext w:val="0"/>
        <w:keepLines w:val="0"/>
        <w:pageBreakBefore w:val="0"/>
        <w:widowControl/>
        <w:numPr>
          <w:ilvl w:val="0"/>
          <w:numId w:val="0"/>
        </w:numPr>
        <w:suppressLineNumbers w:val="0"/>
        <w:kinsoku/>
        <w:wordWrap/>
        <w:overflowPunct/>
        <w:topLinePunct w:val="0"/>
        <w:autoSpaceDE/>
        <w:autoSpaceDN/>
        <w:bidi w:val="0"/>
        <w:spacing w:line="556" w:lineRule="exact"/>
        <w:ind w:firstLine="640" w:firstLineChars="200"/>
        <w:jc w:val="left"/>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（17）指导、协调发行地方政府债券工作。</w:t>
      </w:r>
    </w:p>
    <w:p>
      <w:pPr>
        <w:keepNext w:val="0"/>
        <w:keepLines w:val="0"/>
        <w:pageBreakBefore w:val="0"/>
        <w:widowControl/>
        <w:numPr>
          <w:ilvl w:val="0"/>
          <w:numId w:val="0"/>
        </w:numPr>
        <w:suppressLineNumbers w:val="0"/>
        <w:kinsoku/>
        <w:wordWrap/>
        <w:overflowPunct/>
        <w:topLinePunct w:val="0"/>
        <w:autoSpaceDE/>
        <w:autoSpaceDN/>
        <w:bidi w:val="0"/>
        <w:spacing w:line="556" w:lineRule="exact"/>
        <w:ind w:firstLine="640" w:firstLineChars="200"/>
        <w:jc w:val="left"/>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18）履行国有金融资本管理，起草年度国有资产管理综合报告及行政事业性国有资产（含行政事业单位经管资产）和金融企业国有资产专项报告，负责全面实施预算绩效管理相关工作，研究拟定政府购买服务制度和政策并组织实施并组织实施职责。</w:t>
      </w:r>
    </w:p>
    <w:p>
      <w:pPr>
        <w:keepNext w:val="0"/>
        <w:keepLines w:val="0"/>
        <w:pageBreakBefore w:val="0"/>
        <w:widowControl/>
        <w:numPr>
          <w:ilvl w:val="0"/>
          <w:numId w:val="0"/>
        </w:numPr>
        <w:suppressLineNumbers w:val="0"/>
        <w:kinsoku/>
        <w:wordWrap/>
        <w:overflowPunct/>
        <w:topLinePunct w:val="0"/>
        <w:autoSpaceDE/>
        <w:autoSpaceDN/>
        <w:bidi w:val="0"/>
        <w:spacing w:line="556" w:lineRule="exact"/>
        <w:ind w:firstLine="640" w:firstLineChars="200"/>
        <w:jc w:val="left"/>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b w:val="0"/>
          <w:bCs w:val="0"/>
          <w:color w:val="000000"/>
          <w:sz w:val="32"/>
          <w:szCs w:val="32"/>
          <w:lang w:val="en-US" w:eastAsia="zh-CN"/>
        </w:rPr>
        <w:t>（19）承办市委、市人民政府交办的其他事项。</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方正楷体_GBK" w:hAnsi="方正楷体_GBK" w:eastAsia="方正楷体_GBK" w:cs="方正楷体_GBK"/>
          <w:color w:val="auto"/>
          <w:sz w:val="32"/>
          <w:szCs w:val="32"/>
          <w:highlight w:val="none"/>
          <w:lang w:val="en-US" w:eastAsia="zh-CN"/>
        </w:rPr>
      </w:pPr>
      <w:r>
        <w:rPr>
          <w:rFonts w:hint="eastAsia" w:ascii="方正楷体_GBK" w:hAnsi="方正楷体_GBK" w:eastAsia="方正楷体_GBK" w:cs="方正楷体_GBK"/>
          <w:color w:val="auto"/>
          <w:sz w:val="32"/>
          <w:szCs w:val="32"/>
          <w:highlight w:val="none"/>
          <w:lang w:val="en-US" w:eastAsia="zh-CN"/>
        </w:rPr>
        <w:t>（二）部门（单位）整体支出规模、使用方向和主要内容、涉及范围等</w:t>
      </w:r>
    </w:p>
    <w:p>
      <w:pPr>
        <w:keepNext w:val="0"/>
        <w:keepLines w:val="0"/>
        <w:pageBreakBefore w:val="0"/>
        <w:widowControl/>
        <w:numPr>
          <w:ilvl w:val="0"/>
          <w:numId w:val="0"/>
        </w:numPr>
        <w:suppressLineNumbers w:val="0"/>
        <w:kinsoku/>
        <w:wordWrap/>
        <w:overflowPunct/>
        <w:topLinePunct w:val="0"/>
        <w:autoSpaceDE/>
        <w:autoSpaceDN/>
        <w:bidi w:val="0"/>
        <w:spacing w:line="556" w:lineRule="exact"/>
        <w:ind w:firstLine="640" w:firstLineChars="200"/>
        <w:jc w:val="left"/>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b w:val="0"/>
          <w:bCs w:val="0"/>
          <w:color w:val="000000"/>
          <w:sz w:val="32"/>
          <w:szCs w:val="32"/>
          <w:lang w:val="en-US" w:eastAsia="zh-CN"/>
        </w:rPr>
        <w:t>2024年怀化市财政局总支出为4880.56万元，其中：基本支出3504.93万元，项目支出1375.63万元。基本支出核算的主要内容是为保障财政局机关正常运转、完成日常工作任务而发生的人员支出和公用支出，涉及范围为局机关在职及离退休人员。项目支出核算的主要内容是财政局完成特定的工作任务或事业发展目标，在基本的预算支出以外，财政预算专款安排的支出。</w:t>
      </w:r>
    </w:p>
    <w:p>
      <w:pPr>
        <w:keepNext w:val="0"/>
        <w:keepLines w:val="0"/>
        <w:pageBreakBefore w:val="0"/>
        <w:widowControl w:val="0"/>
        <w:kinsoku/>
        <w:wordWrap/>
        <w:overflowPunct/>
        <w:topLinePunct w:val="0"/>
        <w:autoSpaceDE/>
        <w:autoSpaceDN/>
        <w:bidi w:val="0"/>
        <w:adjustRightInd/>
        <w:snapToGrid w:val="0"/>
        <w:spacing w:line="556" w:lineRule="exact"/>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二、一般公共预算支出情况</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方正楷体_GBK" w:hAnsi="方正楷体_GBK" w:eastAsia="方正楷体_GBK" w:cs="方正楷体_GBK"/>
          <w:color w:val="auto"/>
          <w:sz w:val="32"/>
          <w:szCs w:val="32"/>
          <w:highlight w:val="none"/>
          <w:lang w:val="en-US" w:eastAsia="zh-CN"/>
        </w:rPr>
      </w:pPr>
      <w:r>
        <w:rPr>
          <w:rFonts w:hint="eastAsia" w:ascii="方正楷体_GBK" w:hAnsi="方正楷体_GBK" w:eastAsia="方正楷体_GBK" w:cs="方正楷体_GBK"/>
          <w:color w:val="auto"/>
          <w:sz w:val="32"/>
          <w:szCs w:val="32"/>
          <w:highlight w:val="none"/>
          <w:lang w:val="en-US" w:eastAsia="zh-CN"/>
        </w:rPr>
        <w:t>（一）基本支出</w:t>
      </w:r>
    </w:p>
    <w:p>
      <w:pPr>
        <w:keepNext w:val="0"/>
        <w:keepLines w:val="0"/>
        <w:pageBreakBefore w:val="0"/>
        <w:widowControl/>
        <w:numPr>
          <w:ilvl w:val="0"/>
          <w:numId w:val="0"/>
        </w:numPr>
        <w:suppressLineNumbers w:val="0"/>
        <w:kinsoku/>
        <w:wordWrap/>
        <w:overflowPunct/>
        <w:topLinePunct w:val="0"/>
        <w:autoSpaceDE/>
        <w:autoSpaceDN/>
        <w:bidi w:val="0"/>
        <w:spacing w:line="556" w:lineRule="exact"/>
        <w:ind w:firstLine="640" w:firstLineChars="200"/>
        <w:jc w:val="left"/>
        <w:rPr>
          <w:rFonts w:hint="eastAsia" w:ascii="方正仿宋_GB2312" w:hAnsi="方正仿宋_GB2312" w:eastAsia="方正仿宋_GB2312" w:cs="方正仿宋_GB2312"/>
          <w:b w:val="0"/>
          <w:bCs w:val="0"/>
          <w:color w:val="000000"/>
          <w:sz w:val="32"/>
          <w:szCs w:val="32"/>
          <w:lang w:val="en-US" w:eastAsia="zh-CN"/>
        </w:rPr>
      </w:pPr>
      <w:r>
        <w:rPr>
          <w:rFonts w:hint="eastAsia" w:ascii="方正仿宋_GB2312" w:hAnsi="方正仿宋_GB2312" w:eastAsia="方正仿宋_GB2312" w:cs="方正仿宋_GB2312"/>
          <w:b w:val="0"/>
          <w:bCs w:val="0"/>
          <w:color w:val="000000"/>
          <w:sz w:val="32"/>
          <w:szCs w:val="32"/>
          <w:lang w:val="en-US" w:eastAsia="zh-CN"/>
        </w:rPr>
        <w:t>市财政局经费支出是为保障机关正常运转和完成日常工作任务而产生的支出，包括基本工资、津贴补贴、退休费等人员经费以及办公费、印刷费、水电费、办公设备购置费、差旅费、公务用车运行等日常公用经费。2024年市财政局基本支出为3504.93万元，较上年同比增长5.37%。其中：“三公经费”支出19.36万元（公车运行维护费用17.85万元，公务接待费1.51万元），较上年同比下降19.13%，完成预算指标数的64.53%。</w:t>
      </w:r>
    </w:p>
    <w:p>
      <w:pPr>
        <w:pStyle w:val="11"/>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56" w:lineRule="exact"/>
        <w:ind w:left="0" w:right="0" w:firstLine="629"/>
        <w:jc w:val="both"/>
        <w:textAlignment w:val="auto"/>
        <w:outlineLvl w:val="9"/>
        <w:rPr>
          <w:rFonts w:hint="eastAsia" w:ascii="方正仿宋_GB2312" w:hAnsi="方正仿宋_GB2312" w:eastAsia="方正仿宋_GB2312" w:cs="方正仿宋_GB2312"/>
          <w:color w:val="313131"/>
          <w:sz w:val="32"/>
          <w:szCs w:val="32"/>
        </w:rPr>
      </w:pPr>
      <w:r>
        <w:rPr>
          <w:rFonts w:hint="eastAsia" w:ascii="方正仿宋_GB2312" w:hAnsi="方正仿宋_GB2312" w:eastAsia="方正仿宋_GB2312" w:cs="方正仿宋_GB2312"/>
          <w:color w:val="313131"/>
          <w:sz w:val="32"/>
          <w:szCs w:val="32"/>
        </w:rPr>
        <w:t> </w:t>
      </w:r>
    </w:p>
    <w:p>
      <w:pPr>
        <w:pStyle w:val="11"/>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56" w:lineRule="exact"/>
        <w:ind w:left="0" w:right="0" w:firstLine="629"/>
        <w:jc w:val="both"/>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313131"/>
          <w:sz w:val="32"/>
          <w:szCs w:val="32"/>
        </w:rPr>
        <w:t> </w:t>
      </w:r>
      <w:r>
        <w:rPr>
          <w:rFonts w:hint="eastAsia" w:ascii="方正仿宋_GB2312" w:hAnsi="方正仿宋_GB2312" w:eastAsia="方正仿宋_GB2312" w:cs="方正仿宋_GB2312"/>
          <w:b/>
          <w:bCs/>
          <w:color w:val="313131"/>
          <w:sz w:val="32"/>
          <w:szCs w:val="32"/>
          <w:lang w:eastAsia="zh-CN"/>
        </w:rPr>
        <w:t>202</w:t>
      </w:r>
      <w:r>
        <w:rPr>
          <w:rFonts w:hint="eastAsia" w:ascii="方正仿宋_GB2312" w:hAnsi="方正仿宋_GB2312" w:eastAsia="方正仿宋_GB2312" w:cs="方正仿宋_GB2312"/>
          <w:b/>
          <w:bCs/>
          <w:color w:val="313131"/>
          <w:sz w:val="32"/>
          <w:szCs w:val="32"/>
          <w:lang w:val="en-US" w:eastAsia="zh-CN"/>
        </w:rPr>
        <w:t>4</w:t>
      </w:r>
      <w:r>
        <w:rPr>
          <w:rFonts w:hint="eastAsia" w:ascii="方正仿宋_GB2312" w:hAnsi="方正仿宋_GB2312" w:eastAsia="方正仿宋_GB2312" w:cs="方正仿宋_GB2312"/>
          <w:b/>
          <w:bCs/>
          <w:color w:val="313131"/>
          <w:sz w:val="32"/>
          <w:szCs w:val="32"/>
        </w:rPr>
        <w:t>年“三公”经费执行情况表（单位：万元）</w:t>
      </w:r>
    </w:p>
    <w:tbl>
      <w:tblPr>
        <w:tblStyle w:val="12"/>
        <w:tblW w:w="840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733"/>
        <w:gridCol w:w="1567"/>
        <w:gridCol w:w="1642"/>
        <w:gridCol w:w="1611"/>
        <w:gridCol w:w="18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jc w:val="both"/>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费用项目</w:t>
            </w:r>
          </w:p>
        </w:tc>
        <w:tc>
          <w:tcPr>
            <w:tcW w:w="1567"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ind w:firstLine="320" w:firstLineChars="100"/>
              <w:jc w:val="both"/>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2024</w:t>
            </w:r>
            <w:r>
              <w:rPr>
                <w:rFonts w:hint="eastAsia" w:ascii="方正仿宋_GB2312" w:hAnsi="方正仿宋_GB2312" w:eastAsia="方正仿宋_GB2312" w:cs="方正仿宋_GB2312"/>
                <w:sz w:val="32"/>
                <w:szCs w:val="32"/>
              </w:rPr>
              <w:t>年</w:t>
            </w:r>
          </w:p>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ind w:firstLine="320" w:firstLineChars="100"/>
              <w:jc w:val="both"/>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实际数</w:t>
            </w:r>
          </w:p>
        </w:tc>
        <w:tc>
          <w:tcPr>
            <w:tcW w:w="1642"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ind w:firstLine="320" w:firstLineChars="100"/>
              <w:jc w:val="both"/>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2024</w:t>
            </w:r>
            <w:r>
              <w:rPr>
                <w:rFonts w:hint="eastAsia" w:ascii="方正仿宋_GB2312" w:hAnsi="方正仿宋_GB2312" w:eastAsia="方正仿宋_GB2312" w:cs="方正仿宋_GB2312"/>
                <w:sz w:val="32"/>
                <w:szCs w:val="32"/>
              </w:rPr>
              <w:t>年</w:t>
            </w:r>
          </w:p>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ind w:firstLine="320" w:firstLineChars="100"/>
              <w:jc w:val="both"/>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控制数</w:t>
            </w:r>
          </w:p>
        </w:tc>
        <w:tc>
          <w:tcPr>
            <w:tcW w:w="1611"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ind w:firstLine="320" w:firstLineChars="100"/>
              <w:jc w:val="both"/>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2023</w:t>
            </w:r>
            <w:r>
              <w:rPr>
                <w:rFonts w:hint="eastAsia" w:ascii="方正仿宋_GB2312" w:hAnsi="方正仿宋_GB2312" w:eastAsia="方正仿宋_GB2312" w:cs="方正仿宋_GB2312"/>
                <w:sz w:val="32"/>
                <w:szCs w:val="32"/>
              </w:rPr>
              <w:t>年</w:t>
            </w:r>
          </w:p>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ind w:firstLine="320" w:firstLineChars="100"/>
              <w:jc w:val="both"/>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实际数</w:t>
            </w:r>
          </w:p>
        </w:tc>
        <w:tc>
          <w:tcPr>
            <w:tcW w:w="1850"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ind w:firstLine="640" w:firstLineChars="200"/>
              <w:jc w:val="both"/>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增减</w:t>
            </w:r>
          </w:p>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ind w:firstLine="640" w:firstLineChars="200"/>
              <w:jc w:val="both"/>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jc w:val="both"/>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公车运行费</w:t>
            </w:r>
          </w:p>
        </w:tc>
        <w:tc>
          <w:tcPr>
            <w:tcW w:w="1567"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ind w:firstLine="320" w:firstLineChars="100"/>
              <w:jc w:val="both"/>
              <w:textAlignment w:val="auto"/>
              <w:outlineLvl w:val="9"/>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17.85</w:t>
            </w:r>
          </w:p>
        </w:tc>
        <w:tc>
          <w:tcPr>
            <w:tcW w:w="1642"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ind w:firstLine="320" w:firstLineChars="100"/>
              <w:jc w:val="both"/>
              <w:textAlignment w:val="auto"/>
              <w:outlineLvl w:val="9"/>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24.00</w:t>
            </w:r>
          </w:p>
        </w:tc>
        <w:tc>
          <w:tcPr>
            <w:tcW w:w="1611"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ind w:firstLine="320" w:firstLineChars="100"/>
              <w:jc w:val="both"/>
              <w:textAlignment w:val="auto"/>
              <w:outlineLvl w:val="9"/>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20.77</w:t>
            </w:r>
          </w:p>
        </w:tc>
        <w:tc>
          <w:tcPr>
            <w:tcW w:w="1850"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ind w:firstLine="640" w:firstLineChars="200"/>
              <w:jc w:val="both"/>
              <w:textAlignment w:val="auto"/>
              <w:outlineLvl w:val="9"/>
              <w:rPr>
                <w:rFonts w:hint="eastAsia" w:ascii="方正仿宋_GB2312" w:hAnsi="方正仿宋_GB2312" w:eastAsia="方正仿宋_GB2312" w:cs="方正仿宋_GB2312"/>
                <w:sz w:val="32"/>
                <w:szCs w:val="32"/>
                <w:lang w:val="en-US"/>
              </w:rPr>
            </w:pPr>
            <w:r>
              <w:rPr>
                <w:rFonts w:hint="eastAsia" w:ascii="方正仿宋_GB2312" w:hAnsi="方正仿宋_GB2312" w:eastAsia="方正仿宋_GB2312" w:cs="方正仿宋_GB2312"/>
                <w:sz w:val="32"/>
                <w:szCs w:val="32"/>
                <w:lang w:val="en-US" w:eastAsia="zh-CN"/>
              </w:rPr>
              <w:t>-14.06%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jc w:val="both"/>
              <w:textAlignment w:val="auto"/>
              <w:outlineLvl w:val="9"/>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公务接待费</w:t>
            </w:r>
          </w:p>
        </w:tc>
        <w:tc>
          <w:tcPr>
            <w:tcW w:w="1567"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ind w:firstLine="320" w:firstLineChars="100"/>
              <w:jc w:val="both"/>
              <w:textAlignment w:val="auto"/>
              <w:outlineLvl w:val="9"/>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1.51</w:t>
            </w:r>
          </w:p>
        </w:tc>
        <w:tc>
          <w:tcPr>
            <w:tcW w:w="1642"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ind w:firstLine="320" w:firstLineChars="100"/>
              <w:jc w:val="both"/>
              <w:textAlignment w:val="auto"/>
              <w:outlineLvl w:val="9"/>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6.00</w:t>
            </w:r>
          </w:p>
        </w:tc>
        <w:tc>
          <w:tcPr>
            <w:tcW w:w="1611"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ind w:firstLine="320" w:firstLineChars="100"/>
              <w:jc w:val="both"/>
              <w:textAlignment w:val="auto"/>
              <w:outlineLvl w:val="9"/>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3.17</w:t>
            </w:r>
          </w:p>
        </w:tc>
        <w:tc>
          <w:tcPr>
            <w:tcW w:w="1850"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ind w:firstLine="640" w:firstLineChars="200"/>
              <w:jc w:val="both"/>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-52.37</w:t>
            </w:r>
            <w:r>
              <w:rPr>
                <w:rFonts w:hint="eastAsia" w:ascii="方正仿宋_GB2312" w:hAnsi="方正仿宋_GB2312" w:eastAsia="方正仿宋_GB2312" w:cs="方正仿宋_GB2312"/>
                <w:sz w:val="32"/>
                <w:szCs w:val="3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jc w:val="both"/>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出国费</w:t>
            </w:r>
          </w:p>
        </w:tc>
        <w:tc>
          <w:tcPr>
            <w:tcW w:w="1567"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jc w:val="both"/>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p>
        </w:tc>
        <w:tc>
          <w:tcPr>
            <w:tcW w:w="1642"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jc w:val="both"/>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p>
        </w:tc>
        <w:tc>
          <w:tcPr>
            <w:tcW w:w="1611"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jc w:val="both"/>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p>
        </w:tc>
        <w:tc>
          <w:tcPr>
            <w:tcW w:w="1850"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jc w:val="both"/>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733"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jc w:val="both"/>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公车购置费</w:t>
            </w:r>
          </w:p>
        </w:tc>
        <w:tc>
          <w:tcPr>
            <w:tcW w:w="1567"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jc w:val="both"/>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p>
        </w:tc>
        <w:tc>
          <w:tcPr>
            <w:tcW w:w="1642"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jc w:val="both"/>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p>
        </w:tc>
        <w:tc>
          <w:tcPr>
            <w:tcW w:w="1611"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jc w:val="both"/>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p>
        </w:tc>
        <w:tc>
          <w:tcPr>
            <w:tcW w:w="1850"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56" w:lineRule="exact"/>
              <w:jc w:val="both"/>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p>
        </w:tc>
      </w:tr>
    </w:tbl>
    <w:p>
      <w:pPr>
        <w:pStyle w:val="11"/>
        <w:keepNext w:val="0"/>
        <w:keepLines w:val="0"/>
        <w:pageBreakBefore w:val="0"/>
        <w:widowControl/>
        <w:suppressLineNumbers w:val="0"/>
        <w:kinsoku/>
        <w:wordWrap/>
        <w:overflowPunct/>
        <w:topLinePunct w:val="0"/>
        <w:autoSpaceDE/>
        <w:autoSpaceDN/>
        <w:bidi w:val="0"/>
        <w:spacing w:before="0" w:beforeLines="0" w:beforeAutospacing="0" w:after="0" w:afterLines="0" w:afterAutospacing="0" w:line="556" w:lineRule="exact"/>
        <w:ind w:left="0" w:leftChars="0" w:right="0" w:firstLine="640" w:firstLineChars="200"/>
        <w:jc w:val="both"/>
        <w:rPr>
          <w:rFonts w:hint="eastAsia" w:ascii="方正仿宋_GB2312" w:hAnsi="方正仿宋_GB2312" w:eastAsia="方正仿宋_GB2312" w:cs="方正仿宋_GB2312"/>
          <w:b w:val="0"/>
          <w:bCs w:val="0"/>
          <w:color w:val="000000"/>
          <w:kern w:val="2"/>
          <w:sz w:val="32"/>
          <w:szCs w:val="32"/>
          <w:lang w:val="en-US" w:eastAsia="zh-CN" w:bidi="ar-SA"/>
        </w:rPr>
      </w:pPr>
      <w:r>
        <w:rPr>
          <w:rFonts w:hint="eastAsia" w:ascii="方正仿宋_GB2312" w:hAnsi="方正仿宋_GB2312" w:eastAsia="方正仿宋_GB2312" w:cs="方正仿宋_GB2312"/>
          <w:color w:val="313131"/>
          <w:sz w:val="32"/>
          <w:szCs w:val="32"/>
        </w:rPr>
        <w:t>  </w:t>
      </w:r>
      <w:r>
        <w:rPr>
          <w:rFonts w:hint="eastAsia" w:ascii="方正仿宋_GB2312" w:hAnsi="方正仿宋_GB2312" w:eastAsia="方正仿宋_GB2312" w:cs="方正仿宋_GB2312"/>
          <w:b w:val="0"/>
          <w:bCs w:val="0"/>
          <w:color w:val="000000"/>
          <w:kern w:val="2"/>
          <w:sz w:val="32"/>
          <w:szCs w:val="32"/>
          <w:lang w:val="en-US" w:eastAsia="zh-CN" w:bidi="ar-SA"/>
        </w:rPr>
        <w:t>在支出管理方面，一是完善制度，规范管理。坚决贯彻落实省委省政府关于党政机关厉行节约工作的有关精神，认真执行中央“八项规定”、省委“九项规定”的要求，加强机关财务管理，严格控制单位行政运行支出；二是严格执行预算，控制各项支出。公务支出执行公务卡结算制度，做到全覆盖；出国费全年支出为0；车辆管理方面，所有公车实行定点维修、统一加油和统一报废制度，公车使用执行派车单制度，节假日公车统一停放在指定位置；公务接待执行公函、菜单、接待清单和审批制度，严格控制接待指标、范围和次数，严禁大吃大喝、铺张浪费；机关大宗商品购置一律按政府采购规定实施，耗材及办公用品实行政采云采购；加强差旅费的管理，实行出差申报审批制度，控制出差人数和天数，严禁无明确公务目的的差旅活动。</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方正楷体_GBK" w:hAnsi="方正楷体_GBK" w:eastAsia="方正楷体_GBK" w:cs="方正楷体_GBK"/>
          <w:color w:val="auto"/>
          <w:sz w:val="32"/>
          <w:szCs w:val="32"/>
          <w:highlight w:val="none"/>
          <w:lang w:val="en-US" w:eastAsia="zh-CN"/>
        </w:rPr>
      </w:pPr>
      <w:r>
        <w:rPr>
          <w:rFonts w:hint="eastAsia" w:ascii="方正楷体_GBK" w:hAnsi="方正楷体_GBK" w:eastAsia="方正楷体_GBK" w:cs="方正楷体_GBK"/>
          <w:color w:val="auto"/>
          <w:sz w:val="32"/>
          <w:szCs w:val="32"/>
          <w:highlight w:val="none"/>
          <w:lang w:val="en-US" w:eastAsia="zh-CN"/>
        </w:rPr>
        <w:t>（二）项目支出</w:t>
      </w:r>
    </w:p>
    <w:p>
      <w:pPr>
        <w:pStyle w:val="11"/>
        <w:keepNext w:val="0"/>
        <w:keepLines w:val="0"/>
        <w:pageBreakBefore w:val="0"/>
        <w:widowControl/>
        <w:suppressLineNumbers w:val="0"/>
        <w:kinsoku/>
        <w:wordWrap/>
        <w:overflowPunct/>
        <w:topLinePunct w:val="0"/>
        <w:autoSpaceDE/>
        <w:autoSpaceDN/>
        <w:bidi w:val="0"/>
        <w:spacing w:before="0" w:beforeLines="0" w:beforeAutospacing="0" w:after="0" w:afterLines="0" w:afterAutospacing="0" w:line="556" w:lineRule="exact"/>
        <w:ind w:left="0" w:right="0" w:firstLine="640"/>
        <w:jc w:val="left"/>
        <w:rPr>
          <w:rFonts w:hint="eastAsia" w:ascii="方正仿宋_GB2312" w:hAnsi="方正仿宋_GB2312" w:eastAsia="方正仿宋_GB2312" w:cs="方正仿宋_GB2312"/>
          <w:b/>
          <w:bCs w:val="0"/>
          <w:color w:val="313131"/>
          <w:sz w:val="32"/>
          <w:szCs w:val="32"/>
          <w:lang w:val="en-US" w:eastAsia="zh-CN" w:bidi="ar-SA"/>
        </w:rPr>
      </w:pPr>
      <w:r>
        <w:rPr>
          <w:rFonts w:hint="eastAsia" w:ascii="方正仿宋_GB2312" w:hAnsi="方正仿宋_GB2312" w:eastAsia="方正仿宋_GB2312" w:cs="方正仿宋_GB2312"/>
          <w:b/>
          <w:bCs w:val="0"/>
          <w:color w:val="313131"/>
          <w:sz w:val="32"/>
          <w:szCs w:val="32"/>
          <w:lang w:val="en-US" w:eastAsia="zh-CN" w:bidi="ar-SA"/>
        </w:rPr>
        <w:t>1、项目资金（包括财政资金、自筹资金等）安排落实、总投入等情况分析</w:t>
      </w:r>
    </w:p>
    <w:p>
      <w:pPr>
        <w:pageBreakBefore w:val="0"/>
        <w:widowControl/>
        <w:shd w:val="clear" w:color="auto" w:fill="FFFFFF"/>
        <w:kinsoku/>
        <w:wordWrap/>
        <w:overflowPunct/>
        <w:topLinePunct w:val="0"/>
        <w:autoSpaceDE/>
        <w:autoSpaceDN/>
        <w:bidi w:val="0"/>
        <w:spacing w:line="556" w:lineRule="exact"/>
        <w:ind w:firstLine="640"/>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b w:val="0"/>
          <w:bCs w:val="0"/>
          <w:color w:val="000000"/>
          <w:kern w:val="2"/>
          <w:sz w:val="32"/>
          <w:szCs w:val="32"/>
          <w:lang w:val="en-US" w:eastAsia="zh-CN" w:bidi="ar-SA"/>
        </w:rPr>
        <w:t>2024年项目支出预算共计2068万元，其中：专项业务（工作）经费498万元，政府投审分离专项经费850万元，非税票据专项经费100万元，收入征管经费540万元,注会和会计考试考务费80万元。</w:t>
      </w:r>
    </w:p>
    <w:p>
      <w:pPr>
        <w:pStyle w:val="11"/>
        <w:keepNext w:val="0"/>
        <w:keepLines w:val="0"/>
        <w:pageBreakBefore w:val="0"/>
        <w:widowControl/>
        <w:suppressLineNumbers w:val="0"/>
        <w:kinsoku/>
        <w:wordWrap/>
        <w:overflowPunct/>
        <w:topLinePunct w:val="0"/>
        <w:autoSpaceDE/>
        <w:autoSpaceDN/>
        <w:bidi w:val="0"/>
        <w:spacing w:before="0" w:beforeLines="0" w:beforeAutospacing="0" w:after="0" w:afterLines="0" w:afterAutospacing="0" w:line="556" w:lineRule="exact"/>
        <w:ind w:left="0" w:right="0" w:firstLine="640"/>
        <w:jc w:val="left"/>
        <w:rPr>
          <w:rFonts w:hint="eastAsia" w:ascii="方正仿宋_GB2312" w:hAnsi="方正仿宋_GB2312" w:eastAsia="方正仿宋_GB2312" w:cs="方正仿宋_GB2312"/>
          <w:b/>
          <w:bCs w:val="0"/>
          <w:color w:val="313131"/>
          <w:sz w:val="32"/>
          <w:szCs w:val="32"/>
          <w:lang w:val="en-US" w:eastAsia="zh-CN" w:bidi="ar-SA"/>
        </w:rPr>
      </w:pPr>
      <w:r>
        <w:rPr>
          <w:rFonts w:hint="eastAsia" w:ascii="方正仿宋_GB2312" w:hAnsi="方正仿宋_GB2312" w:eastAsia="方正仿宋_GB2312" w:cs="方正仿宋_GB2312"/>
          <w:b/>
          <w:bCs w:val="0"/>
          <w:color w:val="313131"/>
          <w:sz w:val="32"/>
          <w:szCs w:val="32"/>
          <w:lang w:val="en-US" w:eastAsia="zh-CN" w:bidi="ar-SA"/>
        </w:rPr>
        <w:t>2、项目资金（主要指财政资金）实际使用情况分析</w:t>
      </w:r>
    </w:p>
    <w:p>
      <w:pPr>
        <w:pageBreakBefore w:val="0"/>
        <w:widowControl/>
        <w:shd w:val="clear" w:color="auto" w:fill="FFFFFF"/>
        <w:kinsoku/>
        <w:wordWrap/>
        <w:overflowPunct/>
        <w:topLinePunct w:val="0"/>
        <w:autoSpaceDE/>
        <w:autoSpaceDN/>
        <w:bidi w:val="0"/>
        <w:spacing w:line="556" w:lineRule="exact"/>
        <w:ind w:firstLine="640"/>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b w:val="0"/>
          <w:bCs w:val="0"/>
          <w:color w:val="000000"/>
          <w:kern w:val="2"/>
          <w:sz w:val="32"/>
          <w:szCs w:val="32"/>
          <w:lang w:val="en-US" w:eastAsia="zh-CN" w:bidi="ar-SA"/>
        </w:rPr>
        <w:t>2024年项目支出共计1375.63万元，其中：专项业务（工作）经费419.79万元,较上年下降9.41%；收入征管经费517.86万元,较上年增长0.79%；政府投审分离专项经费336.08万元，较上年增长17.44%；非税票据专项经费69.77万元，较上年下降0.33%；注会和会计考试考务费32.13万元，较上年增长180.12%。</w:t>
      </w:r>
    </w:p>
    <w:p>
      <w:pPr>
        <w:keepNext w:val="0"/>
        <w:keepLines w:val="0"/>
        <w:pageBreakBefore w:val="0"/>
        <w:widowControl w:val="0"/>
        <w:numPr>
          <w:ilvl w:val="0"/>
          <w:numId w:val="5"/>
        </w:numPr>
        <w:kinsoku/>
        <w:wordWrap/>
        <w:overflowPunct/>
        <w:topLinePunct w:val="0"/>
        <w:autoSpaceDE/>
        <w:autoSpaceDN/>
        <w:bidi w:val="0"/>
        <w:adjustRightInd/>
        <w:snapToGrid w:val="0"/>
        <w:spacing w:line="556" w:lineRule="exact"/>
        <w:ind w:firstLine="640" w:firstLineChars="200"/>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b/>
          <w:bCs w:val="0"/>
          <w:color w:val="313131"/>
          <w:kern w:val="0"/>
          <w:sz w:val="32"/>
          <w:szCs w:val="32"/>
          <w:lang w:val="en-US" w:eastAsia="zh-CN" w:bidi="ar-SA"/>
        </w:rPr>
        <w:t>项目资金管理情况分析，主要包括管理制度、办法的制订及执行情况</w:t>
      </w:r>
    </w:p>
    <w:p>
      <w:pPr>
        <w:keepNext w:val="0"/>
        <w:keepLines w:val="0"/>
        <w:pageBreakBefore w:val="0"/>
        <w:widowControl w:val="0"/>
        <w:numPr>
          <w:ilvl w:val="0"/>
          <w:numId w:val="0"/>
        </w:numPr>
        <w:kinsoku/>
        <w:wordWrap/>
        <w:overflowPunct/>
        <w:topLinePunct w:val="0"/>
        <w:autoSpaceDE/>
        <w:autoSpaceDN/>
        <w:bidi w:val="0"/>
        <w:adjustRightInd/>
        <w:snapToGrid w:val="0"/>
        <w:spacing w:line="556" w:lineRule="exact"/>
        <w:ind w:firstLine="640" w:firstLineChars="200"/>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b w:val="0"/>
          <w:bCs w:val="0"/>
          <w:color w:val="000000"/>
          <w:kern w:val="2"/>
          <w:sz w:val="32"/>
          <w:szCs w:val="32"/>
          <w:lang w:val="en-US" w:eastAsia="zh-CN" w:bidi="ar-SA"/>
        </w:rPr>
        <w:t>项目支出资金的使用按照《怀化市财政投资评审管理办公室评审聘用人员管理办法》的通知、《怀化市市本级政府投资项目工程预结（决）算管理办法》、《湖南省财政厅关于取消财政票据工本费的通知》、《关于深化财源税收综合治理改革的实施办法》、省财源办《实施财源建设支持打好“发展六仗”工作方案》、省厅会计处工作要点等相关文件规定。严格执行机关财务制度，控制项目支出的使用范围。</w:t>
      </w:r>
    </w:p>
    <w:p>
      <w:pPr>
        <w:keepNext w:val="0"/>
        <w:keepLines w:val="0"/>
        <w:pageBreakBefore w:val="0"/>
        <w:widowControl w:val="0"/>
        <w:kinsoku/>
        <w:wordWrap/>
        <w:overflowPunct/>
        <w:topLinePunct w:val="0"/>
        <w:autoSpaceDE/>
        <w:autoSpaceDN/>
        <w:bidi w:val="0"/>
        <w:adjustRightInd/>
        <w:snapToGrid w:val="0"/>
        <w:spacing w:line="556" w:lineRule="exact"/>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三、项目组织实施情况</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方正楷体_GBK" w:hAnsi="方正楷体_GBK" w:eastAsia="方正楷体_GBK" w:cs="方正楷体_GBK"/>
          <w:color w:val="auto"/>
          <w:sz w:val="32"/>
          <w:szCs w:val="32"/>
          <w:highlight w:val="none"/>
          <w:lang w:val="en-US" w:eastAsia="zh-CN"/>
        </w:rPr>
      </w:pPr>
      <w:r>
        <w:rPr>
          <w:rFonts w:hint="eastAsia" w:ascii="方正楷体_GBK" w:hAnsi="方正楷体_GBK" w:eastAsia="方正楷体_GBK" w:cs="方正楷体_GBK"/>
          <w:color w:val="auto"/>
          <w:sz w:val="32"/>
          <w:szCs w:val="32"/>
          <w:highlight w:val="none"/>
          <w:lang w:val="en-US" w:eastAsia="zh-CN"/>
        </w:rPr>
        <w:t>（一）项目组织情况分析，主要包括项目招投标、调整、竣工验收等情况</w:t>
      </w:r>
    </w:p>
    <w:p>
      <w:pPr>
        <w:pageBreakBefore w:val="0"/>
        <w:widowControl/>
        <w:shd w:val="clear" w:color="auto" w:fill="FFFFFF"/>
        <w:kinsoku/>
        <w:wordWrap/>
        <w:overflowPunct/>
        <w:topLinePunct w:val="0"/>
        <w:autoSpaceDE/>
        <w:autoSpaceDN/>
        <w:bidi w:val="0"/>
        <w:spacing w:line="556" w:lineRule="exact"/>
        <w:ind w:firstLine="640"/>
        <w:rPr>
          <w:rFonts w:hint="eastAsia" w:ascii="方正仿宋_GB2312" w:hAnsi="方正仿宋_GB2312" w:eastAsia="方正仿宋_GB2312" w:cs="方正仿宋_GB2312"/>
          <w:b w:val="0"/>
          <w:bCs w:val="0"/>
          <w:color w:val="000000"/>
          <w:kern w:val="2"/>
          <w:sz w:val="32"/>
          <w:szCs w:val="32"/>
          <w:lang w:val="en-US" w:eastAsia="zh-CN" w:bidi="ar-SA"/>
        </w:rPr>
      </w:pPr>
      <w:r>
        <w:rPr>
          <w:rFonts w:hint="eastAsia" w:ascii="方正仿宋_GB2312" w:hAnsi="方正仿宋_GB2312" w:eastAsia="方正仿宋_GB2312" w:cs="方正仿宋_GB2312"/>
          <w:b w:val="0"/>
          <w:bCs w:val="0"/>
          <w:color w:val="000000"/>
          <w:kern w:val="2"/>
          <w:sz w:val="32"/>
          <w:szCs w:val="32"/>
          <w:lang w:val="en-US" w:eastAsia="zh-CN" w:bidi="ar-SA"/>
        </w:rPr>
        <w:t>我单位积极组织2024年项目开展，对于符合政策采购的项目，严格按照政府采购有关规定进行采购并验收。</w:t>
      </w:r>
    </w:p>
    <w:p>
      <w:pPr>
        <w:pageBreakBefore w:val="0"/>
        <w:widowControl/>
        <w:shd w:val="clear" w:color="auto" w:fill="FFFFFF"/>
        <w:kinsoku/>
        <w:wordWrap/>
        <w:overflowPunct/>
        <w:topLinePunct w:val="0"/>
        <w:autoSpaceDE/>
        <w:autoSpaceDN/>
        <w:bidi w:val="0"/>
        <w:spacing w:line="556" w:lineRule="exact"/>
        <w:ind w:firstLine="640"/>
        <w:rPr>
          <w:rFonts w:hint="eastAsia" w:ascii="方正仿宋_GB2312" w:hAnsi="方正仿宋_GB2312" w:eastAsia="方正仿宋_GB2312" w:cs="方正仿宋_GB2312"/>
          <w:b w:val="0"/>
          <w:bCs w:val="0"/>
          <w:color w:val="000000"/>
          <w:kern w:val="2"/>
          <w:sz w:val="32"/>
          <w:szCs w:val="32"/>
          <w:lang w:val="en-US" w:eastAsia="zh-CN" w:bidi="ar-SA"/>
        </w:rPr>
      </w:pPr>
      <w:r>
        <w:rPr>
          <w:rFonts w:hint="eastAsia" w:ascii="方正仿宋_GB2312" w:hAnsi="方正仿宋_GB2312" w:eastAsia="方正仿宋_GB2312" w:cs="方正仿宋_GB2312"/>
          <w:b w:val="0"/>
          <w:bCs w:val="0"/>
          <w:color w:val="000000"/>
          <w:kern w:val="2"/>
          <w:sz w:val="32"/>
          <w:szCs w:val="32"/>
          <w:lang w:val="en-US" w:eastAsia="zh-CN" w:bidi="ar-SA"/>
        </w:rPr>
        <w:t>项目管理情况分析，主要包括项目管理制度建设、日常检查监督管理等情况。</w:t>
      </w:r>
    </w:p>
    <w:p>
      <w:pPr>
        <w:pageBreakBefore w:val="0"/>
        <w:widowControl/>
        <w:shd w:val="clear" w:color="auto" w:fill="FFFFFF"/>
        <w:kinsoku/>
        <w:wordWrap/>
        <w:overflowPunct/>
        <w:topLinePunct w:val="0"/>
        <w:autoSpaceDE/>
        <w:autoSpaceDN/>
        <w:bidi w:val="0"/>
        <w:spacing w:line="556" w:lineRule="exact"/>
        <w:ind w:firstLine="640"/>
        <w:rPr>
          <w:rFonts w:hint="eastAsia" w:ascii="方正仿宋_GB2312" w:hAnsi="方正仿宋_GB2312" w:eastAsia="方正仿宋_GB2312" w:cs="方正仿宋_GB2312"/>
          <w:b w:val="0"/>
          <w:bCs w:val="0"/>
          <w:color w:val="000000"/>
          <w:kern w:val="2"/>
          <w:sz w:val="32"/>
          <w:szCs w:val="32"/>
          <w:lang w:val="en-US" w:eastAsia="zh-CN" w:bidi="ar-SA"/>
        </w:rPr>
      </w:pPr>
      <w:r>
        <w:rPr>
          <w:rFonts w:hint="eastAsia" w:ascii="方正仿宋_GB2312" w:hAnsi="方正仿宋_GB2312" w:eastAsia="方正仿宋_GB2312" w:cs="方正仿宋_GB2312"/>
          <w:b w:val="0"/>
          <w:bCs w:val="0"/>
          <w:color w:val="000000"/>
          <w:kern w:val="2"/>
          <w:sz w:val="32"/>
          <w:szCs w:val="32"/>
          <w:lang w:val="en-US" w:eastAsia="zh-CN" w:bidi="ar-SA"/>
        </w:rPr>
        <w:t>项目资金管理制度方面，2024年本单位进一步细化了资金使用细则，规范报销手续，不定期对资金使用情况进行自查，对存在问题的及时整改纠正。</w:t>
      </w:r>
    </w:p>
    <w:p>
      <w:pPr>
        <w:keepNext w:val="0"/>
        <w:keepLines w:val="0"/>
        <w:pageBreakBefore w:val="0"/>
        <w:widowControl w:val="0"/>
        <w:kinsoku/>
        <w:wordWrap/>
        <w:overflowPunct/>
        <w:topLinePunct w:val="0"/>
        <w:autoSpaceDE/>
        <w:autoSpaceDN/>
        <w:bidi w:val="0"/>
        <w:adjustRightInd/>
        <w:snapToGrid w:val="0"/>
        <w:spacing w:line="556" w:lineRule="exact"/>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四、资产管理情况</w:t>
      </w:r>
    </w:p>
    <w:p>
      <w:pPr>
        <w:pageBreakBefore w:val="0"/>
        <w:widowControl/>
        <w:shd w:val="clear" w:color="auto" w:fill="FFFFFF"/>
        <w:kinsoku/>
        <w:wordWrap/>
        <w:overflowPunct/>
        <w:topLinePunct w:val="0"/>
        <w:autoSpaceDE/>
        <w:autoSpaceDN/>
        <w:bidi w:val="0"/>
        <w:spacing w:line="556" w:lineRule="exact"/>
        <w:ind w:firstLine="640"/>
        <w:rPr>
          <w:rFonts w:hint="eastAsia" w:ascii="方正仿宋_GB2312" w:hAnsi="方正仿宋_GB2312" w:eastAsia="方正仿宋_GB2312" w:cs="方正仿宋_GB2312"/>
          <w:b w:val="0"/>
          <w:bCs w:val="0"/>
          <w:color w:val="000000"/>
          <w:kern w:val="2"/>
          <w:sz w:val="32"/>
          <w:szCs w:val="32"/>
          <w:lang w:val="en-US" w:eastAsia="zh-CN" w:bidi="ar-SA"/>
        </w:rPr>
      </w:pPr>
      <w:r>
        <w:rPr>
          <w:rFonts w:hint="eastAsia" w:ascii="方正仿宋_GB2312" w:hAnsi="方正仿宋_GB2312" w:eastAsia="方正仿宋_GB2312" w:cs="方正仿宋_GB2312"/>
          <w:b w:val="0"/>
          <w:bCs w:val="0"/>
          <w:color w:val="000000"/>
          <w:kern w:val="2"/>
          <w:sz w:val="32"/>
          <w:szCs w:val="32"/>
          <w:lang w:val="en-US" w:eastAsia="zh-CN" w:bidi="ar-SA"/>
        </w:rPr>
        <w:t>制定了详细的资产管理办法，对资产采购、保管、处置都有详细的规定，做到资产统一采购、专人管理、定期盘点、集中处置，确保资产账账相符、账实相符。</w:t>
      </w:r>
    </w:p>
    <w:p>
      <w:pPr>
        <w:keepNext w:val="0"/>
        <w:keepLines w:val="0"/>
        <w:pageBreakBefore w:val="0"/>
        <w:widowControl w:val="0"/>
        <w:kinsoku/>
        <w:wordWrap/>
        <w:overflowPunct/>
        <w:topLinePunct w:val="0"/>
        <w:autoSpaceDE/>
        <w:autoSpaceDN/>
        <w:bidi w:val="0"/>
        <w:adjustRightInd/>
        <w:snapToGrid w:val="0"/>
        <w:spacing w:line="556" w:lineRule="exact"/>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五、政府性基金预算支出情况</w:t>
      </w:r>
    </w:p>
    <w:p>
      <w:pPr>
        <w:pageBreakBefore w:val="0"/>
        <w:widowControl/>
        <w:shd w:val="clear" w:color="auto" w:fill="FFFFFF"/>
        <w:kinsoku/>
        <w:wordWrap/>
        <w:overflowPunct/>
        <w:topLinePunct w:val="0"/>
        <w:autoSpaceDE/>
        <w:autoSpaceDN/>
        <w:bidi w:val="0"/>
        <w:spacing w:line="556" w:lineRule="exact"/>
        <w:ind w:firstLine="640"/>
        <w:rPr>
          <w:rFonts w:hint="eastAsia" w:ascii="方正仿宋_GB2312" w:hAnsi="方正仿宋_GB2312" w:eastAsia="方正仿宋_GB2312" w:cs="方正仿宋_GB2312"/>
          <w:b w:val="0"/>
          <w:bCs w:val="0"/>
          <w:color w:val="000000"/>
          <w:kern w:val="2"/>
          <w:sz w:val="32"/>
          <w:szCs w:val="32"/>
          <w:lang w:val="en-US" w:eastAsia="zh-CN" w:bidi="ar-SA"/>
        </w:rPr>
      </w:pPr>
      <w:r>
        <w:rPr>
          <w:rFonts w:hint="eastAsia" w:ascii="方正仿宋_GB2312" w:hAnsi="方正仿宋_GB2312" w:eastAsia="方正仿宋_GB2312" w:cs="方正仿宋_GB2312"/>
          <w:b w:val="0"/>
          <w:bCs w:val="0"/>
          <w:color w:val="000000"/>
          <w:kern w:val="2"/>
          <w:sz w:val="32"/>
          <w:szCs w:val="32"/>
          <w:lang w:val="en-US" w:eastAsia="zh-CN" w:bidi="ar-SA"/>
        </w:rPr>
        <w:t>本单位无政府性基金预算收支。</w:t>
      </w:r>
    </w:p>
    <w:p>
      <w:pPr>
        <w:keepNext w:val="0"/>
        <w:keepLines w:val="0"/>
        <w:pageBreakBefore w:val="0"/>
        <w:widowControl w:val="0"/>
        <w:kinsoku/>
        <w:wordWrap/>
        <w:overflowPunct/>
        <w:topLinePunct w:val="0"/>
        <w:autoSpaceDE/>
        <w:autoSpaceDN/>
        <w:bidi w:val="0"/>
        <w:adjustRightInd/>
        <w:snapToGrid w:val="0"/>
        <w:spacing w:line="556" w:lineRule="exact"/>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六、国有资本经营预算支出情况</w:t>
      </w:r>
    </w:p>
    <w:p>
      <w:pPr>
        <w:pageBreakBefore w:val="0"/>
        <w:widowControl/>
        <w:shd w:val="clear" w:color="auto" w:fill="FFFFFF"/>
        <w:kinsoku/>
        <w:wordWrap/>
        <w:overflowPunct/>
        <w:topLinePunct w:val="0"/>
        <w:autoSpaceDE/>
        <w:autoSpaceDN/>
        <w:bidi w:val="0"/>
        <w:spacing w:line="556" w:lineRule="exact"/>
        <w:ind w:firstLine="640"/>
        <w:rPr>
          <w:rFonts w:hint="eastAsia" w:ascii="方正仿宋_GB2312" w:hAnsi="方正仿宋_GB2312" w:eastAsia="方正仿宋_GB2312" w:cs="方正仿宋_GB2312"/>
          <w:b w:val="0"/>
          <w:bCs w:val="0"/>
          <w:color w:val="000000"/>
          <w:kern w:val="2"/>
          <w:sz w:val="32"/>
          <w:szCs w:val="32"/>
          <w:lang w:val="en-US" w:eastAsia="zh-CN" w:bidi="ar-SA"/>
        </w:rPr>
      </w:pPr>
      <w:r>
        <w:rPr>
          <w:rFonts w:hint="eastAsia" w:ascii="方正仿宋_GB2312" w:hAnsi="方正仿宋_GB2312" w:eastAsia="方正仿宋_GB2312" w:cs="方正仿宋_GB2312"/>
          <w:b w:val="0"/>
          <w:bCs w:val="0"/>
          <w:color w:val="000000"/>
          <w:kern w:val="2"/>
          <w:sz w:val="32"/>
          <w:szCs w:val="32"/>
          <w:lang w:val="en-US" w:eastAsia="zh-CN" w:bidi="ar-SA"/>
        </w:rPr>
        <w:t>本单位无国有资本经营预算收支。</w:t>
      </w:r>
    </w:p>
    <w:p>
      <w:pPr>
        <w:keepNext w:val="0"/>
        <w:keepLines w:val="0"/>
        <w:pageBreakBefore w:val="0"/>
        <w:widowControl w:val="0"/>
        <w:kinsoku/>
        <w:wordWrap/>
        <w:overflowPunct/>
        <w:topLinePunct w:val="0"/>
        <w:autoSpaceDE/>
        <w:autoSpaceDN/>
        <w:bidi w:val="0"/>
        <w:adjustRightInd/>
        <w:snapToGrid w:val="0"/>
        <w:spacing w:line="556" w:lineRule="exact"/>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七、社会保险基金预算支出情况</w:t>
      </w:r>
    </w:p>
    <w:p>
      <w:pPr>
        <w:pageBreakBefore w:val="0"/>
        <w:widowControl/>
        <w:shd w:val="clear" w:color="auto" w:fill="FFFFFF"/>
        <w:kinsoku/>
        <w:wordWrap/>
        <w:overflowPunct/>
        <w:topLinePunct w:val="0"/>
        <w:autoSpaceDE/>
        <w:autoSpaceDN/>
        <w:bidi w:val="0"/>
        <w:spacing w:line="556" w:lineRule="exact"/>
        <w:ind w:firstLine="640"/>
        <w:rPr>
          <w:rFonts w:hint="eastAsia" w:ascii="方正仿宋_GB2312" w:hAnsi="方正仿宋_GB2312" w:eastAsia="方正仿宋_GB2312" w:cs="方正仿宋_GB2312"/>
          <w:b/>
          <w:bCs/>
          <w:color w:val="auto"/>
          <w:sz w:val="32"/>
          <w:szCs w:val="32"/>
          <w:highlight w:val="none"/>
          <w:lang w:val="en-US" w:eastAsia="zh-CN"/>
        </w:rPr>
      </w:pPr>
      <w:r>
        <w:rPr>
          <w:rFonts w:hint="eastAsia" w:ascii="方正仿宋_GB2312" w:hAnsi="方正仿宋_GB2312" w:eastAsia="方正仿宋_GB2312" w:cs="方正仿宋_GB2312"/>
          <w:b w:val="0"/>
          <w:bCs w:val="0"/>
          <w:color w:val="000000"/>
          <w:kern w:val="2"/>
          <w:sz w:val="32"/>
          <w:szCs w:val="32"/>
          <w:lang w:val="en-US" w:eastAsia="zh-CN" w:bidi="ar-SA"/>
        </w:rPr>
        <w:t>本单位无社会保险基金预算收支。</w:t>
      </w:r>
    </w:p>
    <w:p>
      <w:pPr>
        <w:keepNext w:val="0"/>
        <w:keepLines w:val="0"/>
        <w:pageBreakBefore w:val="0"/>
        <w:widowControl w:val="0"/>
        <w:kinsoku/>
        <w:wordWrap/>
        <w:overflowPunct/>
        <w:topLinePunct w:val="0"/>
        <w:autoSpaceDE/>
        <w:autoSpaceDN/>
        <w:bidi w:val="0"/>
        <w:adjustRightInd/>
        <w:snapToGrid w:val="0"/>
        <w:spacing w:line="556" w:lineRule="exact"/>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八、部门整体支出绩效情况</w:t>
      </w:r>
    </w:p>
    <w:p>
      <w:pPr>
        <w:pStyle w:val="11"/>
        <w:keepNext w:val="0"/>
        <w:keepLines w:val="0"/>
        <w:pageBreakBefore w:val="0"/>
        <w:widowControl/>
        <w:suppressLineNumbers w:val="0"/>
        <w:kinsoku/>
        <w:wordWrap/>
        <w:overflowPunct/>
        <w:topLinePunct w:val="0"/>
        <w:autoSpaceDE/>
        <w:autoSpaceDN/>
        <w:bidi w:val="0"/>
        <w:spacing w:before="0" w:beforeLines="0" w:beforeAutospacing="0" w:after="0" w:afterLines="0" w:afterAutospacing="0" w:line="556" w:lineRule="exact"/>
        <w:ind w:left="0" w:right="0" w:firstLine="640"/>
        <w:jc w:val="both"/>
        <w:rPr>
          <w:rFonts w:hint="eastAsia" w:ascii="方正仿宋_GB2312" w:hAnsi="方正仿宋_GB2312" w:eastAsia="方正仿宋_GB2312" w:cs="方正仿宋_GB2312"/>
          <w:b w:val="0"/>
          <w:bCs w:val="0"/>
          <w:color w:val="000000"/>
          <w:kern w:val="2"/>
          <w:sz w:val="32"/>
          <w:szCs w:val="32"/>
          <w:lang w:val="en-US" w:eastAsia="zh-CN" w:bidi="ar-SA"/>
        </w:rPr>
      </w:pPr>
      <w:r>
        <w:rPr>
          <w:rFonts w:hint="eastAsia" w:ascii="方正仿宋_GB2312" w:hAnsi="方正仿宋_GB2312" w:eastAsia="方正仿宋_GB2312" w:cs="方正仿宋_GB2312"/>
          <w:b w:val="0"/>
          <w:bCs w:val="0"/>
          <w:color w:val="000000"/>
          <w:kern w:val="2"/>
          <w:sz w:val="32"/>
          <w:szCs w:val="32"/>
          <w:lang w:val="en-US" w:eastAsia="zh-CN" w:bidi="ar-SA"/>
        </w:rPr>
        <w:t>（1）效率分析</w:t>
      </w:r>
    </w:p>
    <w:p>
      <w:pPr>
        <w:pStyle w:val="11"/>
        <w:keepNext w:val="0"/>
        <w:keepLines w:val="0"/>
        <w:pageBreakBefore w:val="0"/>
        <w:widowControl/>
        <w:suppressLineNumbers w:val="0"/>
        <w:kinsoku/>
        <w:wordWrap/>
        <w:overflowPunct/>
        <w:topLinePunct w:val="0"/>
        <w:autoSpaceDE/>
        <w:autoSpaceDN/>
        <w:bidi w:val="0"/>
        <w:spacing w:before="0" w:beforeLines="0" w:beforeAutospacing="0" w:after="0" w:afterLines="0" w:afterAutospacing="0" w:line="556" w:lineRule="exact"/>
        <w:ind w:left="0" w:right="0" w:firstLine="640"/>
        <w:jc w:val="both"/>
        <w:rPr>
          <w:rFonts w:hint="eastAsia" w:ascii="方正仿宋_GB2312" w:hAnsi="方正仿宋_GB2312" w:eastAsia="方正仿宋_GB2312" w:cs="方正仿宋_GB2312"/>
          <w:b w:val="0"/>
          <w:bCs w:val="0"/>
          <w:color w:val="000000"/>
          <w:kern w:val="2"/>
          <w:sz w:val="32"/>
          <w:szCs w:val="32"/>
          <w:lang w:val="en-US" w:eastAsia="zh-CN" w:bidi="ar-SA"/>
        </w:rPr>
      </w:pPr>
      <w:r>
        <w:rPr>
          <w:rFonts w:hint="eastAsia" w:ascii="方正仿宋_GB2312" w:hAnsi="方正仿宋_GB2312" w:eastAsia="方正仿宋_GB2312" w:cs="方正仿宋_GB2312"/>
          <w:b w:val="0"/>
          <w:bCs w:val="0"/>
          <w:color w:val="000000"/>
          <w:kern w:val="2"/>
          <w:sz w:val="32"/>
          <w:szCs w:val="32"/>
          <w:lang w:val="en-US" w:eastAsia="zh-CN" w:bidi="ar-SA"/>
        </w:rPr>
        <w:t>财政工作取得新进展新成效，有力促进完成全年经济社会发展目标任务。全力以赴抓收入。坚持全市一盘棋，严格执行“周监测、旬统计、月报告”机制。全年全市地方一般公共预算收入完成122.21亿元，剔除宏观政策影响，可比增幅为0.65%。想方设法优支出。树牢过“紧日子”思想，坚决做到“四统筹”，集中财力办大事，压减公用经费。周密调度守底线。坚持预算法定，底线刚性支出从严从俭，“先三保、后其他”的资金保障秩序，建立“日常监测+实地调研+定期调度”的联合盯防机制。</w:t>
      </w:r>
    </w:p>
    <w:p>
      <w:pPr>
        <w:pStyle w:val="11"/>
        <w:keepNext w:val="0"/>
        <w:keepLines w:val="0"/>
        <w:pageBreakBefore w:val="0"/>
        <w:widowControl/>
        <w:suppressLineNumbers w:val="0"/>
        <w:kinsoku/>
        <w:wordWrap/>
        <w:overflowPunct/>
        <w:topLinePunct w:val="0"/>
        <w:autoSpaceDE/>
        <w:autoSpaceDN/>
        <w:bidi w:val="0"/>
        <w:spacing w:before="0" w:beforeLines="0" w:beforeAutospacing="0" w:after="0" w:afterLines="0" w:afterAutospacing="0" w:line="556" w:lineRule="exact"/>
        <w:ind w:right="0" w:firstLine="640" w:firstLineChars="200"/>
        <w:jc w:val="both"/>
        <w:rPr>
          <w:rFonts w:hint="eastAsia" w:ascii="方正仿宋_GB2312" w:hAnsi="方正仿宋_GB2312" w:eastAsia="方正仿宋_GB2312" w:cs="方正仿宋_GB2312"/>
          <w:b w:val="0"/>
          <w:bCs w:val="0"/>
          <w:color w:val="000000"/>
          <w:kern w:val="2"/>
          <w:sz w:val="32"/>
          <w:szCs w:val="32"/>
          <w:lang w:val="en-US" w:eastAsia="zh-CN" w:bidi="ar-SA"/>
        </w:rPr>
      </w:pPr>
      <w:r>
        <w:rPr>
          <w:rFonts w:hint="eastAsia" w:ascii="方正仿宋_GB2312" w:hAnsi="方正仿宋_GB2312" w:eastAsia="方正仿宋_GB2312" w:cs="方正仿宋_GB2312"/>
          <w:b w:val="0"/>
          <w:bCs w:val="0"/>
          <w:color w:val="000000"/>
          <w:kern w:val="2"/>
          <w:sz w:val="32"/>
          <w:szCs w:val="32"/>
          <w:lang w:val="en-US" w:eastAsia="zh-CN" w:bidi="ar-SA"/>
        </w:rPr>
        <w:t>（2）经济效益分析</w:t>
      </w:r>
    </w:p>
    <w:p>
      <w:pPr>
        <w:pStyle w:val="11"/>
        <w:keepNext w:val="0"/>
        <w:keepLines w:val="0"/>
        <w:pageBreakBefore w:val="0"/>
        <w:widowControl/>
        <w:suppressLineNumbers w:val="0"/>
        <w:kinsoku/>
        <w:wordWrap/>
        <w:overflowPunct/>
        <w:topLinePunct w:val="0"/>
        <w:autoSpaceDE/>
        <w:autoSpaceDN/>
        <w:bidi w:val="0"/>
        <w:spacing w:before="0" w:beforeLines="0" w:beforeAutospacing="0" w:after="0" w:afterLines="0" w:afterAutospacing="0" w:line="556" w:lineRule="exact"/>
        <w:ind w:right="0" w:firstLine="640" w:firstLineChars="200"/>
        <w:jc w:val="both"/>
        <w:rPr>
          <w:rFonts w:hint="eastAsia" w:ascii="方正仿宋_GB2312" w:hAnsi="方正仿宋_GB2312" w:eastAsia="方正仿宋_GB2312" w:cs="方正仿宋_GB2312"/>
          <w:b w:val="0"/>
          <w:bCs w:val="0"/>
          <w:color w:val="000000"/>
          <w:kern w:val="2"/>
          <w:sz w:val="32"/>
          <w:szCs w:val="32"/>
          <w:lang w:val="en-US" w:eastAsia="zh-CN" w:bidi="ar-SA"/>
        </w:rPr>
      </w:pPr>
      <w:r>
        <w:rPr>
          <w:rFonts w:hint="eastAsia" w:ascii="方正仿宋_GB2312" w:hAnsi="方正仿宋_GB2312" w:eastAsia="方正仿宋_GB2312" w:cs="方正仿宋_GB2312"/>
          <w:b w:val="0"/>
          <w:bCs w:val="0"/>
          <w:color w:val="000000"/>
          <w:kern w:val="2"/>
          <w:sz w:val="32"/>
          <w:szCs w:val="32"/>
          <w:lang w:val="en-US" w:eastAsia="zh-CN" w:bidi="ar-SA"/>
        </w:rPr>
        <w:t>支出总额控制在预算总额以内，“三公”经费总体控制较好，未超过预算控制数。</w:t>
      </w:r>
    </w:p>
    <w:p>
      <w:pPr>
        <w:pStyle w:val="11"/>
        <w:keepNext w:val="0"/>
        <w:keepLines w:val="0"/>
        <w:pageBreakBefore w:val="0"/>
        <w:widowControl/>
        <w:numPr>
          <w:ilvl w:val="0"/>
          <w:numId w:val="0"/>
        </w:numPr>
        <w:suppressLineNumbers w:val="0"/>
        <w:kinsoku/>
        <w:wordWrap/>
        <w:overflowPunct/>
        <w:topLinePunct w:val="0"/>
        <w:autoSpaceDE/>
        <w:autoSpaceDN/>
        <w:bidi w:val="0"/>
        <w:spacing w:before="0" w:beforeLines="0" w:beforeAutospacing="0" w:after="0" w:afterLines="0" w:afterAutospacing="0" w:line="556" w:lineRule="exact"/>
        <w:ind w:leftChars="131" w:right="0" w:rightChars="0"/>
        <w:jc w:val="both"/>
        <w:rPr>
          <w:rFonts w:hint="eastAsia" w:ascii="方正仿宋_GB2312" w:hAnsi="方正仿宋_GB2312" w:eastAsia="方正仿宋_GB2312" w:cs="方正仿宋_GB2312"/>
          <w:b w:val="0"/>
          <w:bCs w:val="0"/>
          <w:color w:val="000000"/>
          <w:kern w:val="2"/>
          <w:sz w:val="32"/>
          <w:szCs w:val="32"/>
          <w:lang w:val="en-US" w:eastAsia="zh-CN" w:bidi="ar-SA"/>
        </w:rPr>
      </w:pPr>
      <w:r>
        <w:rPr>
          <w:rFonts w:hint="eastAsia" w:ascii="方正仿宋_GB2312" w:hAnsi="方正仿宋_GB2312" w:eastAsia="方正仿宋_GB2312" w:cs="方正仿宋_GB2312"/>
          <w:b w:val="0"/>
          <w:bCs w:val="0"/>
          <w:color w:val="000000"/>
          <w:kern w:val="2"/>
          <w:sz w:val="32"/>
          <w:szCs w:val="32"/>
          <w:lang w:val="en-US" w:eastAsia="zh-CN" w:bidi="ar-SA"/>
        </w:rPr>
        <w:t xml:space="preserve">  （3）社会效益分析</w:t>
      </w:r>
    </w:p>
    <w:p>
      <w:pPr>
        <w:pStyle w:val="11"/>
        <w:keepNext w:val="0"/>
        <w:keepLines w:val="0"/>
        <w:pageBreakBefore w:val="0"/>
        <w:widowControl/>
        <w:suppressLineNumbers w:val="0"/>
        <w:kinsoku/>
        <w:wordWrap/>
        <w:overflowPunct/>
        <w:topLinePunct w:val="0"/>
        <w:autoSpaceDE/>
        <w:autoSpaceDN/>
        <w:bidi w:val="0"/>
        <w:spacing w:before="0" w:beforeLines="0" w:beforeAutospacing="0" w:after="0" w:afterLines="0" w:afterAutospacing="0" w:line="556" w:lineRule="exact"/>
        <w:ind w:right="0" w:firstLine="640" w:firstLineChars="200"/>
        <w:jc w:val="both"/>
        <w:rPr>
          <w:rFonts w:hint="eastAsia" w:ascii="方正仿宋_GB2312" w:hAnsi="方正仿宋_GB2312" w:eastAsia="方正仿宋_GB2312" w:cs="方正仿宋_GB2312"/>
          <w:b w:val="0"/>
          <w:bCs w:val="0"/>
          <w:color w:val="000000"/>
          <w:kern w:val="2"/>
          <w:sz w:val="32"/>
          <w:szCs w:val="32"/>
          <w:lang w:val="en-US" w:eastAsia="zh-CN" w:bidi="ar-SA"/>
        </w:rPr>
      </w:pPr>
      <w:r>
        <w:rPr>
          <w:rFonts w:hint="eastAsia" w:ascii="方正仿宋_GB2312" w:hAnsi="方正仿宋_GB2312" w:eastAsia="方正仿宋_GB2312" w:cs="方正仿宋_GB2312"/>
          <w:b w:val="0"/>
          <w:bCs w:val="0"/>
          <w:color w:val="000000"/>
          <w:kern w:val="2"/>
          <w:sz w:val="32"/>
          <w:szCs w:val="32"/>
          <w:lang w:val="en-US" w:eastAsia="zh-CN" w:bidi="ar-SA"/>
        </w:rPr>
        <w:t>按照中央、省委省政府和市委决策部署，认真执行预算法及其实施条例，各项工作稳步推进。</w:t>
      </w:r>
    </w:p>
    <w:p>
      <w:pPr>
        <w:pStyle w:val="11"/>
        <w:keepNext w:val="0"/>
        <w:keepLines w:val="0"/>
        <w:pageBreakBefore w:val="0"/>
        <w:widowControl/>
        <w:suppressLineNumbers w:val="0"/>
        <w:kinsoku/>
        <w:wordWrap/>
        <w:overflowPunct/>
        <w:topLinePunct w:val="0"/>
        <w:autoSpaceDE/>
        <w:autoSpaceDN/>
        <w:bidi w:val="0"/>
        <w:spacing w:before="0" w:beforeLines="0" w:beforeAutospacing="0" w:after="0" w:afterLines="0" w:afterAutospacing="0" w:line="556" w:lineRule="exact"/>
        <w:ind w:left="0" w:right="0" w:firstLine="640"/>
        <w:jc w:val="both"/>
        <w:rPr>
          <w:rFonts w:hint="eastAsia" w:ascii="方正仿宋_GB2312" w:hAnsi="方正仿宋_GB2312" w:eastAsia="方正仿宋_GB2312" w:cs="方正仿宋_GB2312"/>
          <w:b w:val="0"/>
          <w:bCs w:val="0"/>
          <w:color w:val="000000"/>
          <w:kern w:val="2"/>
          <w:sz w:val="32"/>
          <w:szCs w:val="32"/>
          <w:lang w:val="en-US" w:eastAsia="zh-CN" w:bidi="ar-SA"/>
        </w:rPr>
      </w:pPr>
      <w:r>
        <w:rPr>
          <w:rFonts w:hint="eastAsia" w:ascii="方正仿宋_GB2312" w:hAnsi="方正仿宋_GB2312" w:eastAsia="方正仿宋_GB2312" w:cs="方正仿宋_GB2312"/>
          <w:b/>
          <w:bCs w:val="0"/>
          <w:color w:val="313131"/>
          <w:kern w:val="0"/>
          <w:sz w:val="32"/>
          <w:szCs w:val="32"/>
          <w:lang w:val="en-US" w:eastAsia="zh-CN" w:bidi="ar-SA"/>
        </w:rPr>
        <w:t>1.风险防范有力有效。</w:t>
      </w:r>
      <w:r>
        <w:rPr>
          <w:rFonts w:hint="eastAsia" w:ascii="方正仿宋_GB2312" w:hAnsi="方正仿宋_GB2312" w:eastAsia="方正仿宋_GB2312" w:cs="方正仿宋_GB2312"/>
          <w:b w:val="0"/>
          <w:bCs w:val="0"/>
          <w:color w:val="000000"/>
          <w:kern w:val="2"/>
          <w:sz w:val="32"/>
          <w:szCs w:val="32"/>
          <w:lang w:val="en-US" w:eastAsia="zh-CN" w:bidi="ar-SA"/>
        </w:rPr>
        <w:t>坚持把防范化解重大风险作为财政工作的重中之重，牢牢守住不发生区域性系统性风险的底线。夯实财政运行安全。建立县市区财政运行联合盯防机制，对财政收支、库款运行、专户管理、化债工作等重点工作进行监督指导，切实防范财政运行风险。推进“四转四打包”，持续推进债务刚转贷、刚转柔、短转长、高转低，优化债务结构，降低利息负担。实行预警调度机制，对平台公司近12个月、6个月、3个月、1个月到期债务，分别落实提示、预警等措施，累计对市本级平台公司发出提示函6份、预警函10份、应急通报8份，对县市区发出督导函500份，全市到期债务风险总体可控。落实债务化解方案，编制全市防范化解地方债务风险“1+7”化债方案，并上报国务院审核通过。</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hint="eastAsia" w:ascii="方正仿宋_GB2312" w:hAnsi="方正仿宋_GB2312" w:eastAsia="方正仿宋_GB2312" w:cs="方正仿宋_GB2312"/>
          <w:b w:val="0"/>
          <w:bCs w:val="0"/>
          <w:color w:val="000000"/>
          <w:kern w:val="2"/>
          <w:sz w:val="32"/>
          <w:szCs w:val="32"/>
          <w:lang w:val="en-US" w:eastAsia="zh-CN" w:bidi="ar-SA"/>
        </w:rPr>
      </w:pPr>
      <w:r>
        <w:rPr>
          <w:rFonts w:hint="eastAsia" w:ascii="方正仿宋_GB2312" w:hAnsi="方正仿宋_GB2312" w:eastAsia="方正仿宋_GB2312" w:cs="方正仿宋_GB2312"/>
          <w:b/>
          <w:bCs w:val="0"/>
          <w:color w:val="313131"/>
          <w:kern w:val="0"/>
          <w:sz w:val="32"/>
          <w:szCs w:val="32"/>
          <w:lang w:val="en-US" w:eastAsia="zh-CN" w:bidi="ar-SA"/>
        </w:rPr>
        <w:t>2.财源建设创新发力。</w:t>
      </w:r>
      <w:r>
        <w:rPr>
          <w:rFonts w:hint="eastAsia" w:ascii="方正仿宋_GB2312" w:hAnsi="方正仿宋_GB2312" w:eastAsia="方正仿宋_GB2312" w:cs="方正仿宋_GB2312"/>
          <w:b w:val="0"/>
          <w:bCs w:val="0"/>
          <w:color w:val="000000"/>
          <w:kern w:val="2"/>
          <w:sz w:val="32"/>
          <w:szCs w:val="32"/>
          <w:lang w:val="en-US" w:eastAsia="zh-CN" w:bidi="ar-SA"/>
        </w:rPr>
        <w:t>深入实施财源建设“六大工程”，推进税源提升“十大行动”提质增效，不断夯实财源基础。以产业培植为引擎。怀化国际陆港成功被纳入启运港退税政策实施范围。着力构建“5+10”现代化产业体系，重点支持特色产业集群和重大招商引资项目。以强化招引为抓手。加大精准招商支持力度，全年新增骨干税源企业42户。充分放大全球湘商大会效益，签约省级项目19个,市级项目102个。以挖潜堵漏为重点。压实税收征管责任、部门共治责任。以改革提质为核心。积极探索以“一池六库”为核心的财源提质路径，通过“零基预算”改革，统筹财力构筑财政产业引导“资金池”，围绕全市发展布局，以财政资金为杠杆，汇聚“一池”财力、精准赋能“六库”，引导重点企业、产业、项目发展壮大，撬动财税增收、发展增效，构建财源建设全新格局。</w:t>
      </w:r>
    </w:p>
    <w:p>
      <w:pPr>
        <w:keepNext w:val="0"/>
        <w:keepLines w:val="0"/>
        <w:pageBreakBefore w:val="0"/>
        <w:widowControl w:val="0"/>
        <w:kinsoku/>
        <w:wordWrap/>
        <w:overflowPunct/>
        <w:topLinePunct w:val="0"/>
        <w:autoSpaceDE/>
        <w:autoSpaceDN/>
        <w:bidi w:val="0"/>
        <w:adjustRightInd w:val="0"/>
        <w:snapToGrid/>
        <w:spacing w:line="556" w:lineRule="exact"/>
        <w:ind w:firstLine="640" w:firstLineChars="200"/>
        <w:textAlignment w:val="auto"/>
        <w:rPr>
          <w:rFonts w:hint="eastAsia" w:ascii="方正仿宋_GB2312" w:hAnsi="方正仿宋_GB2312" w:eastAsia="方正仿宋_GB2312" w:cs="方正仿宋_GB2312"/>
          <w:b w:val="0"/>
          <w:bCs w:val="0"/>
          <w:color w:val="000000"/>
          <w:kern w:val="2"/>
          <w:sz w:val="32"/>
          <w:szCs w:val="32"/>
          <w:lang w:val="en-US" w:eastAsia="zh-CN" w:bidi="ar-SA"/>
        </w:rPr>
      </w:pPr>
      <w:r>
        <w:rPr>
          <w:rFonts w:hint="eastAsia" w:ascii="方正仿宋_GB2312" w:hAnsi="方正仿宋_GB2312" w:eastAsia="方正仿宋_GB2312" w:cs="方正仿宋_GB2312"/>
          <w:b/>
          <w:bCs w:val="0"/>
          <w:color w:val="313131"/>
          <w:kern w:val="0"/>
          <w:sz w:val="32"/>
          <w:szCs w:val="32"/>
          <w:lang w:val="en-US" w:eastAsia="zh-CN" w:bidi="ar-SA"/>
        </w:rPr>
        <w:t>3.财税改革纵深推进。</w:t>
      </w:r>
      <w:r>
        <w:rPr>
          <w:rFonts w:hint="eastAsia" w:ascii="方正仿宋_GB2312" w:hAnsi="方正仿宋_GB2312" w:eastAsia="方正仿宋_GB2312" w:cs="方正仿宋_GB2312"/>
          <w:b w:val="0"/>
          <w:bCs w:val="0"/>
          <w:color w:val="000000"/>
          <w:kern w:val="2"/>
          <w:sz w:val="32"/>
          <w:szCs w:val="32"/>
          <w:lang w:val="en-US" w:eastAsia="zh-CN" w:bidi="ar-SA"/>
        </w:rPr>
        <w:t xml:space="preserve">稳步推进各项重点改革任务，持续提升财政综合治理能力。推进“零基预算”改革。市委深改委会议审议通过《怀化市深化零基预算改革实施方案》，明确了四大方面12条改革重点任务，推动改革节流与财税开源同向并行。目前市直2025年预算编制已经完成初步审核，初步打破了基数观念和支出固化格局。设立产业发展基金。依照“财政资金撬动、专业基金主导、社会资本补充、择优遴选项目、职业团队运营、安全有效循环”的原则，拟采取股权投资的方式，按“1+N”架构设立20亿元的产业发展基金，首期实缴5亿元，通过子基金撬动社会资本放大杠杆，最终形成规模超过50亿元的母子基金体系，用于重点产业项目孵化、培育、招商，推动产业与园区高质量发展。深化内控制度改革。在全省首创以“呈签会审”为基本要求的财政内控管理改革，将财政源头反腐防腐的党风廉政要求与财政资金管理紧密结合。成立内控委员会，前移预算端口，严格实行资金文件集中会审制度，凡涉及政策安排、项目申报、资金报批，做到呈签会审全覆盖并报市纪委监委派驻纪检监察组备案，全年会审呈签105份，提出修改意见22份。  </w:t>
      </w:r>
    </w:p>
    <w:p>
      <w:pPr>
        <w:keepNext w:val="0"/>
        <w:keepLines w:val="0"/>
        <w:pageBreakBefore w:val="0"/>
        <w:widowControl/>
        <w:numPr>
          <w:ilvl w:val="0"/>
          <w:numId w:val="0"/>
        </w:numPr>
        <w:suppressLineNumbers w:val="0"/>
        <w:kinsoku/>
        <w:wordWrap/>
        <w:overflowPunct/>
        <w:topLinePunct w:val="0"/>
        <w:autoSpaceDE/>
        <w:autoSpaceDN/>
        <w:bidi w:val="0"/>
        <w:snapToGrid/>
        <w:spacing w:line="556" w:lineRule="exact"/>
        <w:ind w:firstLine="640" w:firstLineChars="200"/>
        <w:jc w:val="both"/>
        <w:textAlignment w:val="auto"/>
        <w:rPr>
          <w:rFonts w:hint="eastAsia" w:ascii="方正仿宋_GB2312" w:hAnsi="方正仿宋_GB2312" w:eastAsia="方正仿宋_GB2312" w:cs="方正仿宋_GB2312"/>
          <w:b w:val="0"/>
          <w:bCs w:val="0"/>
          <w:color w:val="000000"/>
          <w:kern w:val="2"/>
          <w:sz w:val="32"/>
          <w:szCs w:val="32"/>
          <w:lang w:val="en-US" w:eastAsia="zh-CN" w:bidi="ar-SA"/>
        </w:rPr>
      </w:pPr>
      <w:r>
        <w:rPr>
          <w:rFonts w:hint="eastAsia" w:ascii="方正仿宋_GB2312" w:hAnsi="方正仿宋_GB2312" w:eastAsia="方正仿宋_GB2312" w:cs="方正仿宋_GB2312"/>
          <w:b/>
          <w:bCs w:val="0"/>
          <w:color w:val="313131"/>
          <w:kern w:val="0"/>
          <w:sz w:val="32"/>
          <w:szCs w:val="32"/>
          <w:lang w:val="en-US" w:eastAsia="zh-CN" w:bidi="ar-SA"/>
        </w:rPr>
        <w:t>4.财会监督贯通协调。</w:t>
      </w:r>
      <w:r>
        <w:rPr>
          <w:rFonts w:hint="eastAsia" w:ascii="方正仿宋_GB2312" w:hAnsi="方正仿宋_GB2312" w:eastAsia="方正仿宋_GB2312" w:cs="方正仿宋_GB2312"/>
          <w:b w:val="0"/>
          <w:bCs w:val="0"/>
          <w:color w:val="000000"/>
          <w:kern w:val="2"/>
          <w:sz w:val="32"/>
          <w:szCs w:val="32"/>
          <w:lang w:val="en-US" w:eastAsia="zh-CN" w:bidi="ar-SA"/>
        </w:rPr>
        <w:t>统筹“管好”与“放活”，构建动态、科学、高效的监管体系和监管格局。建立财审联动机制。针对审计反馈问题，积极构建“一个问题、一名领导、一套班子、一个方案、一项制度”工作机制，逐条“对账”、合力攻坚。集中整治成效显著。积极开展群众身边不正之风和腐败问题集中整治，全面清理惠民惠农补贴“一卡通”系统数据，确保“沉睡”的补贴资金发放到人到户,此做法获《人民日报》等媒体点赞。绩效监督全面推进，将绩效管理嵌入预算编制、执行、监督全过程，集中实施部门整体支出、政府购买服务、政府专项债务等领域财政评价。评审监督不断强化，全年完成市本级各类政府投资项目评审162个，送审金额20.73亿元，审减4.24亿元，审减率20.47%。同时对市直4个单位内控建设和会计信息质量情况开展检查，强化会计监管。</w:t>
      </w:r>
    </w:p>
    <w:p>
      <w:pPr>
        <w:keepNext w:val="0"/>
        <w:keepLines w:val="0"/>
        <w:pageBreakBefore w:val="0"/>
        <w:widowControl w:val="0"/>
        <w:kinsoku/>
        <w:wordWrap/>
        <w:overflowPunct/>
        <w:topLinePunct w:val="0"/>
        <w:autoSpaceDE/>
        <w:autoSpaceDN/>
        <w:bidi w:val="0"/>
        <w:adjustRightInd/>
        <w:snapToGrid w:val="0"/>
        <w:spacing w:line="556" w:lineRule="exact"/>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九、存在的问题及原因分析</w:t>
      </w:r>
    </w:p>
    <w:p>
      <w:pPr>
        <w:pStyle w:val="11"/>
        <w:keepNext w:val="0"/>
        <w:keepLines w:val="0"/>
        <w:pageBreakBefore w:val="0"/>
        <w:widowControl/>
        <w:suppressLineNumbers w:val="0"/>
        <w:kinsoku/>
        <w:wordWrap/>
        <w:overflowPunct/>
        <w:topLinePunct w:val="0"/>
        <w:autoSpaceDE/>
        <w:autoSpaceDN/>
        <w:bidi w:val="0"/>
        <w:spacing w:before="0" w:beforeLines="0" w:beforeAutospacing="0" w:after="0" w:afterLines="0" w:afterAutospacing="0" w:line="556" w:lineRule="exact"/>
        <w:ind w:left="0" w:right="0" w:firstLine="641"/>
        <w:jc w:val="both"/>
        <w:rPr>
          <w:rFonts w:hint="eastAsia" w:ascii="方正仿宋_GB2312" w:hAnsi="方正仿宋_GB2312" w:eastAsia="方正仿宋_GB2312" w:cs="方正仿宋_GB2312"/>
          <w:color w:val="313131"/>
          <w:sz w:val="32"/>
          <w:szCs w:val="32"/>
          <w:lang w:val="en-US" w:eastAsia="zh-CN"/>
        </w:rPr>
      </w:pPr>
      <w:r>
        <w:rPr>
          <w:rFonts w:hint="eastAsia" w:ascii="方正仿宋_GB2312" w:hAnsi="方正仿宋_GB2312" w:eastAsia="方正仿宋_GB2312" w:cs="方正仿宋_GB2312"/>
          <w:b w:val="0"/>
          <w:bCs w:val="0"/>
          <w:color w:val="000000"/>
          <w:kern w:val="2"/>
          <w:sz w:val="32"/>
          <w:szCs w:val="32"/>
          <w:lang w:val="en-US" w:eastAsia="zh-CN" w:bidi="ar-SA"/>
        </w:rPr>
        <w:t>绩效指标体系设计困难，即使可以量化，项目间也缺乏可比性，未能提炼出最能反映总体目标预期实现的关键性指标，考核指标精细化指标不够，无法准确通过量化来实现精确的考核结果。预算编制不够细化全面，预算准确度有待提高。</w:t>
      </w:r>
    </w:p>
    <w:p>
      <w:pPr>
        <w:keepNext w:val="0"/>
        <w:keepLines w:val="0"/>
        <w:pageBreakBefore w:val="0"/>
        <w:widowControl w:val="0"/>
        <w:kinsoku/>
        <w:wordWrap/>
        <w:overflowPunct/>
        <w:topLinePunct w:val="0"/>
        <w:autoSpaceDE/>
        <w:autoSpaceDN/>
        <w:bidi w:val="0"/>
        <w:adjustRightInd/>
        <w:snapToGrid w:val="0"/>
        <w:spacing w:line="556" w:lineRule="exact"/>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十、下一步改进措施</w:t>
      </w:r>
    </w:p>
    <w:p>
      <w:pPr>
        <w:pStyle w:val="11"/>
        <w:keepNext w:val="0"/>
        <w:keepLines w:val="0"/>
        <w:pageBreakBefore w:val="0"/>
        <w:widowControl/>
        <w:numPr>
          <w:ilvl w:val="0"/>
          <w:numId w:val="6"/>
        </w:numPr>
        <w:suppressLineNumbers w:val="0"/>
        <w:kinsoku/>
        <w:wordWrap/>
        <w:overflowPunct/>
        <w:topLinePunct w:val="0"/>
        <w:autoSpaceDE/>
        <w:autoSpaceDN/>
        <w:bidi w:val="0"/>
        <w:spacing w:before="0" w:beforeLines="0" w:beforeAutospacing="0" w:after="0" w:afterLines="0" w:afterAutospacing="0" w:line="556" w:lineRule="exact"/>
        <w:ind w:left="0" w:right="0" w:firstLine="641"/>
        <w:jc w:val="both"/>
        <w:rPr>
          <w:rFonts w:hint="eastAsia" w:ascii="方正仿宋_GB2312" w:hAnsi="方正仿宋_GB2312" w:eastAsia="方正仿宋_GB2312" w:cs="方正仿宋_GB2312"/>
          <w:b/>
          <w:bCs/>
          <w:color w:val="000000"/>
          <w:kern w:val="2"/>
          <w:sz w:val="32"/>
          <w:szCs w:val="32"/>
          <w:lang w:val="en-US" w:eastAsia="zh-CN" w:bidi="ar-SA"/>
        </w:rPr>
      </w:pPr>
      <w:r>
        <w:rPr>
          <w:rFonts w:hint="eastAsia" w:ascii="方正仿宋_GB2312" w:hAnsi="方正仿宋_GB2312" w:eastAsia="方正仿宋_GB2312" w:cs="方正仿宋_GB2312"/>
          <w:b/>
          <w:bCs/>
          <w:color w:val="000000"/>
          <w:kern w:val="2"/>
          <w:sz w:val="32"/>
          <w:szCs w:val="32"/>
          <w:lang w:val="en-US" w:eastAsia="zh-CN" w:bidi="ar-SA"/>
        </w:rPr>
        <w:t>细化预算编制工作，做好预算编制</w:t>
      </w:r>
    </w:p>
    <w:p>
      <w:pPr>
        <w:pStyle w:val="11"/>
        <w:keepNext w:val="0"/>
        <w:keepLines w:val="0"/>
        <w:pageBreakBefore w:val="0"/>
        <w:widowControl/>
        <w:suppressLineNumbers w:val="0"/>
        <w:kinsoku/>
        <w:wordWrap/>
        <w:overflowPunct/>
        <w:topLinePunct w:val="0"/>
        <w:autoSpaceDE/>
        <w:autoSpaceDN/>
        <w:bidi w:val="0"/>
        <w:spacing w:before="0" w:beforeLines="0" w:beforeAutospacing="0" w:after="0" w:afterLines="0" w:afterAutospacing="0" w:line="556" w:lineRule="exact"/>
        <w:ind w:left="0" w:right="0" w:firstLine="641"/>
        <w:jc w:val="both"/>
        <w:rPr>
          <w:rFonts w:hint="eastAsia" w:ascii="方正仿宋_GB2312" w:hAnsi="方正仿宋_GB2312" w:eastAsia="方正仿宋_GB2312" w:cs="方正仿宋_GB2312"/>
          <w:b w:val="0"/>
          <w:bCs w:val="0"/>
          <w:color w:val="000000"/>
          <w:kern w:val="2"/>
          <w:sz w:val="32"/>
          <w:szCs w:val="32"/>
          <w:lang w:val="en-US" w:eastAsia="zh-CN" w:bidi="ar-SA"/>
        </w:rPr>
      </w:pPr>
      <w:r>
        <w:rPr>
          <w:rFonts w:hint="eastAsia" w:ascii="方正仿宋_GB2312" w:hAnsi="方正仿宋_GB2312" w:eastAsia="方正仿宋_GB2312" w:cs="方正仿宋_GB2312"/>
          <w:b w:val="0"/>
          <w:bCs w:val="0"/>
          <w:color w:val="000000"/>
          <w:kern w:val="2"/>
          <w:sz w:val="32"/>
          <w:szCs w:val="32"/>
          <w:lang w:val="en-US" w:eastAsia="zh-CN" w:bidi="ar-SA"/>
        </w:rPr>
        <w:t>进一步加强局内部机构各科室的预算管理意识，严格按照预算编制的相关制度和要求进行预算编制。</w:t>
      </w:r>
    </w:p>
    <w:p>
      <w:pPr>
        <w:pStyle w:val="11"/>
        <w:keepNext w:val="0"/>
        <w:keepLines w:val="0"/>
        <w:pageBreakBefore w:val="0"/>
        <w:widowControl/>
        <w:numPr>
          <w:ilvl w:val="0"/>
          <w:numId w:val="6"/>
        </w:numPr>
        <w:suppressLineNumbers w:val="0"/>
        <w:kinsoku/>
        <w:wordWrap/>
        <w:overflowPunct/>
        <w:topLinePunct w:val="0"/>
        <w:autoSpaceDE/>
        <w:autoSpaceDN/>
        <w:bidi w:val="0"/>
        <w:spacing w:before="0" w:beforeLines="0" w:beforeAutospacing="0" w:after="0" w:afterLines="0" w:afterAutospacing="0" w:line="556" w:lineRule="exact"/>
        <w:ind w:left="0" w:leftChars="0" w:right="0" w:firstLine="641" w:firstLineChars="0"/>
        <w:jc w:val="both"/>
        <w:rPr>
          <w:rFonts w:hint="eastAsia" w:ascii="方正仿宋_GB2312" w:hAnsi="方正仿宋_GB2312" w:eastAsia="方正仿宋_GB2312" w:cs="方正仿宋_GB2312"/>
          <w:b/>
          <w:bCs/>
          <w:color w:val="000000"/>
          <w:kern w:val="2"/>
          <w:sz w:val="32"/>
          <w:szCs w:val="32"/>
          <w:lang w:val="en-US" w:eastAsia="zh-CN" w:bidi="ar-SA"/>
        </w:rPr>
      </w:pPr>
      <w:r>
        <w:rPr>
          <w:rFonts w:hint="eastAsia" w:ascii="方正仿宋_GB2312" w:hAnsi="方正仿宋_GB2312" w:eastAsia="方正仿宋_GB2312" w:cs="方正仿宋_GB2312"/>
          <w:b/>
          <w:bCs/>
          <w:color w:val="000000"/>
          <w:kern w:val="2"/>
          <w:sz w:val="32"/>
          <w:szCs w:val="32"/>
          <w:lang w:val="en-US" w:eastAsia="zh-CN" w:bidi="ar-SA"/>
        </w:rPr>
        <w:t>加强财务管理，严格财务审核</w:t>
      </w:r>
    </w:p>
    <w:p>
      <w:pPr>
        <w:pStyle w:val="11"/>
        <w:keepNext w:val="0"/>
        <w:keepLines w:val="0"/>
        <w:pageBreakBefore w:val="0"/>
        <w:widowControl/>
        <w:suppressLineNumbers w:val="0"/>
        <w:kinsoku/>
        <w:wordWrap/>
        <w:overflowPunct/>
        <w:topLinePunct w:val="0"/>
        <w:autoSpaceDE/>
        <w:autoSpaceDN/>
        <w:bidi w:val="0"/>
        <w:spacing w:before="0" w:beforeLines="0" w:beforeAutospacing="0" w:after="0" w:afterLines="0" w:afterAutospacing="0" w:line="556" w:lineRule="exact"/>
        <w:ind w:left="0" w:right="0" w:firstLine="641"/>
        <w:jc w:val="both"/>
        <w:rPr>
          <w:rFonts w:hint="eastAsia" w:ascii="方正仿宋_GB2312" w:hAnsi="方正仿宋_GB2312" w:eastAsia="方正仿宋_GB2312" w:cs="方正仿宋_GB2312"/>
          <w:b w:val="0"/>
          <w:bCs w:val="0"/>
          <w:color w:val="000000"/>
          <w:kern w:val="2"/>
          <w:sz w:val="32"/>
          <w:szCs w:val="32"/>
          <w:lang w:val="en-US" w:eastAsia="zh-CN" w:bidi="ar-SA"/>
        </w:rPr>
      </w:pPr>
      <w:r>
        <w:rPr>
          <w:rFonts w:hint="eastAsia" w:ascii="方正仿宋_GB2312" w:hAnsi="方正仿宋_GB2312" w:eastAsia="方正仿宋_GB2312" w:cs="方正仿宋_GB2312"/>
          <w:b w:val="0"/>
          <w:bCs w:val="0"/>
          <w:color w:val="000000"/>
          <w:kern w:val="2"/>
          <w:sz w:val="32"/>
          <w:szCs w:val="32"/>
          <w:lang w:val="en-US" w:eastAsia="zh-CN" w:bidi="ar-SA"/>
        </w:rPr>
        <w:t>在费用报账支付时，按照预算规定的费用项目和用途进行资金使用审核。</w:t>
      </w:r>
    </w:p>
    <w:p>
      <w:pPr>
        <w:pStyle w:val="11"/>
        <w:keepNext w:val="0"/>
        <w:keepLines w:val="0"/>
        <w:pageBreakBefore w:val="0"/>
        <w:widowControl/>
        <w:suppressLineNumbers w:val="0"/>
        <w:kinsoku/>
        <w:wordWrap/>
        <w:overflowPunct/>
        <w:topLinePunct w:val="0"/>
        <w:autoSpaceDE/>
        <w:autoSpaceDN/>
        <w:bidi w:val="0"/>
        <w:spacing w:before="0" w:beforeLines="0" w:beforeAutospacing="0" w:after="0" w:afterLines="0" w:afterAutospacing="0" w:line="556" w:lineRule="exact"/>
        <w:ind w:right="0" w:firstLine="640" w:firstLineChars="200"/>
        <w:jc w:val="both"/>
        <w:rPr>
          <w:rFonts w:hint="eastAsia" w:ascii="方正仿宋_GB2312" w:hAnsi="方正仿宋_GB2312" w:eastAsia="方正仿宋_GB2312" w:cs="方正仿宋_GB2312"/>
          <w:b/>
          <w:bCs/>
          <w:color w:val="000000"/>
          <w:kern w:val="2"/>
          <w:sz w:val="32"/>
          <w:szCs w:val="32"/>
          <w:lang w:val="en-US" w:eastAsia="zh-CN" w:bidi="ar-SA"/>
        </w:rPr>
      </w:pPr>
      <w:r>
        <w:rPr>
          <w:rFonts w:hint="eastAsia" w:ascii="方正仿宋_GB2312" w:hAnsi="方正仿宋_GB2312" w:eastAsia="方正仿宋_GB2312" w:cs="方正仿宋_GB2312"/>
          <w:b/>
          <w:bCs/>
          <w:color w:val="000000"/>
          <w:kern w:val="2"/>
          <w:sz w:val="32"/>
          <w:szCs w:val="32"/>
          <w:lang w:val="en-US" w:eastAsia="zh-CN" w:bidi="ar-SA"/>
        </w:rPr>
        <w:t xml:space="preserve">3、增设绩效管理专干，全流程监控项目资金使用情况 </w:t>
      </w:r>
    </w:p>
    <w:p>
      <w:pPr>
        <w:pStyle w:val="11"/>
        <w:keepNext w:val="0"/>
        <w:keepLines w:val="0"/>
        <w:pageBreakBefore w:val="0"/>
        <w:widowControl/>
        <w:suppressLineNumbers w:val="0"/>
        <w:kinsoku/>
        <w:wordWrap/>
        <w:overflowPunct/>
        <w:topLinePunct w:val="0"/>
        <w:autoSpaceDE/>
        <w:autoSpaceDN/>
        <w:bidi w:val="0"/>
        <w:spacing w:before="0" w:beforeLines="0" w:beforeAutospacing="0" w:after="0" w:afterLines="0" w:afterAutospacing="0" w:line="556" w:lineRule="exact"/>
        <w:ind w:left="0" w:right="0" w:firstLine="641"/>
        <w:jc w:val="both"/>
        <w:rPr>
          <w:rFonts w:hint="eastAsia" w:ascii="方正仿宋_GB2312" w:hAnsi="方正仿宋_GB2312" w:eastAsia="方正仿宋_GB2312" w:cs="方正仿宋_GB2312"/>
          <w:b w:val="0"/>
          <w:bCs w:val="0"/>
          <w:color w:val="000000"/>
          <w:kern w:val="2"/>
          <w:sz w:val="32"/>
          <w:szCs w:val="32"/>
          <w:lang w:val="en-US" w:eastAsia="zh-CN" w:bidi="ar-SA"/>
        </w:rPr>
      </w:pPr>
      <w:r>
        <w:rPr>
          <w:rFonts w:hint="eastAsia" w:ascii="方正仿宋_GB2312" w:hAnsi="方正仿宋_GB2312" w:eastAsia="方正仿宋_GB2312" w:cs="方正仿宋_GB2312"/>
          <w:b w:val="0"/>
          <w:bCs w:val="0"/>
          <w:color w:val="000000"/>
          <w:kern w:val="2"/>
          <w:sz w:val="32"/>
          <w:szCs w:val="32"/>
          <w:lang w:val="en-US" w:eastAsia="zh-CN" w:bidi="ar-SA"/>
        </w:rPr>
        <w:t>我局绩效管理工作往往由财务人员兼职，而财务人员对有些项目的开展情况并不了解，无法设置更加科学合理的绩效考核指标进行有效评估、合理监控。建议增设相关绩效管理专干对这块工作进行综合全盘考核。</w:t>
      </w:r>
    </w:p>
    <w:p>
      <w:pPr>
        <w:keepNext w:val="0"/>
        <w:keepLines w:val="0"/>
        <w:pageBreakBefore w:val="0"/>
        <w:widowControl w:val="0"/>
        <w:kinsoku/>
        <w:wordWrap/>
        <w:overflowPunct/>
        <w:topLinePunct w:val="0"/>
        <w:autoSpaceDE/>
        <w:autoSpaceDN/>
        <w:bidi w:val="0"/>
        <w:adjustRightInd/>
        <w:snapToGrid w:val="0"/>
        <w:spacing w:line="556" w:lineRule="exact"/>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十一、绩效自评结果拟应用和公开情况</w:t>
      </w:r>
    </w:p>
    <w:p>
      <w:pPr>
        <w:keepNext w:val="0"/>
        <w:keepLines w:val="0"/>
        <w:pageBreakBefore w:val="0"/>
        <w:widowControl w:val="0"/>
        <w:kinsoku/>
        <w:wordWrap/>
        <w:overflowPunct/>
        <w:topLinePunct w:val="0"/>
        <w:autoSpaceDE/>
        <w:autoSpaceDN/>
        <w:bidi w:val="0"/>
        <w:adjustRightInd/>
        <w:snapToGrid w:val="0"/>
        <w:spacing w:line="556" w:lineRule="exact"/>
        <w:textAlignment w:val="auto"/>
        <w:rPr>
          <w:rFonts w:hint="eastAsia" w:ascii="方正仿宋_GB2312" w:hAnsi="方正仿宋_GB2312" w:eastAsia="方正仿宋_GB2312" w:cs="方正仿宋_GB2312"/>
          <w:b w:val="0"/>
          <w:bCs w:val="0"/>
          <w:color w:val="000000"/>
          <w:kern w:val="2"/>
          <w:sz w:val="32"/>
          <w:szCs w:val="32"/>
          <w:lang w:val="en-US" w:eastAsia="zh-CN" w:bidi="ar-SA"/>
        </w:rPr>
      </w:pPr>
      <w:r>
        <w:rPr>
          <w:rFonts w:hint="eastAsia" w:ascii="方正仿宋_GB2312" w:hAnsi="方正仿宋_GB2312" w:eastAsia="方正仿宋_GB2312" w:cs="方正仿宋_GB2312"/>
          <w:b w:val="0"/>
          <w:bCs w:val="0"/>
          <w:color w:val="000000"/>
          <w:kern w:val="2"/>
          <w:sz w:val="32"/>
          <w:szCs w:val="32"/>
          <w:lang w:val="en-US" w:eastAsia="zh-CN" w:bidi="ar-SA"/>
        </w:rPr>
        <w:t xml:space="preserve">    通过绩效自评得以掌握本单位资金使用情况和取得的效果，同时也发现了工作中存在的问题和不足，为今后加强资金使用管理、完善资金绩效管理，提高资金使用效益工作提供了重要参考依据。此次绩效评价结果我们将在政府信息公开网站上予以公布，向社会公开，广泛接受群众监督。</w:t>
      </w:r>
    </w:p>
    <w:p>
      <w:pPr>
        <w:keepNext w:val="0"/>
        <w:keepLines w:val="0"/>
        <w:pageBreakBefore w:val="0"/>
        <w:widowControl w:val="0"/>
        <w:kinsoku/>
        <w:wordWrap/>
        <w:overflowPunct/>
        <w:topLinePunct w:val="0"/>
        <w:autoSpaceDE/>
        <w:autoSpaceDN/>
        <w:bidi w:val="0"/>
        <w:adjustRightInd/>
        <w:snapToGrid w:val="0"/>
        <w:spacing w:line="556" w:lineRule="exact"/>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十二、其他需要说明的情况</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无</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56" w:lineRule="exact"/>
        <w:ind w:left="0" w:right="0" w:firstLine="0"/>
        <w:jc w:val="both"/>
        <w:textAlignment w:val="auto"/>
        <w:rPr>
          <w:rFonts w:hint="eastAsia" w:ascii="方正仿宋_GB2312" w:hAnsi="方正仿宋_GB2312" w:eastAsia="方正仿宋_GB2312" w:cs="方正仿宋_GB2312"/>
          <w:i w:val="0"/>
          <w:iCs w:val="0"/>
          <w:caps w:val="0"/>
          <w:color w:val="000000"/>
          <w:spacing w:val="0"/>
          <w:sz w:val="32"/>
          <w:szCs w:val="32"/>
          <w:shd w:val="clear" w:color="auto" w:fill="FFFFFF"/>
          <w:lang w:val="en-US" w:eastAsia="zh-CN"/>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color="auto"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color="auto" w:fill="FFFFFF"/>
          <w:lang w:val="en-US" w:eastAsia="zh-CN"/>
        </w:rPr>
        <w:t>附件1</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12"/>
        <w:tblW w:w="94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354" w:type="dxa"/>
            <w:vMerge w:val="restart"/>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2" w:hRule="atLeast"/>
          <w:jc w:val="center"/>
        </w:trPr>
        <w:tc>
          <w:tcPr>
            <w:tcW w:w="3354" w:type="dxa"/>
            <w:vMerge w:val="continue"/>
            <w:noWrap w:val="0"/>
            <w:vAlign w:val="center"/>
          </w:tcPr>
          <w:p>
            <w:pPr>
              <w:widowControl/>
              <w:jc w:val="left"/>
              <w:rPr>
                <w:rFonts w:hint="eastAsia" w:ascii="仿宋" w:hAnsi="仿宋" w:eastAsia="仿宋" w:cs="仿宋"/>
                <w:b w:val="0"/>
                <w:bCs w:val="0"/>
                <w:kern w:val="0"/>
                <w:sz w:val="20"/>
                <w:szCs w:val="20"/>
              </w:rPr>
            </w:pPr>
          </w:p>
        </w:tc>
        <w:tc>
          <w:tcPr>
            <w:tcW w:w="20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222</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rPr>
            </w:pPr>
            <w:r>
              <w:rPr>
                <w:rFonts w:hint="eastAsia" w:ascii="仿宋" w:hAnsi="仿宋" w:eastAsia="仿宋" w:cs="仿宋"/>
                <w:b w:val="0"/>
                <w:bCs w:val="0"/>
                <w:kern w:val="0"/>
                <w:sz w:val="20"/>
                <w:szCs w:val="20"/>
                <w:lang w:val="en-US" w:eastAsia="zh-CN"/>
              </w:rPr>
              <w:t>199</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100%</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354" w:type="dxa"/>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23.94</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30</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19.36</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20.77</w:t>
            </w: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17.85</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20.77</w:t>
            </w:r>
            <w:r>
              <w:rPr>
                <w:rFonts w:ascii="Times New Roman" w:hAnsi="Times New Roman" w:eastAsia="仿宋_GB2312" w:cs="Times New Roman"/>
                <w:sz w:val="20"/>
                <w:szCs w:val="20"/>
              </w:rPr>
              <w:t>　</w:t>
            </w: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17.85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r>
              <w:rPr>
                <w:rFonts w:hint="eastAsia" w:ascii="Times New Roman" w:hAnsi="Times New Roman" w:eastAsia="仿宋_GB2312" w:cs="Times New Roman"/>
                <w:sz w:val="20"/>
                <w:szCs w:val="20"/>
                <w:lang w:val="en-US" w:eastAsia="zh-CN"/>
              </w:rPr>
              <w:t>3.17</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w:t>
            </w: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1.51</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1345.64</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2068</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1375.63</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w:t>
            </w:r>
            <w:r>
              <w:rPr>
                <w:rFonts w:hint="eastAsia" w:ascii="仿宋" w:hAnsi="仿宋" w:eastAsia="仿宋" w:cs="仿宋"/>
                <w:b w:val="0"/>
                <w:bCs w:val="0"/>
                <w:kern w:val="0"/>
                <w:sz w:val="20"/>
                <w:szCs w:val="20"/>
                <w:lang w:eastAsia="zh-CN"/>
              </w:rPr>
              <w:t>专项</w:t>
            </w:r>
            <w:r>
              <w:rPr>
                <w:rFonts w:hint="eastAsia" w:ascii="仿宋" w:hAnsi="仿宋" w:eastAsia="仿宋" w:cs="仿宋"/>
                <w:b w:val="0"/>
                <w:bCs w:val="0"/>
                <w:kern w:val="0"/>
                <w:sz w:val="20"/>
                <w:szCs w:val="20"/>
              </w:rPr>
              <w:t>业务工作经费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464.19</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498</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419.79</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 xml:space="preserve">    2、</w:t>
            </w:r>
            <w:r>
              <w:rPr>
                <w:rFonts w:hint="eastAsia" w:ascii="仿宋" w:hAnsi="仿宋" w:eastAsia="仿宋" w:cs="仿宋"/>
                <w:b w:val="0"/>
                <w:bCs w:val="0"/>
                <w:kern w:val="0"/>
                <w:sz w:val="20"/>
                <w:szCs w:val="20"/>
                <w:lang w:eastAsia="zh-CN"/>
              </w:rPr>
              <w:t>收入征管经费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513.80</w:t>
            </w:r>
            <w:r>
              <w:rPr>
                <w:rFonts w:ascii="Times New Roman" w:hAnsi="Times New Roman" w:eastAsia="仿宋_GB2312" w:cs="Times New Roman"/>
                <w:sz w:val="20"/>
                <w:szCs w:val="20"/>
              </w:rPr>
              <w:t>　</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540</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517.86</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3354" w:type="dxa"/>
            <w:noWrap w:val="0"/>
            <w:vAlign w:val="center"/>
          </w:tcPr>
          <w:p>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政府投审分离专项经费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286.18</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xml:space="preserve"> 850</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336.08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354" w:type="dxa"/>
            <w:noWrap w:val="0"/>
            <w:vAlign w:val="center"/>
          </w:tcPr>
          <w:p>
            <w:pPr>
              <w:widowControl/>
              <w:ind w:firstLine="400" w:firstLineChars="200"/>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4、</w:t>
            </w:r>
            <w:r>
              <w:rPr>
                <w:rFonts w:hint="eastAsia" w:ascii="仿宋" w:hAnsi="仿宋" w:eastAsia="仿宋" w:cs="仿宋"/>
                <w:b w:val="0"/>
                <w:bCs w:val="0"/>
                <w:kern w:val="0"/>
                <w:sz w:val="20"/>
                <w:szCs w:val="20"/>
                <w:lang w:eastAsia="zh-CN"/>
              </w:rPr>
              <w:t>票据专项经费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70.00</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100</w:t>
            </w: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69.77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354" w:type="dxa"/>
            <w:noWrap w:val="0"/>
            <w:vAlign w:val="center"/>
          </w:tcPr>
          <w:p>
            <w:pPr>
              <w:widowControl/>
              <w:ind w:firstLine="400" w:firstLineChars="200"/>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r>
              <w:rPr>
                <w:rFonts w:hint="eastAsia" w:ascii="Times New Roman" w:hAnsi="Times New Roman" w:eastAsia="仿宋_GB2312" w:cs="Times New Roman"/>
                <w:sz w:val="20"/>
                <w:szCs w:val="20"/>
                <w:lang w:val="en-US" w:eastAsia="zh-CN"/>
              </w:rPr>
              <w:t>注会和会计考试考务费</w:t>
            </w:r>
          </w:p>
        </w:tc>
        <w:tc>
          <w:tcPr>
            <w:tcW w:w="2038" w:type="dxa"/>
            <w:gridSpan w:val="2"/>
            <w:noWrap w:val="0"/>
            <w:vAlign w:val="center"/>
          </w:tcPr>
          <w:p>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11.47</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80</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pPr>
              <w:widowControl/>
              <w:jc w:val="center"/>
              <w:rPr>
                <w:rFonts w:hint="eastAsia" w:ascii="仿宋" w:hAnsi="仿宋" w:eastAsia="仿宋" w:cs="仿宋"/>
                <w:b w:val="0"/>
                <w:bCs w:val="0"/>
                <w:color w:val="FF0000"/>
                <w:kern w:val="0"/>
                <w:sz w:val="20"/>
                <w:szCs w:val="20"/>
              </w:rPr>
            </w:pPr>
            <w:r>
              <w:rPr>
                <w:rFonts w:hint="eastAsia" w:ascii="Times New Roman" w:hAnsi="Times New Roman" w:eastAsia="仿宋_GB2312" w:cs="Times New Roman"/>
                <w:sz w:val="20"/>
                <w:szCs w:val="20"/>
                <w:lang w:val="en-US" w:eastAsia="zh-CN"/>
              </w:rPr>
              <w:t>247.18</w:t>
            </w:r>
          </w:p>
        </w:tc>
        <w:tc>
          <w:tcPr>
            <w:tcW w:w="2240" w:type="dxa"/>
            <w:gridSpan w:val="2"/>
            <w:noWrap w:val="0"/>
            <w:vAlign w:val="center"/>
          </w:tcPr>
          <w:p>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w:t>
            </w:r>
          </w:p>
        </w:tc>
        <w:tc>
          <w:tcPr>
            <w:tcW w:w="1832" w:type="dxa"/>
            <w:gridSpan w:val="2"/>
            <w:noWrap w:val="0"/>
            <w:vAlign w:val="center"/>
          </w:tcPr>
          <w:p>
            <w:pPr>
              <w:widowControl/>
              <w:jc w:val="center"/>
              <w:rPr>
                <w:rFonts w:hint="eastAsia"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rPr>
              <w:t>　</w:t>
            </w:r>
            <w:r>
              <w:rPr>
                <w:rFonts w:hint="eastAsia" w:ascii="仿宋" w:hAnsi="仿宋" w:eastAsia="仿宋" w:cs="仿宋"/>
                <w:b w:val="0"/>
                <w:bCs w:val="0"/>
                <w:color w:val="auto"/>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pPr>
              <w:widowControl/>
              <w:jc w:val="center"/>
              <w:rPr>
                <w:rFonts w:hint="eastAsia" w:ascii="仿宋" w:hAnsi="仿宋" w:eastAsia="仿宋" w:cs="仿宋"/>
                <w:b w:val="0"/>
                <w:bCs w:val="0"/>
                <w:color w:val="FF0000"/>
                <w:kern w:val="0"/>
                <w:sz w:val="20"/>
                <w:szCs w:val="20"/>
              </w:rPr>
            </w:pPr>
            <w:r>
              <w:rPr>
                <w:rFonts w:hint="eastAsia" w:ascii="Times New Roman" w:hAnsi="Times New Roman" w:eastAsia="仿宋_GB2312" w:cs="Times New Roman"/>
                <w:sz w:val="20"/>
                <w:szCs w:val="20"/>
                <w:lang w:val="en-US" w:eastAsia="zh-CN"/>
              </w:rPr>
              <w:t>　87.72</w:t>
            </w:r>
          </w:p>
        </w:tc>
        <w:tc>
          <w:tcPr>
            <w:tcW w:w="2240" w:type="dxa"/>
            <w:gridSpan w:val="2"/>
            <w:noWrap w:val="0"/>
            <w:vAlign w:val="center"/>
          </w:tcPr>
          <w:p>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w:t>
            </w:r>
          </w:p>
        </w:tc>
        <w:tc>
          <w:tcPr>
            <w:tcW w:w="1832" w:type="dxa"/>
            <w:gridSpan w:val="2"/>
            <w:noWrap w:val="0"/>
            <w:vAlign w:val="center"/>
          </w:tcPr>
          <w:p>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rPr>
              <w:t>　</w:t>
            </w:r>
            <w:r>
              <w:rPr>
                <w:rFonts w:hint="eastAsia" w:ascii="仿宋" w:hAnsi="仿宋" w:eastAsia="仿宋" w:cs="仿宋"/>
                <w:b w:val="0"/>
                <w:bCs w:val="0"/>
                <w:color w:val="auto"/>
                <w:kern w:val="0"/>
                <w:sz w:val="20"/>
                <w:szCs w:val="20"/>
                <w:lang w:val="en-US" w:eastAsia="zh-CN"/>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pPr>
              <w:widowControl/>
              <w:jc w:val="center"/>
              <w:rPr>
                <w:rFonts w:hint="eastAsia" w:ascii="仿宋" w:hAnsi="仿宋" w:eastAsia="仿宋" w:cs="仿宋"/>
                <w:b w:val="0"/>
                <w:bCs w:val="0"/>
                <w:color w:val="FF0000"/>
                <w:kern w:val="0"/>
                <w:sz w:val="20"/>
                <w:szCs w:val="20"/>
              </w:rPr>
            </w:pPr>
            <w:r>
              <w:rPr>
                <w:rFonts w:hint="eastAsia" w:ascii="Times New Roman" w:hAnsi="Times New Roman" w:eastAsia="仿宋_GB2312" w:cs="Times New Roman"/>
                <w:sz w:val="20"/>
                <w:szCs w:val="20"/>
                <w:lang w:val="en-US" w:eastAsia="zh-CN"/>
              </w:rPr>
              <w:t>　4.88</w:t>
            </w:r>
          </w:p>
        </w:tc>
        <w:tc>
          <w:tcPr>
            <w:tcW w:w="2240" w:type="dxa"/>
            <w:gridSpan w:val="2"/>
            <w:noWrap w:val="0"/>
            <w:vAlign w:val="center"/>
          </w:tcPr>
          <w:p>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w:t>
            </w:r>
            <w:r>
              <w:rPr>
                <w:rFonts w:hint="eastAsia" w:ascii="仿宋" w:hAnsi="仿宋" w:eastAsia="仿宋" w:cs="仿宋"/>
                <w:b w:val="0"/>
                <w:bCs w:val="0"/>
                <w:color w:val="auto"/>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rPr>
              <w:t>　</w:t>
            </w:r>
            <w:r>
              <w:rPr>
                <w:rFonts w:hint="eastAsia" w:ascii="仿宋" w:hAnsi="仿宋" w:eastAsia="仿宋" w:cs="仿宋"/>
                <w:b w:val="0"/>
                <w:bCs w:val="0"/>
                <w:color w:val="auto"/>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410.25</w:t>
            </w:r>
            <w:r>
              <w:rPr>
                <w:rFonts w:hint="eastAsia" w:ascii="仿宋" w:hAnsi="仿宋" w:eastAsia="仿宋" w:cs="仿宋"/>
                <w:b w:val="0"/>
                <w:bCs w:val="0"/>
                <w:color w:val="auto"/>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7" w:hRule="atLeast"/>
          <w:jc w:val="center"/>
        </w:trPr>
        <w:tc>
          <w:tcPr>
            <w:tcW w:w="3354" w:type="dxa"/>
            <w:vMerge w:val="restart"/>
            <w:noWrap w:val="0"/>
            <w:vAlign w:val="center"/>
          </w:tcPr>
          <w:p>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 w:hRule="atLeast"/>
          <w:jc w:val="center"/>
        </w:trPr>
        <w:tc>
          <w:tcPr>
            <w:tcW w:w="3354" w:type="dxa"/>
            <w:vMerge w:val="continue"/>
            <w:noWrap w:val="0"/>
            <w:vAlign w:val="center"/>
          </w:tcPr>
          <w:p>
            <w:pPr>
              <w:widowControl/>
              <w:jc w:val="left"/>
              <w:rPr>
                <w:rFonts w:hint="eastAsia" w:ascii="仿宋" w:hAnsi="仿宋" w:eastAsia="仿宋" w:cs="仿宋"/>
                <w:b w:val="0"/>
                <w:bCs w:val="0"/>
                <w:kern w:val="0"/>
                <w:sz w:val="20"/>
                <w:szCs w:val="20"/>
              </w:rPr>
            </w:pPr>
          </w:p>
        </w:tc>
        <w:tc>
          <w:tcPr>
            <w:tcW w:w="1189" w:type="dxa"/>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849" w:type="dxa"/>
            <w:noWrap w:val="0"/>
            <w:vAlign w:val="center"/>
          </w:tcPr>
          <w:p>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29" w:type="dxa"/>
            <w:noWrap w:val="0"/>
            <w:vAlign w:val="center"/>
          </w:tcPr>
          <w:p>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11" w:type="dxa"/>
            <w:noWrap w:val="0"/>
            <w:vAlign w:val="center"/>
          </w:tcPr>
          <w:p>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969" w:type="dxa"/>
            <w:noWrap w:val="0"/>
            <w:vAlign w:val="center"/>
          </w:tcPr>
          <w:p>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63" w:type="dxa"/>
            <w:noWrap w:val="0"/>
            <w:vAlign w:val="center"/>
          </w:tcPr>
          <w:p>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3354" w:type="dxa"/>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eastAsia="zh-CN"/>
              </w:rPr>
              <w:t>从严控制预算编制，无预算不支出，加强政府采购审核。</w:t>
            </w:r>
          </w:p>
        </w:tc>
      </w:tr>
    </w:tbl>
    <w:p>
      <w:pPr>
        <w:pStyle w:val="20"/>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王喆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 2025.5.12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2721066 </w:t>
      </w:r>
    </w:p>
    <w:p>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jc w:val="left"/>
        <w:textAlignment w:val="auto"/>
        <w:rPr>
          <w:rFonts w:hint="eastAsia" w:ascii="方正小标宋简体" w:hAnsi="方正小标宋简体" w:eastAsia="方正小标宋简体" w:cs="方正小标宋简体"/>
          <w:color w:val="000000"/>
          <w:kern w:val="0"/>
          <w:sz w:val="32"/>
          <w:szCs w:val="32"/>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2"/>
          <w:szCs w:val="32"/>
          <w:lang w:val="en-US" w:eastAsia="zh-CN"/>
        </w:rPr>
        <w:t>部门整体支出绩效自评表</w:t>
      </w:r>
    </w:p>
    <w:tbl>
      <w:tblPr>
        <w:tblStyle w:val="12"/>
        <w:tblW w:w="92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1176"/>
        <w:gridCol w:w="1128"/>
        <w:gridCol w:w="998"/>
        <w:gridCol w:w="95"/>
        <w:gridCol w:w="1200"/>
        <w:gridCol w:w="1134"/>
        <w:gridCol w:w="709"/>
        <w:gridCol w:w="872"/>
        <w:gridCol w:w="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116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预算</w:t>
            </w:r>
            <w:r>
              <w:rPr>
                <w:rFonts w:hint="eastAsia" w:ascii="仿宋" w:hAnsi="仿宋" w:eastAsia="仿宋" w:cs="仿宋"/>
                <w:color w:val="000000"/>
                <w:kern w:val="0"/>
                <w:sz w:val="18"/>
                <w:szCs w:val="18"/>
                <w:lang w:eastAsia="zh-CN"/>
              </w:rPr>
              <w:t>部门</w:t>
            </w:r>
            <w:r>
              <w:rPr>
                <w:rFonts w:hint="eastAsia" w:ascii="仿宋" w:hAnsi="仿宋" w:eastAsia="仿宋" w:cs="仿宋"/>
                <w:color w:val="000000"/>
                <w:kern w:val="0"/>
                <w:sz w:val="18"/>
                <w:szCs w:val="18"/>
              </w:rPr>
              <w:t>名称</w:t>
            </w:r>
          </w:p>
        </w:tc>
        <w:tc>
          <w:tcPr>
            <w:tcW w:w="8093" w:type="dxa"/>
            <w:gridSpan w:val="9"/>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Times New Roman" w:hAnsi="Times New Roman" w:eastAsia="仿宋_GB2312" w:cs="Times New Roman"/>
                <w:color w:val="000000"/>
                <w:sz w:val="18"/>
                <w:szCs w:val="18"/>
                <w:lang w:eastAsia="zh-CN"/>
              </w:rPr>
              <w:t>怀化市财政局</w:t>
            </w:r>
            <w:r>
              <w:rPr>
                <w:rFonts w:ascii="Times New Roman" w:hAnsi="Times New Roman" w:eastAsia="仿宋_GB2312" w:cs="Times New Roman"/>
                <w:color w:val="000000"/>
                <w:sz w:val="18"/>
                <w:szCs w:val="18"/>
              </w:rPr>
              <w:t>　</w:t>
            </w:r>
            <w:r>
              <w:rPr>
                <w:rFonts w:hint="eastAsia" w:ascii="仿宋" w:hAnsi="仿宋" w:eastAsia="仿宋" w:cs="仿宋"/>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jc w:val="center"/>
        </w:trPr>
        <w:tc>
          <w:tcPr>
            <w:tcW w:w="116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年度预</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算申请</w:t>
            </w:r>
            <w:r>
              <w:rPr>
                <w:rFonts w:hint="eastAsia"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（万元）</w:t>
            </w:r>
          </w:p>
        </w:tc>
        <w:tc>
          <w:tcPr>
            <w:tcW w:w="230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18"/>
                <w:szCs w:val="18"/>
              </w:rPr>
            </w:pPr>
          </w:p>
        </w:tc>
        <w:tc>
          <w:tcPr>
            <w:tcW w:w="99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18"/>
                <w:szCs w:val="18"/>
              </w:rPr>
            </w:pPr>
            <w:r>
              <w:rPr>
                <w:rFonts w:hint="eastAsia" w:ascii="仿宋" w:hAnsi="仿宋" w:eastAsia="仿宋" w:cs="仿宋"/>
                <w:sz w:val="18"/>
                <w:szCs w:val="18"/>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18"/>
                <w:szCs w:val="18"/>
              </w:rPr>
            </w:pPr>
            <w:r>
              <w:rPr>
                <w:rFonts w:hint="eastAsia" w:ascii="仿宋" w:hAnsi="仿宋" w:eastAsia="仿宋" w:cs="仿宋"/>
                <w:sz w:val="18"/>
                <w:szCs w:val="18"/>
              </w:rPr>
              <w:t>预算数</w:t>
            </w:r>
          </w:p>
        </w:tc>
        <w:tc>
          <w:tcPr>
            <w:tcW w:w="1295"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18"/>
                <w:szCs w:val="18"/>
              </w:rPr>
            </w:pPr>
            <w:r>
              <w:rPr>
                <w:rFonts w:hint="eastAsia" w:ascii="仿宋" w:hAnsi="仿宋" w:eastAsia="仿宋" w:cs="仿宋"/>
                <w:sz w:val="18"/>
                <w:szCs w:val="18"/>
              </w:rPr>
              <w:t>全年预算数</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18"/>
                <w:szCs w:val="18"/>
              </w:rPr>
            </w:pPr>
            <w:r>
              <w:rPr>
                <w:rFonts w:hint="eastAsia" w:ascii="仿宋" w:hAnsi="仿宋" w:eastAsia="仿宋" w:cs="仿宋"/>
                <w:sz w:val="18"/>
                <w:szCs w:val="18"/>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18"/>
                <w:szCs w:val="18"/>
              </w:rPr>
            </w:pPr>
            <w:r>
              <w:rPr>
                <w:rFonts w:hint="eastAsia" w:ascii="仿宋" w:hAnsi="仿宋" w:eastAsia="仿宋" w:cs="仿宋"/>
                <w:sz w:val="18"/>
                <w:szCs w:val="18"/>
              </w:rPr>
              <w:t>执行数</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18"/>
                <w:szCs w:val="18"/>
              </w:rPr>
            </w:pPr>
            <w:r>
              <w:rPr>
                <w:rFonts w:hint="eastAsia" w:ascii="仿宋" w:hAnsi="仿宋" w:eastAsia="仿宋" w:cs="仿宋"/>
                <w:sz w:val="18"/>
                <w:szCs w:val="18"/>
              </w:rPr>
              <w:t>分值</w:t>
            </w:r>
          </w:p>
        </w:tc>
        <w:tc>
          <w:tcPr>
            <w:tcW w:w="87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18"/>
                <w:szCs w:val="18"/>
              </w:rPr>
            </w:pPr>
            <w:r>
              <w:rPr>
                <w:rFonts w:hint="eastAsia" w:ascii="仿宋" w:hAnsi="仿宋" w:eastAsia="仿宋" w:cs="仿宋"/>
                <w:sz w:val="18"/>
                <w:szCs w:val="18"/>
              </w:rPr>
              <w:t>执行率</w:t>
            </w:r>
          </w:p>
        </w:tc>
        <w:tc>
          <w:tcPr>
            <w:tcW w:w="78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18"/>
                <w:szCs w:val="18"/>
              </w:rPr>
            </w:pPr>
            <w:r>
              <w:rPr>
                <w:rFonts w:hint="eastAsia" w:ascii="仿宋" w:hAnsi="仿宋" w:eastAsia="仿宋" w:cs="仿宋"/>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p>
        </w:tc>
        <w:tc>
          <w:tcPr>
            <w:tcW w:w="230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18"/>
                <w:szCs w:val="18"/>
              </w:rPr>
            </w:pPr>
            <w:r>
              <w:rPr>
                <w:rFonts w:hint="eastAsia" w:ascii="仿宋" w:hAnsi="仿宋" w:eastAsia="仿宋" w:cs="仿宋"/>
                <w:color w:val="000000"/>
                <w:kern w:val="0"/>
                <w:sz w:val="18"/>
                <w:szCs w:val="18"/>
              </w:rPr>
              <w:t>年度资金总额</w:t>
            </w:r>
          </w:p>
        </w:tc>
        <w:tc>
          <w:tcPr>
            <w:tcW w:w="99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5369.17</w:t>
            </w:r>
          </w:p>
        </w:tc>
        <w:tc>
          <w:tcPr>
            <w:tcW w:w="1295"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5369.17</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4880.55</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18"/>
                <w:szCs w:val="18"/>
              </w:rPr>
            </w:pPr>
            <w:r>
              <w:rPr>
                <w:rFonts w:hint="eastAsia" w:ascii="仿宋" w:hAnsi="仿宋" w:eastAsia="仿宋" w:cs="仿宋"/>
                <w:sz w:val="18"/>
                <w:szCs w:val="18"/>
              </w:rPr>
              <w:t>10</w:t>
            </w:r>
          </w:p>
        </w:tc>
        <w:tc>
          <w:tcPr>
            <w:tcW w:w="87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90.90%</w:t>
            </w:r>
          </w:p>
        </w:tc>
        <w:tc>
          <w:tcPr>
            <w:tcW w:w="78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按收入性质分：</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按支出性质分：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 xml:space="preserve">  其中：  一般公共预算</w:t>
            </w:r>
            <w:r>
              <w:rPr>
                <w:rFonts w:hint="eastAsia" w:ascii="仿宋" w:hAnsi="仿宋" w:eastAsia="仿宋" w:cs="仿宋"/>
                <w:color w:val="000000"/>
                <w:kern w:val="0"/>
                <w:sz w:val="18"/>
                <w:szCs w:val="18"/>
                <w:lang w:val="en-US" w:eastAsia="zh-CN"/>
              </w:rPr>
              <w:t>4880.55</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其中：基本支出：</w:t>
            </w:r>
            <w:r>
              <w:rPr>
                <w:rFonts w:hint="eastAsia" w:ascii="仿宋" w:hAnsi="仿宋" w:eastAsia="仿宋" w:cs="仿宋"/>
                <w:color w:val="000000"/>
                <w:kern w:val="0"/>
                <w:sz w:val="18"/>
                <w:szCs w:val="18"/>
                <w:lang w:val="en-US" w:eastAsia="zh-CN"/>
              </w:rPr>
              <w:t>3504.93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720" w:firstLineChars="400"/>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政府性基金拨款：</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540" w:firstLineChars="300"/>
              <w:jc w:val="left"/>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项目支出：</w:t>
            </w:r>
            <w:r>
              <w:rPr>
                <w:rFonts w:hint="eastAsia" w:ascii="仿宋" w:hAnsi="仿宋" w:eastAsia="仿宋" w:cs="仿宋"/>
                <w:color w:val="000000"/>
                <w:kern w:val="0"/>
                <w:sz w:val="18"/>
                <w:szCs w:val="18"/>
                <w:lang w:val="en-US" w:eastAsia="zh-CN"/>
              </w:rPr>
              <w:t>1375.62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纳入专户管理的非税收入拨款：</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1260" w:firstLineChars="700"/>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其他资金：</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 w:hRule="atLeast"/>
          <w:jc w:val="center"/>
        </w:trPr>
        <w:tc>
          <w:tcPr>
            <w:tcW w:w="116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年度总体目标</w:t>
            </w: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预期目标</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r>
              <w:rPr>
                <w:rFonts w:hint="eastAsia" w:ascii="仿宋" w:hAnsi="仿宋" w:eastAsia="仿宋" w:cs="仿宋"/>
                <w:color w:val="000000"/>
                <w:kern w:val="0"/>
                <w:sz w:val="18"/>
                <w:szCs w:val="18"/>
                <w:lang w:val="en-US" w:eastAsia="zh-CN"/>
              </w:rPr>
              <w:t xml:space="preserve"> </w:t>
            </w:r>
            <w:r>
              <w:rPr>
                <w:rFonts w:hint="default" w:ascii="仿宋" w:hAnsi="仿宋" w:eastAsia="仿宋" w:cs="仿宋"/>
                <w:color w:val="000000"/>
                <w:kern w:val="0"/>
                <w:sz w:val="18"/>
                <w:szCs w:val="18"/>
                <w:lang w:val="en-US" w:eastAsia="zh-CN"/>
              </w:rPr>
              <w:t>在市委、市政府的坚强领导下，自觉接受人大及其常委会监督</w:t>
            </w:r>
            <w:r>
              <w:rPr>
                <w:rFonts w:hint="eastAsia" w:ascii="仿宋" w:hAnsi="仿宋" w:eastAsia="仿宋" w:cs="仿宋"/>
                <w:color w:val="000000"/>
                <w:kern w:val="0"/>
                <w:sz w:val="18"/>
                <w:szCs w:val="18"/>
                <w:lang w:val="en-US" w:eastAsia="zh-CN"/>
              </w:rPr>
              <w:t>，</w:t>
            </w:r>
            <w:r>
              <w:rPr>
                <w:rFonts w:hint="default" w:ascii="仿宋" w:hAnsi="仿宋" w:eastAsia="仿宋" w:cs="仿宋"/>
                <w:color w:val="000000"/>
                <w:kern w:val="0"/>
                <w:sz w:val="18"/>
                <w:szCs w:val="18"/>
                <w:lang w:val="en-US" w:eastAsia="zh-CN"/>
              </w:rPr>
              <w:t>锚定“三高四新”美好蓝图，深入实施“五新四城”战略，强化措施稳增长、惠民生、防风险、促发展，</w:t>
            </w:r>
            <w:r>
              <w:rPr>
                <w:rFonts w:hint="default" w:ascii="仿宋" w:hAnsi="仿宋" w:eastAsia="仿宋" w:cs="仿宋"/>
                <w:color w:val="000000"/>
                <w:kern w:val="0"/>
                <w:sz w:val="18"/>
                <w:szCs w:val="18"/>
              </w:rPr>
              <w:t>为全市经济社会高质量发展提供财政保障</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t>　</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jc w:val="center"/>
        </w:trPr>
        <w:tc>
          <w:tcPr>
            <w:tcW w:w="116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标</w:t>
            </w:r>
          </w:p>
        </w:tc>
        <w:tc>
          <w:tcPr>
            <w:tcW w:w="117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一级指标</w:t>
            </w: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二级指标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三级指标</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指标值</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完成值</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分值</w:t>
            </w:r>
          </w:p>
        </w:tc>
        <w:tc>
          <w:tcPr>
            <w:tcW w:w="87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得分</w:t>
            </w:r>
          </w:p>
        </w:tc>
        <w:tc>
          <w:tcPr>
            <w:tcW w:w="781"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9"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p>
        </w:tc>
        <w:tc>
          <w:tcPr>
            <w:tcW w:w="117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lang w:eastAsia="zh-CN"/>
              </w:rPr>
              <w:t>成本指标</w:t>
            </w: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lang w:eastAsia="zh-CN"/>
              </w:rPr>
              <w:t>经济成本指标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基本支出成本控制</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≤3301.17</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3504.93</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5</w:t>
            </w:r>
          </w:p>
        </w:tc>
        <w:tc>
          <w:tcPr>
            <w:tcW w:w="87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2</w:t>
            </w:r>
          </w:p>
        </w:tc>
        <w:tc>
          <w:tcPr>
            <w:tcW w:w="78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项目支出成本控制</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≤2068</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1375.62</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10</w:t>
            </w:r>
          </w:p>
        </w:tc>
        <w:tc>
          <w:tcPr>
            <w:tcW w:w="87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10</w:t>
            </w:r>
          </w:p>
        </w:tc>
        <w:tc>
          <w:tcPr>
            <w:tcW w:w="78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3"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lang w:eastAsia="zh-CN"/>
              </w:rPr>
              <w:t>社会成本指标</w:t>
            </w:r>
          </w:p>
        </w:tc>
        <w:tc>
          <w:tcPr>
            <w:tcW w:w="1093" w:type="dxa"/>
            <w:gridSpan w:val="2"/>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社会成本节约率</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≥0</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5</w:t>
            </w:r>
          </w:p>
        </w:tc>
        <w:tc>
          <w:tcPr>
            <w:tcW w:w="87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5</w:t>
            </w:r>
          </w:p>
        </w:tc>
        <w:tc>
          <w:tcPr>
            <w:tcW w:w="78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3"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lang w:eastAsia="zh-CN"/>
              </w:rPr>
              <w:t>生态成本指标</w:t>
            </w:r>
          </w:p>
        </w:tc>
        <w:tc>
          <w:tcPr>
            <w:tcW w:w="5789" w:type="dxa"/>
            <w:gridSpan w:val="7"/>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4"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p>
        </w:tc>
        <w:tc>
          <w:tcPr>
            <w:tcW w:w="117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数量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地方收入增长率</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4.33</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10</w:t>
            </w:r>
          </w:p>
        </w:tc>
        <w:tc>
          <w:tcPr>
            <w:tcW w:w="87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10</w:t>
            </w:r>
          </w:p>
        </w:tc>
        <w:tc>
          <w:tcPr>
            <w:tcW w:w="78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4"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非税占比收入</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≤45%</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18"/>
                <w:szCs w:val="18"/>
                <w:lang w:val="en-US"/>
              </w:rPr>
            </w:pPr>
            <w:r>
              <w:rPr>
                <w:rFonts w:hint="eastAsia" w:ascii="仿宋" w:hAnsi="仿宋" w:eastAsia="仿宋" w:cs="仿宋"/>
                <w:color w:val="000000"/>
                <w:kern w:val="0"/>
                <w:sz w:val="18"/>
                <w:szCs w:val="18"/>
                <w:lang w:val="en-US" w:eastAsia="zh-CN"/>
              </w:rPr>
              <w:t>42.71</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10</w:t>
            </w:r>
          </w:p>
        </w:tc>
        <w:tc>
          <w:tcPr>
            <w:tcW w:w="87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10</w:t>
            </w:r>
          </w:p>
        </w:tc>
        <w:tc>
          <w:tcPr>
            <w:tcW w:w="78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3"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质量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财政政策得到完善及积极实施</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完善实施</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完善实施</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10</w:t>
            </w:r>
          </w:p>
        </w:tc>
        <w:tc>
          <w:tcPr>
            <w:tcW w:w="87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10</w:t>
            </w:r>
          </w:p>
        </w:tc>
        <w:tc>
          <w:tcPr>
            <w:tcW w:w="78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严格把关费用支出及资金运用</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严格把关</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严格把关</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10</w:t>
            </w:r>
          </w:p>
        </w:tc>
        <w:tc>
          <w:tcPr>
            <w:tcW w:w="87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10</w:t>
            </w:r>
          </w:p>
        </w:tc>
        <w:tc>
          <w:tcPr>
            <w:tcW w:w="78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时效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履职目标及时性</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2024年12月之前</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2024年12月之前</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10</w:t>
            </w:r>
          </w:p>
        </w:tc>
        <w:tc>
          <w:tcPr>
            <w:tcW w:w="87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10</w:t>
            </w:r>
          </w:p>
        </w:tc>
        <w:tc>
          <w:tcPr>
            <w:tcW w:w="78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9"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p>
        </w:tc>
        <w:tc>
          <w:tcPr>
            <w:tcW w:w="117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效益指标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益指标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财政工作经济效益</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有效</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有效</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10</w:t>
            </w:r>
          </w:p>
        </w:tc>
        <w:tc>
          <w:tcPr>
            <w:tcW w:w="87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10</w:t>
            </w:r>
          </w:p>
        </w:tc>
        <w:tc>
          <w:tcPr>
            <w:tcW w:w="78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益指标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财政工作社会效益</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有效</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有效</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180" w:firstLineChars="100"/>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10</w:t>
            </w:r>
          </w:p>
        </w:tc>
        <w:tc>
          <w:tcPr>
            <w:tcW w:w="87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10</w:t>
            </w:r>
          </w:p>
        </w:tc>
        <w:tc>
          <w:tcPr>
            <w:tcW w:w="78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益指标</w:t>
            </w:r>
          </w:p>
        </w:tc>
        <w:tc>
          <w:tcPr>
            <w:tcW w:w="5789" w:type="dxa"/>
            <w:gridSpan w:val="7"/>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可持续影响指标</w:t>
            </w:r>
          </w:p>
        </w:tc>
        <w:tc>
          <w:tcPr>
            <w:tcW w:w="5789" w:type="dxa"/>
            <w:gridSpan w:val="7"/>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p>
        </w:tc>
        <w:tc>
          <w:tcPr>
            <w:tcW w:w="117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6"/>
                <w:szCs w:val="16"/>
              </w:rPr>
              <w:t>服务对象满意度指标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社会公众满意度</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≥95%</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　</w:t>
            </w:r>
            <w:r>
              <w:rPr>
                <w:rFonts w:hint="eastAsia" w:ascii="仿宋" w:hAnsi="仿宋" w:eastAsia="仿宋" w:cs="仿宋"/>
                <w:color w:val="000000"/>
                <w:kern w:val="0"/>
                <w:sz w:val="18"/>
                <w:szCs w:val="18"/>
                <w:lang w:val="en-US" w:eastAsia="zh-CN"/>
              </w:rPr>
              <w:t>100%</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　</w:t>
            </w:r>
            <w:r>
              <w:rPr>
                <w:rFonts w:hint="eastAsia" w:ascii="仿宋" w:hAnsi="仿宋" w:eastAsia="仿宋" w:cs="仿宋"/>
                <w:color w:val="000000"/>
                <w:kern w:val="0"/>
                <w:sz w:val="18"/>
                <w:szCs w:val="18"/>
                <w:lang w:val="en-US" w:eastAsia="zh-CN"/>
              </w:rPr>
              <w:t>10</w:t>
            </w:r>
          </w:p>
        </w:tc>
        <w:tc>
          <w:tcPr>
            <w:tcW w:w="87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　</w:t>
            </w:r>
            <w:r>
              <w:rPr>
                <w:rFonts w:hint="eastAsia" w:ascii="仿宋" w:hAnsi="仿宋" w:eastAsia="仿宋" w:cs="仿宋"/>
                <w:color w:val="000000"/>
                <w:kern w:val="0"/>
                <w:sz w:val="18"/>
                <w:szCs w:val="18"/>
                <w:lang w:val="en-US" w:eastAsia="zh-CN"/>
              </w:rPr>
              <w:t>10</w:t>
            </w:r>
          </w:p>
        </w:tc>
        <w:tc>
          <w:tcPr>
            <w:tcW w:w="78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900" w:type="dxa"/>
            <w:gridSpan w:val="7"/>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总分</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100</w:t>
            </w:r>
          </w:p>
        </w:tc>
        <w:tc>
          <w:tcPr>
            <w:tcW w:w="87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78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bl>
    <w:p>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8"/>
          <w:szCs w:val="28"/>
          <w:lang w:val="en-US" w:eastAsia="zh-CN" w:bidi="ar-SA"/>
        </w:rPr>
      </w:pPr>
      <w:r>
        <w:rPr>
          <w:rFonts w:hint="default" w:ascii="Times New Roman" w:hAnsi="Times New Roman" w:eastAsia="仿宋_GB2312" w:cs="Times New Roman"/>
          <w:snapToGrid/>
          <w:color w:val="000000"/>
          <w:kern w:val="0"/>
          <w:sz w:val="22"/>
          <w:szCs w:val="22"/>
          <w:lang w:val="en-US" w:eastAsia="zh-CN" w:bidi="ar-SA"/>
        </w:rPr>
        <w:t>填表人：</w:t>
      </w:r>
      <w:r>
        <w:rPr>
          <w:rFonts w:hint="eastAsia" w:ascii="Times New Roman" w:hAnsi="Times New Roman" w:eastAsia="仿宋_GB2312" w:cs="Times New Roman"/>
          <w:snapToGrid/>
          <w:color w:val="000000"/>
          <w:kern w:val="0"/>
          <w:sz w:val="22"/>
          <w:szCs w:val="22"/>
          <w:lang w:val="en-US" w:eastAsia="zh-CN" w:bidi="ar-SA"/>
        </w:rPr>
        <w:t xml:space="preserve"> 王喆           </w:t>
      </w:r>
      <w:r>
        <w:rPr>
          <w:rFonts w:hint="default" w:ascii="Times New Roman" w:hAnsi="Times New Roman" w:eastAsia="仿宋_GB2312" w:cs="Times New Roman"/>
          <w:snapToGrid/>
          <w:color w:val="000000"/>
          <w:kern w:val="0"/>
          <w:sz w:val="22"/>
          <w:szCs w:val="22"/>
          <w:lang w:val="en-US" w:eastAsia="zh-CN" w:bidi="ar-SA"/>
        </w:rPr>
        <w:t>填报日期：</w:t>
      </w:r>
      <w:r>
        <w:rPr>
          <w:rFonts w:hint="eastAsia" w:ascii="Times New Roman" w:hAnsi="Times New Roman" w:eastAsia="仿宋_GB2312" w:cs="Times New Roman"/>
          <w:snapToGrid/>
          <w:color w:val="000000"/>
          <w:kern w:val="0"/>
          <w:sz w:val="22"/>
          <w:szCs w:val="22"/>
          <w:lang w:val="en-US" w:eastAsia="zh-CN" w:bidi="ar-SA"/>
        </w:rPr>
        <w:t xml:space="preserve">2025.5.12          </w:t>
      </w:r>
      <w:r>
        <w:rPr>
          <w:rFonts w:hint="default" w:ascii="Times New Roman" w:hAnsi="Times New Roman" w:eastAsia="仿宋_GB2312" w:cs="Times New Roman"/>
          <w:snapToGrid/>
          <w:color w:val="000000"/>
          <w:kern w:val="0"/>
          <w:sz w:val="22"/>
          <w:szCs w:val="22"/>
          <w:lang w:val="en-US" w:eastAsia="zh-CN" w:bidi="ar-SA"/>
        </w:rPr>
        <w:t xml:space="preserve"> 联系电话：</w:t>
      </w:r>
      <w:r>
        <w:rPr>
          <w:rFonts w:hint="eastAsia" w:ascii="Times New Roman" w:hAnsi="Times New Roman" w:eastAsia="仿宋_GB2312" w:cs="Times New Roman"/>
          <w:snapToGrid/>
          <w:color w:val="000000"/>
          <w:kern w:val="0"/>
          <w:sz w:val="22"/>
          <w:szCs w:val="22"/>
          <w:lang w:val="en-US" w:eastAsia="zh-CN" w:bidi="ar-SA"/>
        </w:rPr>
        <w:t xml:space="preserve">2721066 </w:t>
      </w:r>
    </w:p>
    <w:p>
      <w:pPr>
        <w:rPr>
          <w:rFonts w:hint="eastAsia" w:ascii="方正仿宋_GB2312" w:hAnsi="方正仿宋_GB2312" w:eastAsia="方正仿宋_GB2312" w:cs="方正仿宋_GB2312"/>
          <w:sz w:val="15"/>
          <w:szCs w:val="15"/>
        </w:rPr>
      </w:pPr>
    </w:p>
    <w:p>
      <w:pPr>
        <w:ind w:firstLine="640" w:firstLineChars="200"/>
        <w:jc w:val="left"/>
        <w:rPr>
          <w:rFonts w:hint="eastAsia" w:ascii="仿宋" w:hAnsi="仿宋" w:eastAsia="仿宋" w:cs="仿宋"/>
          <w:color w:val="000000"/>
          <w:kern w:val="0"/>
          <w:sz w:val="32"/>
          <w:szCs w:val="32"/>
        </w:rPr>
      </w:pPr>
    </w:p>
    <w:sectPr>
      <w:pgSz w:w="11906" w:h="16838"/>
      <w:pgMar w:top="1117" w:right="1117" w:bottom="1117" w:left="1684" w:header="851" w:footer="992" w:gutter="0"/>
      <w:cols w:space="0" w:num="1"/>
      <w:rtlGutter w:val="0"/>
      <w:docGrid w:type="linesAndChar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Noto Color Emoj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auto"/>
    <w:pitch w:val="default"/>
    <w:sig w:usb0="E00002FF" w:usb1="400004FF" w:usb2="00000000" w:usb3="00000000" w:csb0="2000019F" w:csb1="00000000"/>
  </w:font>
  <w:font w:name="方正楷体_GBK">
    <w:panose1 w:val="02000000000000000000"/>
    <w:charset w:val="86"/>
    <w:family w:val="auto"/>
    <w:pitch w:val="default"/>
    <w:sig w:usb0="00000000" w:usb1="00000000" w:usb2="00000000" w:usb3="00000000" w:csb0="00000000" w:csb1="00000000"/>
  </w:font>
  <w:font w:name="方正仿宋_GB2312">
    <w:panose1 w:val="02000000000000000000"/>
    <w:charset w:val="86"/>
    <w:family w:val="auto"/>
    <w:pitch w:val="default"/>
    <w:sig w:usb0="00000000" w:usb1="00000000" w:usb2="00000000" w:usb3="00000000" w:csb0="00000000" w:csb1="00000000"/>
  </w:font>
  <w:font w:name="方正小标宋_GBK">
    <w:panose1 w:val="03000509000000000000"/>
    <w:charset w:val="86"/>
    <w:family w:val="auto"/>
    <w:pitch w:val="default"/>
    <w:sig w:usb0="00000000" w:usb1="00000000" w:usb2="00000000" w:usb3="00000000" w:csb0="00000000" w:csb1="00000000"/>
  </w:font>
  <w:font w:name="方正小标宋简体">
    <w:panose1 w:val="02000000000000000000"/>
    <w:charset w:val="86"/>
    <w:family w:val="auto"/>
    <w:pitch w:val="default"/>
    <w:sig w:usb0="00000000" w:usb1="00000000" w:usb2="00000000" w:usb3="00000000" w:csb0="00000000" w:csb1="00000000"/>
  </w:font>
  <w:font w:name="仿宋_GB2312">
    <w:panose1 w:val="02010609030101010101"/>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560257"/>
    <w:multiLevelType w:val="singleLevel"/>
    <w:tmpl w:val="AF560257"/>
    <w:lvl w:ilvl="0" w:tentative="0">
      <w:start w:val="1"/>
      <w:numFmt w:val="decimal"/>
      <w:suff w:val="nothing"/>
      <w:lvlText w:val="%1、"/>
      <w:lvlJc w:val="left"/>
    </w:lvl>
  </w:abstractNum>
  <w:abstractNum w:abstractNumId="1">
    <w:nsid w:val="EAFDAEA8"/>
    <w:multiLevelType w:val="singleLevel"/>
    <w:tmpl w:val="EAFDAEA8"/>
    <w:lvl w:ilvl="0" w:tentative="0">
      <w:start w:val="2"/>
      <w:numFmt w:val="chineseCounting"/>
      <w:suff w:val="nothing"/>
      <w:lvlText w:val="（%1）"/>
      <w:lvlJc w:val="left"/>
      <w:rPr>
        <w:rFonts w:hint="eastAsia"/>
      </w:r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E6AAF07"/>
    <w:multiLevelType w:val="singleLevel"/>
    <w:tmpl w:val="4E6AAF07"/>
    <w:lvl w:ilvl="0" w:tentative="0">
      <w:start w:val="9"/>
      <w:numFmt w:val="chineseCounting"/>
      <w:suff w:val="nothing"/>
      <w:lvlText w:val="%1、"/>
      <w:lvlJc w:val="left"/>
      <w:rPr>
        <w:rFonts w:hint="eastAsia"/>
      </w:rPr>
    </w:lvl>
  </w:abstractNum>
  <w:abstractNum w:abstractNumId="4">
    <w:nsid w:val="63312B1C"/>
    <w:multiLevelType w:val="singleLevel"/>
    <w:tmpl w:val="63312B1C"/>
    <w:lvl w:ilvl="0" w:tentative="0">
      <w:start w:val="3"/>
      <w:numFmt w:val="decimal"/>
      <w:suff w:val="nothing"/>
      <w:lvlText w:val="%1、"/>
      <w:lvlJc w:val="left"/>
    </w:lvl>
  </w:abstractNum>
  <w:abstractNum w:abstractNumId="5">
    <w:nsid w:val="6864FFC2"/>
    <w:multiLevelType w:val="singleLevel"/>
    <w:tmpl w:val="6864FFC2"/>
    <w:lvl w:ilvl="0" w:tentative="0">
      <w:start w:val="3"/>
      <w:numFmt w:val="decimal"/>
      <w:suff w:val="nothing"/>
      <w:lvlText w:val="%1、"/>
      <w:lvlJc w:val="left"/>
    </w:lvl>
  </w:abstractNum>
  <w:num w:numId="1">
    <w:abstractNumId w:val="2"/>
  </w:num>
  <w:num w:numId="2">
    <w:abstractNumId w:val="1"/>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5YTRlZDM0MjA5ZmExODljOTA5Y2M5Njk5YTAwZjc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B56A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1CD48EF"/>
    <w:rsid w:val="01D73D24"/>
    <w:rsid w:val="027A3F9F"/>
    <w:rsid w:val="04D83AA2"/>
    <w:rsid w:val="05492A09"/>
    <w:rsid w:val="068D542C"/>
    <w:rsid w:val="07BE1E87"/>
    <w:rsid w:val="0922716F"/>
    <w:rsid w:val="09675DDF"/>
    <w:rsid w:val="0A0F740B"/>
    <w:rsid w:val="0AA32D57"/>
    <w:rsid w:val="0B3800FB"/>
    <w:rsid w:val="0E91014D"/>
    <w:rsid w:val="0F8E6BDA"/>
    <w:rsid w:val="11E34606"/>
    <w:rsid w:val="11FC17BB"/>
    <w:rsid w:val="12381967"/>
    <w:rsid w:val="14306623"/>
    <w:rsid w:val="161C1328"/>
    <w:rsid w:val="16261FCA"/>
    <w:rsid w:val="16967775"/>
    <w:rsid w:val="173C240D"/>
    <w:rsid w:val="1800662E"/>
    <w:rsid w:val="183B3A1C"/>
    <w:rsid w:val="185C5D20"/>
    <w:rsid w:val="19D96074"/>
    <w:rsid w:val="1B1D58B9"/>
    <w:rsid w:val="1C4B7BB0"/>
    <w:rsid w:val="229936AC"/>
    <w:rsid w:val="23EE4D23"/>
    <w:rsid w:val="25780558"/>
    <w:rsid w:val="27977377"/>
    <w:rsid w:val="27CA30E6"/>
    <w:rsid w:val="27D03952"/>
    <w:rsid w:val="28447728"/>
    <w:rsid w:val="2928510B"/>
    <w:rsid w:val="29791CBC"/>
    <w:rsid w:val="29D335AD"/>
    <w:rsid w:val="2AB2303B"/>
    <w:rsid w:val="2ACC36BA"/>
    <w:rsid w:val="2ADD7FFF"/>
    <w:rsid w:val="2B15770E"/>
    <w:rsid w:val="2C4505A6"/>
    <w:rsid w:val="2D186215"/>
    <w:rsid w:val="2FA115CE"/>
    <w:rsid w:val="30317E7B"/>
    <w:rsid w:val="30A01476"/>
    <w:rsid w:val="31AE3E8B"/>
    <w:rsid w:val="31C630DD"/>
    <w:rsid w:val="34AE2726"/>
    <w:rsid w:val="35F852CD"/>
    <w:rsid w:val="37567261"/>
    <w:rsid w:val="384D3F5E"/>
    <w:rsid w:val="389971BC"/>
    <w:rsid w:val="39CB7D2A"/>
    <w:rsid w:val="3C3A423B"/>
    <w:rsid w:val="3DDC2ADF"/>
    <w:rsid w:val="3E1A0908"/>
    <w:rsid w:val="412D4EB9"/>
    <w:rsid w:val="41476B15"/>
    <w:rsid w:val="42404971"/>
    <w:rsid w:val="43AB5C2E"/>
    <w:rsid w:val="4431694C"/>
    <w:rsid w:val="45A17DC0"/>
    <w:rsid w:val="46297382"/>
    <w:rsid w:val="475752E9"/>
    <w:rsid w:val="478118FC"/>
    <w:rsid w:val="481E3452"/>
    <w:rsid w:val="48BE631B"/>
    <w:rsid w:val="4A6D69B1"/>
    <w:rsid w:val="4C9154F6"/>
    <w:rsid w:val="4D72759D"/>
    <w:rsid w:val="4E0C4C05"/>
    <w:rsid w:val="4E253CF1"/>
    <w:rsid w:val="4ECF4FDD"/>
    <w:rsid w:val="4EEE450B"/>
    <w:rsid w:val="4F0D7AA5"/>
    <w:rsid w:val="4F4A5EC4"/>
    <w:rsid w:val="506B4561"/>
    <w:rsid w:val="5095479B"/>
    <w:rsid w:val="5232031F"/>
    <w:rsid w:val="533E118D"/>
    <w:rsid w:val="5432066E"/>
    <w:rsid w:val="55051CF5"/>
    <w:rsid w:val="55B5130F"/>
    <w:rsid w:val="55F03A3D"/>
    <w:rsid w:val="576019A6"/>
    <w:rsid w:val="579234FE"/>
    <w:rsid w:val="592A154F"/>
    <w:rsid w:val="598C1D71"/>
    <w:rsid w:val="59984374"/>
    <w:rsid w:val="59F26EC0"/>
    <w:rsid w:val="5AD03C8C"/>
    <w:rsid w:val="5B050632"/>
    <w:rsid w:val="5B2E1AA7"/>
    <w:rsid w:val="5B3042FA"/>
    <w:rsid w:val="5C0B3FA9"/>
    <w:rsid w:val="5E96582C"/>
    <w:rsid w:val="5F4E2A69"/>
    <w:rsid w:val="5FB21B23"/>
    <w:rsid w:val="61011D57"/>
    <w:rsid w:val="61883466"/>
    <w:rsid w:val="618F1A51"/>
    <w:rsid w:val="62530F38"/>
    <w:rsid w:val="62E442FD"/>
    <w:rsid w:val="632968FB"/>
    <w:rsid w:val="6493686F"/>
    <w:rsid w:val="67D9349C"/>
    <w:rsid w:val="693B7E76"/>
    <w:rsid w:val="695A1469"/>
    <w:rsid w:val="69C6791E"/>
    <w:rsid w:val="6A6D681F"/>
    <w:rsid w:val="6BBD3A50"/>
    <w:rsid w:val="6CDC29EB"/>
    <w:rsid w:val="6CF647A7"/>
    <w:rsid w:val="6DE916B1"/>
    <w:rsid w:val="6E0D77F4"/>
    <w:rsid w:val="6FC856F1"/>
    <w:rsid w:val="70354C77"/>
    <w:rsid w:val="71703E88"/>
    <w:rsid w:val="73DF2189"/>
    <w:rsid w:val="74052766"/>
    <w:rsid w:val="74A35B43"/>
    <w:rsid w:val="750B19F8"/>
    <w:rsid w:val="754A4B7D"/>
    <w:rsid w:val="75685721"/>
    <w:rsid w:val="75AE4888"/>
    <w:rsid w:val="761562A9"/>
    <w:rsid w:val="76F43D5A"/>
    <w:rsid w:val="783B609F"/>
    <w:rsid w:val="7886401B"/>
    <w:rsid w:val="7A8E4D86"/>
    <w:rsid w:val="7B0F0F60"/>
    <w:rsid w:val="7B182183"/>
    <w:rsid w:val="7C41214B"/>
    <w:rsid w:val="7DD11FEB"/>
    <w:rsid w:val="7F675E51"/>
    <w:rsid w:val="7FC62F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unhideWhenUsed/>
    <w:qFormat/>
    <w:uiPriority w:val="0"/>
    <w:pPr>
      <w:keepNext/>
      <w:keepLines/>
      <w:spacing w:line="560" w:lineRule="exact"/>
      <w:ind w:firstLine="200" w:firstLineChars="200"/>
      <w:outlineLvl w:val="1"/>
    </w:pPr>
    <w:rPr>
      <w:rFonts w:ascii="Cambria" w:hAnsi="Cambria" w:eastAsia="楷体_GB2312" w:cs="Times New Roman"/>
      <w:bCs/>
      <w:sz w:val="32"/>
      <w:szCs w:val="32"/>
    </w:rPr>
  </w:style>
  <w:style w:type="character" w:default="1" w:styleId="13">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next w:val="3"/>
    <w:link w:val="15"/>
    <w:unhideWhenUsed/>
    <w:qFormat/>
    <w:uiPriority w:val="99"/>
    <w:pPr>
      <w:tabs>
        <w:tab w:val="center" w:pos="4153"/>
        <w:tab w:val="right" w:pos="8306"/>
      </w:tabs>
      <w:snapToGrid w:val="0"/>
      <w:jc w:val="left"/>
    </w:pPr>
    <w:rPr>
      <w:sz w:val="18"/>
      <w:szCs w:val="18"/>
    </w:rPr>
  </w:style>
  <w:style w:type="paragraph" w:styleId="3">
    <w:name w:val="index 5"/>
    <w:basedOn w:val="1"/>
    <w:next w:val="1"/>
    <w:unhideWhenUsed/>
    <w:qFormat/>
    <w:uiPriority w:val="99"/>
    <w:pPr>
      <w:ind w:left="1680"/>
    </w:pPr>
  </w:style>
  <w:style w:type="paragraph" w:styleId="5">
    <w:name w:val="Body Text"/>
    <w:basedOn w:val="1"/>
    <w:next w:val="1"/>
    <w:qFormat/>
    <w:uiPriority w:val="0"/>
  </w:style>
  <w:style w:type="paragraph" w:styleId="6">
    <w:name w:val="Body Text Indent"/>
    <w:basedOn w:val="1"/>
    <w:next w:val="7"/>
    <w:unhideWhenUsed/>
    <w:qFormat/>
    <w:uiPriority w:val="99"/>
    <w:pPr>
      <w:widowControl/>
      <w:spacing w:after="120"/>
      <w:ind w:left="420" w:leftChars="200"/>
      <w:jc w:val="left"/>
    </w:pPr>
    <w:rPr>
      <w:rFonts w:ascii="宋体" w:hAnsi="宋体" w:eastAsia="宋体" w:cs="宋体"/>
      <w:kern w:val="0"/>
      <w:sz w:val="24"/>
    </w:rPr>
  </w:style>
  <w:style w:type="paragraph" w:styleId="7">
    <w:name w:val="Body Text First Indent 2"/>
    <w:basedOn w:val="6"/>
    <w:next w:val="1"/>
    <w:unhideWhenUsed/>
    <w:qFormat/>
    <w:uiPriority w:val="99"/>
    <w:pPr>
      <w:ind w:firstLine="420" w:firstLineChars="200"/>
    </w:pPr>
  </w:style>
  <w:style w:type="paragraph" w:styleId="8">
    <w:name w:val="Balloon Text"/>
    <w:basedOn w:val="1"/>
    <w:link w:val="18"/>
    <w:unhideWhenUsed/>
    <w:qFormat/>
    <w:uiPriority w:val="99"/>
    <w:rPr>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next w:val="7"/>
    <w:semiHidden/>
    <w:qFormat/>
    <w:uiPriority w:val="0"/>
    <w:pPr>
      <w:snapToGrid w:val="0"/>
      <w:jc w:val="left"/>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14">
    <w:name w:val="页眉 Char"/>
    <w:basedOn w:val="13"/>
    <w:link w:val="9"/>
    <w:qFormat/>
    <w:uiPriority w:val="99"/>
    <w:rPr>
      <w:sz w:val="18"/>
      <w:szCs w:val="18"/>
    </w:rPr>
  </w:style>
  <w:style w:type="character" w:customStyle="1" w:styleId="15">
    <w:name w:val="页脚 Char"/>
    <w:basedOn w:val="13"/>
    <w:link w:val="2"/>
    <w:qFormat/>
    <w:uiPriority w:val="99"/>
    <w:rPr>
      <w:sz w:val="18"/>
      <w:szCs w:val="18"/>
    </w:rPr>
  </w:style>
  <w:style w:type="paragraph" w:customStyle="1" w:styleId="16">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customStyle="1" w:styleId="17">
    <w:name w:val="List Paragraph"/>
    <w:basedOn w:val="1"/>
    <w:qFormat/>
    <w:uiPriority w:val="34"/>
    <w:pPr>
      <w:ind w:firstLine="420" w:firstLineChars="200"/>
    </w:pPr>
  </w:style>
  <w:style w:type="character" w:customStyle="1" w:styleId="18">
    <w:name w:val="批注框文本 Char"/>
    <w:basedOn w:val="13"/>
    <w:link w:val="8"/>
    <w:semiHidden/>
    <w:qFormat/>
    <w:uiPriority w:val="99"/>
    <w:rPr>
      <w:sz w:val="18"/>
      <w:szCs w:val="18"/>
    </w:rPr>
  </w:style>
  <w:style w:type="paragraph" w:customStyle="1" w:styleId="19">
    <w:name w:val="UserStyle_0"/>
    <w:basedOn w:val="1"/>
    <w:qFormat/>
    <w:uiPriority w:val="0"/>
    <w:pPr>
      <w:spacing w:after="120"/>
    </w:pPr>
    <w:rPr>
      <w:rFonts w:ascii="Times New Roman" w:hAnsi="Times New Roman"/>
    </w:rPr>
  </w:style>
  <w:style w:type="paragraph" w:customStyle="1" w:styleId="20">
    <w:name w:val="标题1"/>
    <w:basedOn w:val="4"/>
    <w:qFormat/>
    <w:uiPriority w:val="0"/>
    <w:rPr>
      <w:rFonts w:eastAsia="黑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10111</Words>
  <Characters>10873</Characters>
  <Lines>69</Lines>
  <Paragraphs>19</Paragraphs>
  <TotalTime>139</TotalTime>
  <ScaleCrop>false</ScaleCrop>
  <LinksUpToDate>false</LinksUpToDate>
  <CharactersWithSpaces>10923</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Administrator</cp:lastModifiedBy>
  <cp:lastPrinted>2022-09-26T07:27:00Z</cp:lastPrinted>
  <dcterms:modified xsi:type="dcterms:W3CDTF">2025-09-29T01:11:52Z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6BC89757A7804701859B2194A558B31F</vt:lpwstr>
  </property>
</Properties>
</file>